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580FB5">
      <w:pPr>
        <w:rPr>
          <w:rFonts w:hint="default" w:ascii="Times New Roman" w:hAnsi="Times New Roman" w:eastAsia="仿宋_GB2312" w:cs="Times New Roman"/>
          <w:color w:val="auto"/>
          <w:sz w:val="36"/>
          <w:szCs w:val="36"/>
          <w:highlight w:val="none"/>
        </w:rPr>
      </w:pPr>
    </w:p>
    <w:p w14:paraId="78EA58AD">
      <w:pPr>
        <w:rPr>
          <w:rFonts w:hint="default" w:ascii="Times New Roman" w:hAnsi="Times New Roman" w:eastAsia="仿宋_GB2312" w:cs="Times New Roman"/>
          <w:color w:val="auto"/>
          <w:sz w:val="24"/>
          <w:highlight w:val="none"/>
        </w:rPr>
      </w:pPr>
    </w:p>
    <w:p w14:paraId="282E7138">
      <w:pPr>
        <w:rPr>
          <w:rFonts w:hint="default" w:ascii="Times New Roman" w:hAnsi="Times New Roman" w:eastAsia="仿宋_GB2312" w:cs="Times New Roman"/>
          <w:color w:val="auto"/>
          <w:sz w:val="24"/>
          <w:highlight w:val="none"/>
        </w:rPr>
      </w:pPr>
    </w:p>
    <w:p w14:paraId="6FDBEE47">
      <w:pPr>
        <w:rPr>
          <w:rFonts w:hint="default" w:ascii="Times New Roman" w:hAnsi="Times New Roman" w:eastAsia="仿宋_GB2312" w:cs="Times New Roman"/>
          <w:color w:val="auto"/>
          <w:sz w:val="36"/>
          <w:szCs w:val="36"/>
          <w:highlight w:val="none"/>
        </w:rPr>
      </w:pPr>
    </w:p>
    <w:p w14:paraId="51D0736B">
      <w:pPr>
        <w:adjustRightInd w:val="0"/>
        <w:snapToGrid w:val="0"/>
        <w:jc w:val="center"/>
        <w:outlineLvl w:val="0"/>
        <w:rPr>
          <w:rFonts w:hint="default" w:ascii="Times New Roman" w:hAnsi="Times New Roman" w:eastAsia="方正小标宋_GBK" w:cs="Times New Roman"/>
          <w:bCs/>
          <w:color w:val="auto"/>
          <w:sz w:val="72"/>
          <w:szCs w:val="72"/>
          <w:highlight w:val="none"/>
        </w:rPr>
      </w:pPr>
      <w:r>
        <w:rPr>
          <w:rFonts w:hint="default" w:ascii="Times New Roman" w:hAnsi="Times New Roman" w:eastAsia="方正小标宋_GBK" w:cs="Times New Roman"/>
          <w:bCs/>
          <w:color w:val="auto"/>
          <w:sz w:val="72"/>
          <w:szCs w:val="72"/>
          <w:highlight w:val="none"/>
        </w:rPr>
        <w:t>建设项目环境影响报告表</w:t>
      </w:r>
    </w:p>
    <w:p w14:paraId="08E00E28">
      <w:pPr>
        <w:jc w:val="center"/>
        <w:rPr>
          <w:rFonts w:hint="default" w:ascii="Times New Roman" w:hAnsi="Times New Roman" w:eastAsia="楷体_GB2312" w:cs="Times New Roman"/>
          <w:color w:val="auto"/>
          <w:sz w:val="52"/>
          <w:szCs w:val="52"/>
          <w:highlight w:val="none"/>
        </w:rPr>
      </w:pPr>
      <w:r>
        <w:rPr>
          <w:rFonts w:hint="default" w:ascii="Times New Roman" w:hAnsi="Times New Roman" w:eastAsia="楷体_GB2312" w:cs="Times New Roman"/>
          <w:bCs/>
          <w:color w:val="auto"/>
          <w:sz w:val="48"/>
          <w:szCs w:val="48"/>
          <w:highlight w:val="none"/>
        </w:rPr>
        <w:t xml:space="preserve">（污染影响类） </w:t>
      </w:r>
    </w:p>
    <w:p w14:paraId="0D297881">
      <w:pPr>
        <w:ind w:firstLine="1040"/>
        <w:rPr>
          <w:rFonts w:hint="default" w:ascii="Times New Roman" w:hAnsi="Times New Roman" w:eastAsia="仿宋" w:cs="Times New Roman"/>
          <w:color w:val="auto"/>
          <w:sz w:val="44"/>
          <w:szCs w:val="44"/>
          <w:highlight w:val="none"/>
        </w:rPr>
      </w:pPr>
    </w:p>
    <w:p w14:paraId="16CAE219">
      <w:pPr>
        <w:ind w:firstLine="1040"/>
        <w:rPr>
          <w:rFonts w:hint="default" w:ascii="Times New Roman" w:hAnsi="Times New Roman" w:eastAsia="仿宋" w:cs="Times New Roman"/>
          <w:color w:val="auto"/>
          <w:sz w:val="44"/>
          <w:szCs w:val="44"/>
          <w:highlight w:val="none"/>
        </w:rPr>
      </w:pPr>
      <w:r>
        <w:rPr>
          <w:rFonts w:hint="default" w:ascii="Times New Roman" w:hAnsi="Times New Roman" w:eastAsia="仿宋" w:cs="Times New Roman"/>
          <w:color w:val="auto"/>
          <w:sz w:val="44"/>
          <w:szCs w:val="44"/>
          <w:highlight w:val="none"/>
        </w:rPr>
        <w:t xml:space="preserve"> </w:t>
      </w:r>
    </w:p>
    <w:p w14:paraId="72296F73">
      <w:pPr>
        <w:pStyle w:val="41"/>
        <w:rPr>
          <w:rFonts w:hint="default" w:ascii="Times New Roman" w:hAnsi="Times New Roman" w:cs="Times New Roman"/>
          <w:color w:val="auto"/>
          <w:highlight w:val="none"/>
        </w:rPr>
      </w:pPr>
    </w:p>
    <w:p w14:paraId="5550AC6D">
      <w:pPr>
        <w:ind w:firstLine="1040"/>
        <w:rPr>
          <w:rFonts w:hint="default" w:ascii="Times New Roman" w:hAnsi="Times New Roman" w:eastAsia="仿宋" w:cs="Times New Roman"/>
          <w:color w:val="auto"/>
          <w:sz w:val="44"/>
          <w:szCs w:val="44"/>
          <w:highlight w:val="none"/>
        </w:rPr>
      </w:pPr>
    </w:p>
    <w:p w14:paraId="32041201">
      <w:pPr>
        <w:pStyle w:val="55"/>
        <w:rPr>
          <w:rFonts w:hint="default" w:ascii="Times New Roman" w:hAnsi="Times New Roman" w:eastAsia="仿宋" w:cs="Times New Roman"/>
          <w:color w:val="auto"/>
          <w:sz w:val="44"/>
          <w:szCs w:val="44"/>
          <w:highlight w:val="none"/>
        </w:rPr>
      </w:pPr>
    </w:p>
    <w:p w14:paraId="180A35B4">
      <w:pPr>
        <w:rPr>
          <w:rFonts w:hint="default" w:ascii="Times New Roman" w:hAnsi="Times New Roman" w:eastAsia="仿宋" w:cs="Times New Roman"/>
          <w:color w:val="auto"/>
          <w:sz w:val="44"/>
          <w:szCs w:val="44"/>
          <w:highlight w:val="none"/>
        </w:rPr>
      </w:pPr>
    </w:p>
    <w:p w14:paraId="6DEAD8EC">
      <w:pPr>
        <w:pStyle w:val="55"/>
        <w:rPr>
          <w:rFonts w:hint="default" w:ascii="Times New Roman" w:hAnsi="Times New Roman" w:cs="Times New Roman"/>
          <w:color w:val="auto"/>
          <w:highlight w:val="none"/>
        </w:rPr>
      </w:pPr>
    </w:p>
    <w:p w14:paraId="4E87995A">
      <w:pPr>
        <w:adjustRightInd w:val="0"/>
        <w:snapToGrid w:val="0"/>
        <w:spacing w:line="288" w:lineRule="auto"/>
        <w:ind w:left="2238" w:leftChars="304" w:hanging="1600" w:hangingChars="500"/>
        <w:rPr>
          <w:rFonts w:hint="default" w:ascii="Times New Roman" w:hAnsi="Times New Roman" w:eastAsia="仿宋_GB2312" w:cs="Times New Roman"/>
          <w:color w:val="auto"/>
          <w:sz w:val="32"/>
          <w:szCs w:val="32"/>
          <w:highlight w:val="none"/>
          <w:u w:val="single"/>
          <w:lang w:val="en-US" w:eastAsia="zh-CN"/>
        </w:rPr>
      </w:pPr>
      <w:r>
        <w:rPr>
          <w:rFonts w:hint="default" w:ascii="Times New Roman" w:hAnsi="Times New Roman" w:eastAsia="仿宋_GB2312" w:cs="Times New Roman"/>
          <w:color w:val="auto"/>
          <w:sz w:val="32"/>
          <w:szCs w:val="32"/>
          <w:highlight w:val="none"/>
        </w:rPr>
        <w:t>项目名称：</w:t>
      </w:r>
      <w:r>
        <w:rPr>
          <w:rFonts w:hint="eastAsia" w:eastAsia="仿宋_GB2312" w:cs="Times New Roman"/>
          <w:color w:val="auto"/>
          <w:sz w:val="32"/>
          <w:szCs w:val="32"/>
          <w:highlight w:val="none"/>
          <w:u w:val="single"/>
          <w:lang w:eastAsia="zh-CN"/>
        </w:rPr>
        <w:t>汽车零部件、通讯五金部件及光电设备配件加工项目</w:t>
      </w:r>
      <w:r>
        <w:rPr>
          <w:rFonts w:hint="eastAsia" w:eastAsia="仿宋_GB2312" w:cs="Times New Roman"/>
          <w:color w:val="auto"/>
          <w:sz w:val="32"/>
          <w:szCs w:val="32"/>
          <w:highlight w:val="none"/>
          <w:u w:val="single"/>
          <w:lang w:val="en-US" w:eastAsia="zh-CN"/>
        </w:rPr>
        <w:t xml:space="preserve"> </w:t>
      </w:r>
    </w:p>
    <w:p w14:paraId="6C126A64">
      <w:pPr>
        <w:adjustRightInd w:val="0"/>
        <w:snapToGrid w:val="0"/>
        <w:spacing w:line="288" w:lineRule="auto"/>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default" w:ascii="Times New Roman" w:hAnsi="Times New Roman" w:eastAsia="仿宋_GB2312" w:cs="Times New Roman"/>
          <w:color w:val="auto"/>
          <w:sz w:val="32"/>
          <w:szCs w:val="32"/>
          <w:highlight w:val="none"/>
        </w:rPr>
        <w:t>建设单位（盖章）：</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eastAsia="zh-CN"/>
        </w:rPr>
        <w:t>芜湖研历光电科技有限公司</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p>
    <w:p w14:paraId="3683E90A">
      <w:pPr>
        <w:adjustRightInd w:val="0"/>
        <w:snapToGrid w:val="0"/>
        <w:spacing w:line="288" w:lineRule="auto"/>
        <w:ind w:firstLine="640" w:firstLineChars="200"/>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rPr>
        <w:t>编制日期：</w:t>
      </w:r>
      <w:r>
        <w:rPr>
          <w:rFonts w:hint="default" w:ascii="Times New Roman" w:hAnsi="Times New Roman" w:eastAsia="仿宋_GB2312" w:cs="Times New Roman"/>
          <w:color w:val="auto"/>
          <w:sz w:val="32"/>
          <w:szCs w:val="32"/>
          <w:highlight w:val="none"/>
          <w:u w:val="single"/>
        </w:rPr>
        <w:t xml:space="preserve">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2025年</w:t>
      </w:r>
      <w:r>
        <w:rPr>
          <w:rFonts w:hint="eastAsia" w:eastAsia="仿宋_GB2312" w:cs="Times New Roman"/>
          <w:color w:val="auto"/>
          <w:sz w:val="32"/>
          <w:szCs w:val="32"/>
          <w:highlight w:val="none"/>
          <w:u w:val="single"/>
          <w:lang w:val="en-US" w:eastAsia="zh-CN"/>
        </w:rPr>
        <w:t>12</w:t>
      </w:r>
      <w:r>
        <w:rPr>
          <w:rFonts w:hint="default" w:ascii="Times New Roman" w:hAnsi="Times New Roman" w:eastAsia="仿宋_GB2312" w:cs="Times New Roman"/>
          <w:color w:val="auto"/>
          <w:sz w:val="32"/>
          <w:szCs w:val="32"/>
          <w:highlight w:val="none"/>
          <w:u w:val="single"/>
        </w:rPr>
        <w:t xml:space="preserve">月  </w:t>
      </w:r>
      <w:r>
        <w:rPr>
          <w:rFonts w:hint="eastAsia"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p>
    <w:p w14:paraId="1314B4A1">
      <w:pPr>
        <w:adjustRightInd w:val="0"/>
        <w:snapToGrid w:val="0"/>
        <w:spacing w:line="288" w:lineRule="auto"/>
        <w:ind w:firstLine="1040"/>
        <w:rPr>
          <w:rFonts w:hint="default" w:ascii="Times New Roman" w:hAnsi="Times New Roman" w:eastAsia="仿宋_GB2312" w:cs="Times New Roman"/>
          <w:color w:val="auto"/>
          <w:sz w:val="36"/>
          <w:szCs w:val="36"/>
          <w:highlight w:val="none"/>
          <w:u w:val="single"/>
        </w:rPr>
      </w:pPr>
      <w:bookmarkStart w:id="0" w:name="_Hlk57884087"/>
    </w:p>
    <w:p w14:paraId="1AC7A24C">
      <w:pPr>
        <w:adjustRightInd w:val="0"/>
        <w:snapToGrid w:val="0"/>
        <w:spacing w:line="288" w:lineRule="auto"/>
        <w:ind w:firstLine="1040"/>
        <w:rPr>
          <w:rFonts w:hint="default" w:ascii="Times New Roman" w:hAnsi="Times New Roman" w:eastAsia="仿宋_GB2312" w:cs="Times New Roman"/>
          <w:color w:val="auto"/>
          <w:sz w:val="36"/>
          <w:szCs w:val="36"/>
          <w:highlight w:val="none"/>
        </w:rPr>
      </w:pPr>
    </w:p>
    <w:p w14:paraId="05148920">
      <w:pPr>
        <w:pStyle w:val="41"/>
        <w:rPr>
          <w:rFonts w:hint="default" w:ascii="Times New Roman" w:hAnsi="Times New Roman" w:cs="Times New Roman"/>
          <w:color w:val="auto"/>
          <w:highlight w:val="none"/>
        </w:rPr>
      </w:pPr>
    </w:p>
    <w:p w14:paraId="3F13A760">
      <w:pPr>
        <w:pStyle w:val="41"/>
        <w:rPr>
          <w:rFonts w:hint="default" w:ascii="Times New Roman" w:hAnsi="Times New Roman" w:cs="Times New Roman"/>
          <w:color w:val="auto"/>
          <w:highlight w:val="none"/>
        </w:rPr>
      </w:pPr>
    </w:p>
    <w:p w14:paraId="3B0F5C1D">
      <w:pPr>
        <w:pStyle w:val="41"/>
        <w:rPr>
          <w:rFonts w:hint="default" w:ascii="Times New Roman" w:hAnsi="Times New Roman" w:cs="Times New Roman"/>
          <w:color w:val="auto"/>
          <w:highlight w:val="none"/>
        </w:rPr>
      </w:pPr>
    </w:p>
    <w:p w14:paraId="06950405">
      <w:pPr>
        <w:pStyle w:val="41"/>
        <w:rPr>
          <w:rFonts w:hint="default" w:ascii="Times New Roman" w:hAnsi="Times New Roman" w:cs="Times New Roman"/>
          <w:color w:val="auto"/>
          <w:highlight w:val="none"/>
        </w:rPr>
      </w:pPr>
    </w:p>
    <w:p w14:paraId="1405A5F9">
      <w:pPr>
        <w:pStyle w:val="55"/>
        <w:rPr>
          <w:rFonts w:hint="default" w:ascii="Times New Roman" w:hAnsi="Times New Roman" w:eastAsia="仿宋_GB2312" w:cs="Times New Roman"/>
          <w:color w:val="auto"/>
          <w:sz w:val="36"/>
          <w:szCs w:val="36"/>
          <w:highlight w:val="none"/>
        </w:rPr>
      </w:pPr>
    </w:p>
    <w:p w14:paraId="59CC4672">
      <w:pPr>
        <w:rPr>
          <w:rFonts w:hint="default" w:ascii="Times New Roman" w:hAnsi="Times New Roman" w:cs="Times New Roman"/>
          <w:color w:val="auto"/>
          <w:highlight w:val="none"/>
        </w:rPr>
      </w:pPr>
    </w:p>
    <w:bookmarkEnd w:id="0"/>
    <w:p w14:paraId="4B7E5E12">
      <w:pPr>
        <w:adjustRightInd w:val="0"/>
        <w:snapToGrid w:val="0"/>
        <w:spacing w:line="288" w:lineRule="auto"/>
        <w:jc w:val="center"/>
        <w:rPr>
          <w:rFonts w:hint="default" w:ascii="Times New Roman" w:hAnsi="Times New Roman" w:cs="Times New Roman"/>
          <w:color w:val="auto"/>
          <w:highlight w:val="none"/>
        </w:rPr>
      </w:pPr>
      <w:r>
        <w:rPr>
          <w:rFonts w:hint="default" w:ascii="Times New Roman" w:hAnsi="Times New Roman" w:eastAsia="楷体_GB2312" w:cs="Times New Roman"/>
          <w:color w:val="auto"/>
          <w:sz w:val="36"/>
          <w:szCs w:val="36"/>
          <w:highlight w:val="none"/>
        </w:rPr>
        <w:t>中华人民共和国生态环境部制</w:t>
      </w:r>
    </w:p>
    <w:p w14:paraId="4816D067">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p>
    <w:p w14:paraId="0A087795">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p>
    <w:p w14:paraId="267613D5">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sectPr>
          <w:footerReference r:id="rId5" w:type="default"/>
          <w:pgSz w:w="11906" w:h="16838"/>
          <w:pgMar w:top="1701" w:right="1531" w:bottom="1124"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2924BB6F">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r>
        <w:rPr>
          <w:rFonts w:hint="default" w:ascii="Times New Roman" w:hAnsi="Times New Roman" w:cs="Times New Roman"/>
          <w:b/>
          <w:snapToGrid w:val="0"/>
          <w:color w:val="auto"/>
          <w:sz w:val="30"/>
          <w:szCs w:val="30"/>
          <w:highlight w:val="none"/>
        </w:rPr>
        <w:t>一、建设项目基本情况</w:t>
      </w:r>
    </w:p>
    <w:tbl>
      <w:tblPr>
        <w:tblStyle w:val="61"/>
        <w:tblW w:w="88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514"/>
        <w:gridCol w:w="2434"/>
        <w:gridCol w:w="1483"/>
        <w:gridCol w:w="3444"/>
      </w:tblGrid>
      <w:tr w14:paraId="39B1B7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7C6A66D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建设项目名称</w:t>
            </w:r>
          </w:p>
        </w:tc>
        <w:tc>
          <w:tcPr>
            <w:tcW w:w="7361" w:type="dxa"/>
            <w:gridSpan w:val="3"/>
            <w:vAlign w:val="center"/>
          </w:tcPr>
          <w:p w14:paraId="3F69957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highlight w:val="none"/>
                <w:lang w:eastAsia="zh-CN"/>
              </w:rPr>
            </w:pPr>
            <w:r>
              <w:rPr>
                <w:rFonts w:hint="eastAsia" w:cs="Times New Roman"/>
                <w:color w:val="auto"/>
                <w:sz w:val="24"/>
                <w:highlight w:val="none"/>
                <w:lang w:eastAsia="zh-CN"/>
              </w:rPr>
              <w:t>汽车零部件、通讯五金部件及光电设备配件加工项目</w:t>
            </w:r>
          </w:p>
        </w:tc>
      </w:tr>
      <w:tr w14:paraId="4384C0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3199324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项目代码</w:t>
            </w:r>
          </w:p>
        </w:tc>
        <w:tc>
          <w:tcPr>
            <w:tcW w:w="7361" w:type="dxa"/>
            <w:gridSpan w:val="3"/>
            <w:vAlign w:val="center"/>
          </w:tcPr>
          <w:p w14:paraId="55713E4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highlight w:val="none"/>
                <w:lang w:eastAsia="zh-CN"/>
              </w:rPr>
            </w:pPr>
            <w:r>
              <w:rPr>
                <w:rFonts w:hint="eastAsia" w:cs="Times New Roman"/>
                <w:color w:val="auto"/>
                <w:kern w:val="0"/>
                <w:sz w:val="24"/>
                <w:highlight w:val="none"/>
                <w:lang w:eastAsia="zh-CN"/>
              </w:rPr>
              <w:t>2510-340221-04-01-143205</w:t>
            </w:r>
          </w:p>
        </w:tc>
      </w:tr>
      <w:tr w14:paraId="1A3D3E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2832D98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建设单位</w:t>
            </w:r>
          </w:p>
          <w:p w14:paraId="72F990F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联系人</w:t>
            </w:r>
          </w:p>
        </w:tc>
        <w:tc>
          <w:tcPr>
            <w:tcW w:w="2434" w:type="dxa"/>
            <w:vAlign w:val="center"/>
          </w:tcPr>
          <w:p w14:paraId="20BC4259">
            <w:pPr>
              <w:keepNext w:val="0"/>
              <w:keepLines w:val="0"/>
              <w:suppressLineNumbers w:val="0"/>
              <w:adjustRightInd w:val="0"/>
              <w:snapToGrid w:val="0"/>
              <w:spacing w:before="0" w:beforeAutospacing="0" w:after="0" w:afterAutospacing="0"/>
              <w:ind w:left="0" w:right="0"/>
              <w:jc w:val="center"/>
              <w:rPr>
                <w:rFonts w:hint="default" w:cs="Times New Roman"/>
                <w:color w:val="auto"/>
                <w:sz w:val="24"/>
                <w:highlight w:val="none"/>
                <w:lang w:eastAsia="zh-CN"/>
              </w:rPr>
            </w:pPr>
            <w:r>
              <w:rPr>
                <w:rFonts w:hint="eastAsia" w:cs="Times New Roman"/>
                <w:color w:val="auto"/>
                <w:sz w:val="24"/>
                <w:highlight w:val="none"/>
                <w:lang w:eastAsia="zh-CN"/>
              </w:rPr>
              <w:t>黄德军</w:t>
            </w:r>
          </w:p>
        </w:tc>
        <w:tc>
          <w:tcPr>
            <w:tcW w:w="1483" w:type="dxa"/>
            <w:vAlign w:val="center"/>
          </w:tcPr>
          <w:p w14:paraId="71108F58">
            <w:pPr>
              <w:keepNext w:val="0"/>
              <w:keepLines w:val="0"/>
              <w:suppressLineNumbers w:val="0"/>
              <w:adjustRightInd w:val="0"/>
              <w:snapToGrid w:val="0"/>
              <w:spacing w:before="0" w:beforeAutospacing="0" w:after="0" w:afterAutospacing="0"/>
              <w:ind w:left="0" w:right="0"/>
              <w:jc w:val="center"/>
              <w:rPr>
                <w:rFonts w:hint="default" w:cs="Times New Roman"/>
                <w:color w:val="auto"/>
                <w:sz w:val="24"/>
                <w:highlight w:val="none"/>
                <w:lang w:eastAsia="zh-CN"/>
              </w:rPr>
            </w:pPr>
            <w:r>
              <w:rPr>
                <w:rFonts w:hint="default" w:cs="Times New Roman"/>
                <w:color w:val="auto"/>
                <w:sz w:val="24"/>
                <w:highlight w:val="none"/>
                <w:lang w:eastAsia="zh-CN"/>
              </w:rPr>
              <w:t>联系</w:t>
            </w:r>
            <w:bookmarkStart w:id="3" w:name="_GoBack"/>
            <w:bookmarkEnd w:id="3"/>
            <w:r>
              <w:rPr>
                <w:rFonts w:hint="default" w:cs="Times New Roman"/>
                <w:color w:val="auto"/>
                <w:sz w:val="24"/>
                <w:highlight w:val="none"/>
                <w:lang w:eastAsia="zh-CN"/>
              </w:rPr>
              <w:t>方式</w:t>
            </w:r>
          </w:p>
        </w:tc>
        <w:tc>
          <w:tcPr>
            <w:tcW w:w="3444" w:type="dxa"/>
            <w:vAlign w:val="center"/>
          </w:tcPr>
          <w:p w14:paraId="4617AD55">
            <w:pPr>
              <w:keepNext w:val="0"/>
              <w:keepLines w:val="0"/>
              <w:suppressLineNumbers w:val="0"/>
              <w:adjustRightInd w:val="0"/>
              <w:snapToGrid w:val="0"/>
              <w:spacing w:before="0" w:beforeAutospacing="0" w:after="0" w:afterAutospacing="0"/>
              <w:ind w:left="0" w:right="0"/>
              <w:jc w:val="center"/>
              <w:rPr>
                <w:rFonts w:hint="default" w:cs="Times New Roman"/>
                <w:color w:val="auto"/>
                <w:sz w:val="24"/>
                <w:highlight w:val="none"/>
                <w:lang w:eastAsia="zh-CN"/>
              </w:rPr>
            </w:pPr>
            <w:r>
              <w:rPr>
                <w:rFonts w:hint="eastAsia" w:cs="Times New Roman"/>
                <w:color w:val="auto"/>
                <w:sz w:val="24"/>
                <w:highlight w:val="none"/>
                <w:lang w:eastAsia="zh-CN"/>
              </w:rPr>
              <w:t>138</w:t>
            </w:r>
            <w:r>
              <w:rPr>
                <w:rFonts w:hint="eastAsia" w:cs="Times New Roman"/>
                <w:color w:val="auto"/>
                <w:sz w:val="24"/>
                <w:highlight w:val="none"/>
                <w:lang w:val="en-US" w:eastAsia="zh-CN"/>
              </w:rPr>
              <w:t>****</w:t>
            </w:r>
            <w:r>
              <w:rPr>
                <w:rFonts w:hint="eastAsia" w:cs="Times New Roman"/>
                <w:color w:val="auto"/>
                <w:sz w:val="24"/>
                <w:highlight w:val="none"/>
                <w:lang w:eastAsia="zh-CN"/>
              </w:rPr>
              <w:t>1486</w:t>
            </w:r>
          </w:p>
        </w:tc>
      </w:tr>
      <w:tr w14:paraId="7BC2D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5C909FE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建设地点</w:t>
            </w:r>
          </w:p>
        </w:tc>
        <w:tc>
          <w:tcPr>
            <w:tcW w:w="7361" w:type="dxa"/>
            <w:gridSpan w:val="3"/>
            <w:vAlign w:val="center"/>
          </w:tcPr>
          <w:p w14:paraId="2F61290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highlight w:val="none"/>
                <w:lang w:eastAsia="zh-CN"/>
              </w:rPr>
            </w:pPr>
            <w:r>
              <w:rPr>
                <w:rFonts w:hint="eastAsia" w:cs="Times New Roman"/>
                <w:color w:val="auto"/>
                <w:sz w:val="24"/>
                <w:highlight w:val="none"/>
                <w:lang w:eastAsia="zh-CN"/>
              </w:rPr>
              <w:t>安徽省芜湖市湾沚区新芜经济开发区芜屯快速通道3699号02幢2号厂房</w:t>
            </w:r>
          </w:p>
        </w:tc>
      </w:tr>
      <w:tr w14:paraId="4D01BC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2CCEB49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地理坐标</w:t>
            </w:r>
          </w:p>
        </w:tc>
        <w:tc>
          <w:tcPr>
            <w:tcW w:w="7361" w:type="dxa"/>
            <w:gridSpan w:val="3"/>
            <w:vAlign w:val="center"/>
          </w:tcPr>
          <w:p w14:paraId="7A10AAF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（经度</w:t>
            </w:r>
            <w:r>
              <w:rPr>
                <w:rFonts w:hint="default" w:ascii="Times New Roman" w:hAnsi="Times New Roman" w:cs="Times New Roman"/>
                <w:color w:val="auto"/>
                <w:sz w:val="24"/>
                <w:highlight w:val="none"/>
                <w:u w:val="single"/>
              </w:rPr>
              <w:t>118</w:t>
            </w:r>
            <w:r>
              <w:rPr>
                <w:rFonts w:hint="default" w:ascii="Times New Roman" w:hAnsi="Times New Roman" w:cs="Times New Roman"/>
                <w:color w:val="auto"/>
                <w:sz w:val="24"/>
                <w:highlight w:val="none"/>
              </w:rPr>
              <w:t>度</w:t>
            </w:r>
            <w:r>
              <w:rPr>
                <w:rFonts w:hint="default" w:ascii="Times New Roman" w:hAnsi="Times New Roman" w:cs="Times New Roman"/>
                <w:color w:val="auto"/>
                <w:sz w:val="24"/>
                <w:highlight w:val="none"/>
                <w:u w:val="single"/>
              </w:rPr>
              <w:t>3</w:t>
            </w:r>
            <w:r>
              <w:rPr>
                <w:rFonts w:hint="eastAsia" w:cs="Times New Roman"/>
                <w:color w:val="auto"/>
                <w:sz w:val="24"/>
                <w:highlight w:val="none"/>
                <w:u w:val="single"/>
                <w:lang w:val="en-US" w:eastAsia="zh-CN"/>
              </w:rPr>
              <w:t>4</w:t>
            </w:r>
            <w:r>
              <w:rPr>
                <w:rFonts w:hint="default" w:ascii="Times New Roman" w:hAnsi="Times New Roman" w:cs="Times New Roman"/>
                <w:color w:val="auto"/>
                <w:sz w:val="24"/>
                <w:highlight w:val="none"/>
              </w:rPr>
              <w:t>分</w:t>
            </w:r>
            <w:r>
              <w:rPr>
                <w:rFonts w:hint="default" w:ascii="Times New Roman" w:hAnsi="Times New Roman" w:cs="Times New Roman"/>
                <w:color w:val="auto"/>
                <w:sz w:val="24"/>
                <w:highlight w:val="none"/>
                <w:u w:val="single"/>
              </w:rPr>
              <w:t>45.143</w:t>
            </w:r>
            <w:r>
              <w:rPr>
                <w:rFonts w:hint="default" w:ascii="Times New Roman" w:hAnsi="Times New Roman" w:cs="Times New Roman"/>
                <w:color w:val="auto"/>
                <w:sz w:val="24"/>
                <w:highlight w:val="none"/>
              </w:rPr>
              <w:t>秒，纬度</w:t>
            </w:r>
            <w:r>
              <w:rPr>
                <w:rFonts w:hint="default" w:ascii="Times New Roman" w:hAnsi="Times New Roman" w:cs="Times New Roman"/>
                <w:color w:val="auto"/>
                <w:sz w:val="24"/>
                <w:highlight w:val="none"/>
                <w:u w:val="single"/>
              </w:rPr>
              <w:t>31</w:t>
            </w:r>
            <w:r>
              <w:rPr>
                <w:rFonts w:hint="default" w:ascii="Times New Roman" w:hAnsi="Times New Roman" w:cs="Times New Roman"/>
                <w:color w:val="auto"/>
                <w:sz w:val="24"/>
                <w:highlight w:val="none"/>
              </w:rPr>
              <w:t>度</w:t>
            </w:r>
            <w:r>
              <w:rPr>
                <w:rFonts w:hint="eastAsia" w:cs="Times New Roman"/>
                <w:color w:val="auto"/>
                <w:sz w:val="24"/>
                <w:highlight w:val="none"/>
                <w:u w:val="single"/>
                <w:lang w:val="en-US" w:eastAsia="zh-CN"/>
              </w:rPr>
              <w:t>10</w:t>
            </w:r>
            <w:r>
              <w:rPr>
                <w:rFonts w:hint="default" w:ascii="Times New Roman" w:hAnsi="Times New Roman" w:cs="Times New Roman"/>
                <w:color w:val="auto"/>
                <w:sz w:val="24"/>
                <w:highlight w:val="none"/>
              </w:rPr>
              <w:t>分</w:t>
            </w:r>
            <w:r>
              <w:rPr>
                <w:rFonts w:hint="default" w:ascii="Times New Roman" w:hAnsi="Times New Roman" w:cs="Times New Roman"/>
                <w:color w:val="auto"/>
                <w:sz w:val="24"/>
                <w:highlight w:val="none"/>
                <w:u w:val="single"/>
              </w:rPr>
              <w:t>39.483</w:t>
            </w:r>
            <w:r>
              <w:rPr>
                <w:rFonts w:hint="default" w:ascii="Times New Roman" w:hAnsi="Times New Roman" w:cs="Times New Roman"/>
                <w:color w:val="auto"/>
                <w:sz w:val="24"/>
                <w:highlight w:val="none"/>
              </w:rPr>
              <w:t>秒）</w:t>
            </w:r>
            <w:r>
              <w:rPr>
                <w:rFonts w:hint="default"/>
                <w:color w:val="auto"/>
              </w:rPr>
              <w:commentReference w:id="0"/>
            </w:r>
          </w:p>
        </w:tc>
      </w:tr>
      <w:tr w14:paraId="31A12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514" w:type="dxa"/>
            <w:tcMar>
              <w:top w:w="16" w:type="dxa"/>
              <w:left w:w="16" w:type="dxa"/>
              <w:right w:w="16" w:type="dxa"/>
            </w:tcMar>
            <w:vAlign w:val="center"/>
          </w:tcPr>
          <w:p w14:paraId="1A1A4C1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国民经济</w:t>
            </w:r>
          </w:p>
          <w:p w14:paraId="1D5064F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行业类别</w:t>
            </w:r>
          </w:p>
        </w:tc>
        <w:tc>
          <w:tcPr>
            <w:tcW w:w="2434" w:type="dxa"/>
            <w:vAlign w:val="center"/>
          </w:tcPr>
          <w:p w14:paraId="6A192359">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eastAsia" w:cs="Times New Roman"/>
                <w:color w:val="auto"/>
                <w:sz w:val="24"/>
                <w:highlight w:val="none"/>
                <w:lang w:eastAsia="zh-CN"/>
              </w:rPr>
              <w:t>C3311金属结构制造</w:t>
            </w:r>
            <w:r>
              <w:rPr>
                <w:rFonts w:hint="default" w:ascii="Times New Roman" w:hAnsi="Times New Roman" w:cs="Times New Roman"/>
                <w:color w:val="auto"/>
                <w:sz w:val="24"/>
                <w:highlight w:val="none"/>
              </w:rPr>
              <w:t>；</w:t>
            </w:r>
          </w:p>
          <w:p w14:paraId="268B73BD">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C3670汽车零部件及配件制造</w:t>
            </w:r>
          </w:p>
        </w:tc>
        <w:tc>
          <w:tcPr>
            <w:tcW w:w="1483" w:type="dxa"/>
            <w:vAlign w:val="center"/>
          </w:tcPr>
          <w:p w14:paraId="4DDCB44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bookmarkStart w:id="1" w:name="_Hlk49843745"/>
            <w:r>
              <w:rPr>
                <w:rFonts w:hint="default" w:ascii="Times New Roman" w:hAnsi="Times New Roman" w:cs="Times New Roman"/>
                <w:color w:val="auto"/>
                <w:sz w:val="24"/>
                <w:highlight w:val="none"/>
              </w:rPr>
              <w:t>建设项目</w:t>
            </w:r>
          </w:p>
          <w:p w14:paraId="27A41EC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行业类别</w:t>
            </w:r>
            <w:bookmarkEnd w:id="1"/>
          </w:p>
        </w:tc>
        <w:tc>
          <w:tcPr>
            <w:tcW w:w="3444" w:type="dxa"/>
            <w:vAlign w:val="center"/>
          </w:tcPr>
          <w:p w14:paraId="177B8F31">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三十、金属制品业</w:t>
            </w:r>
            <w:r>
              <w:rPr>
                <w:rFonts w:hint="eastAsia" w:cs="Times New Roman"/>
                <w:color w:val="auto"/>
                <w:sz w:val="24"/>
                <w:highlight w:val="none"/>
                <w:lang w:val="en-US" w:eastAsia="zh-CN"/>
              </w:rPr>
              <w:t>33</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66结构性金属制品制造331</w:t>
            </w:r>
            <w:r>
              <w:rPr>
                <w:rFonts w:hint="eastAsia" w:cs="Times New Roman"/>
                <w:color w:val="auto"/>
                <w:sz w:val="24"/>
                <w:highlight w:val="none"/>
                <w:lang w:val="en-US" w:eastAsia="zh-CN"/>
              </w:rPr>
              <w:t>类中的其他（仅分割、焊接、组装的除外；年用非溶剂型低VOCs含量涂料10吨以下的除外）</w:t>
            </w:r>
            <w:r>
              <w:rPr>
                <w:rFonts w:hint="eastAsia" w:ascii="Times New Roman" w:hAnsi="Times New Roman" w:eastAsia="宋体" w:cs="Times New Roman"/>
                <w:color w:val="auto"/>
                <w:sz w:val="24"/>
                <w:highlight w:val="none"/>
              </w:rPr>
              <w:t>；</w:t>
            </w:r>
          </w:p>
          <w:p w14:paraId="4A5F50A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三十三、汽车制造业36——71、汽车零部件及配件制造367类中的其他（年用非溶剂型低VOCs含量涂料10吨以下的除外）</w:t>
            </w:r>
          </w:p>
        </w:tc>
      </w:tr>
      <w:tr w14:paraId="6129DB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14" w:type="dxa"/>
            <w:tcMar>
              <w:top w:w="16" w:type="dxa"/>
              <w:left w:w="16" w:type="dxa"/>
              <w:right w:w="16" w:type="dxa"/>
            </w:tcMar>
            <w:vAlign w:val="center"/>
          </w:tcPr>
          <w:p w14:paraId="0F6BE4F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建设性质</w:t>
            </w:r>
          </w:p>
        </w:tc>
        <w:tc>
          <w:tcPr>
            <w:tcW w:w="2434" w:type="dxa"/>
            <w:vAlign w:val="center"/>
          </w:tcPr>
          <w:p w14:paraId="7DAD6044">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cs="Times New Roman"/>
                <w:color w:val="auto"/>
                <w:sz w:val="24"/>
                <w:highlight w:val="none"/>
              </w:rPr>
              <w:t>新建（迁建）</w:t>
            </w:r>
          </w:p>
          <w:p w14:paraId="52725895">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eastAsia" w:cs="Times New Roman"/>
                <w:color w:val="auto"/>
                <w:sz w:val="24"/>
                <w:highlight w:val="none"/>
                <w:lang w:eastAsia="zh-CN"/>
              </w:rPr>
              <w:t>□</w:t>
            </w:r>
            <w:r>
              <w:rPr>
                <w:rFonts w:hint="default" w:ascii="Times New Roman" w:hAnsi="Times New Roman" w:cs="Times New Roman"/>
                <w:color w:val="auto"/>
                <w:sz w:val="24"/>
                <w:highlight w:val="none"/>
              </w:rPr>
              <w:t>改建</w:t>
            </w:r>
          </w:p>
          <w:p w14:paraId="4DB3C8E6">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sym w:font="Wingdings 2" w:char="00A3"/>
            </w:r>
            <w:r>
              <w:rPr>
                <w:rFonts w:hint="default" w:ascii="Times New Roman" w:hAnsi="Times New Roman" w:cs="Times New Roman"/>
                <w:color w:val="auto"/>
                <w:sz w:val="24"/>
                <w:highlight w:val="none"/>
              </w:rPr>
              <w:t>扩建</w:t>
            </w:r>
          </w:p>
          <w:p w14:paraId="6EE0A852">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□技术改造</w:t>
            </w:r>
          </w:p>
        </w:tc>
        <w:tc>
          <w:tcPr>
            <w:tcW w:w="1483" w:type="dxa"/>
            <w:vAlign w:val="center"/>
          </w:tcPr>
          <w:p w14:paraId="16F77AF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建设项目</w:t>
            </w:r>
          </w:p>
          <w:p w14:paraId="3BEE680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申报情形</w:t>
            </w:r>
          </w:p>
        </w:tc>
        <w:tc>
          <w:tcPr>
            <w:tcW w:w="3444" w:type="dxa"/>
            <w:vAlign w:val="center"/>
          </w:tcPr>
          <w:p w14:paraId="051FEC9B">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sym w:font="Wingdings 2" w:char="0052"/>
            </w:r>
            <w:r>
              <w:rPr>
                <w:rFonts w:hint="default" w:ascii="Times New Roman" w:hAnsi="Times New Roman" w:cs="Times New Roman"/>
                <w:color w:val="auto"/>
                <w:sz w:val="24"/>
                <w:highlight w:val="none"/>
              </w:rPr>
              <w:t xml:space="preserve">首次申报项目             </w:t>
            </w:r>
          </w:p>
          <w:p w14:paraId="09A6FD7D">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□不予批准后再次申报项目</w:t>
            </w:r>
          </w:p>
          <w:p w14:paraId="7E6F9DCF">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□超五年重新审核项目     </w:t>
            </w:r>
          </w:p>
          <w:p w14:paraId="25B3D1D2">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□重大变动重新报批项目</w:t>
            </w:r>
          </w:p>
        </w:tc>
      </w:tr>
      <w:tr w14:paraId="1C398C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14" w:type="dxa"/>
            <w:tcMar>
              <w:top w:w="16" w:type="dxa"/>
              <w:left w:w="16" w:type="dxa"/>
              <w:right w:w="16" w:type="dxa"/>
            </w:tcMar>
            <w:vAlign w:val="center"/>
          </w:tcPr>
          <w:p w14:paraId="7BB64A0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项目审批（核准/备案）部门（选填）</w:t>
            </w:r>
          </w:p>
        </w:tc>
        <w:tc>
          <w:tcPr>
            <w:tcW w:w="2434" w:type="dxa"/>
            <w:vAlign w:val="center"/>
          </w:tcPr>
          <w:p w14:paraId="086E046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commentRangeStart w:id="1"/>
            <w:r>
              <w:rPr>
                <w:rFonts w:hint="default" w:ascii="Times New Roman" w:hAnsi="Times New Roman" w:cs="Times New Roman"/>
                <w:color w:val="auto"/>
                <w:sz w:val="24"/>
                <w:highlight w:val="none"/>
              </w:rPr>
              <w:t>芜湖市湾沚区发展和改革委员会</w:t>
            </w:r>
          </w:p>
        </w:tc>
        <w:tc>
          <w:tcPr>
            <w:tcW w:w="1483" w:type="dxa"/>
            <w:vAlign w:val="center"/>
          </w:tcPr>
          <w:p w14:paraId="51BDF4B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项目审批（核准/备案）文号（选填）</w:t>
            </w:r>
          </w:p>
          <w:commentRangeEnd w:id="1"/>
          <w:p w14:paraId="6F977F75">
            <w:pPr>
              <w:keepNext w:val="0"/>
              <w:keepLines w:val="0"/>
              <w:suppressLineNumbers w:val="0"/>
              <w:spacing w:before="0" w:beforeAutospacing="0" w:after="0" w:afterAutospacing="0"/>
              <w:ind w:left="0" w:right="0"/>
              <w:rPr>
                <w:rFonts w:hint="default"/>
                <w:color w:val="auto"/>
              </w:rPr>
            </w:pPr>
            <w:r>
              <w:rPr>
                <w:rFonts w:hint="default"/>
                <w:color w:val="auto"/>
              </w:rPr>
              <w:commentReference w:id="1"/>
            </w:r>
          </w:p>
        </w:tc>
        <w:tc>
          <w:tcPr>
            <w:tcW w:w="3444" w:type="dxa"/>
            <w:vAlign w:val="center"/>
          </w:tcPr>
          <w:p w14:paraId="1636A1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highlight w:val="none"/>
                <w:lang w:eastAsia="zh-CN"/>
              </w:rPr>
            </w:pPr>
            <w:r>
              <w:rPr>
                <w:rFonts w:hint="eastAsia" w:cs="Times New Roman"/>
                <w:color w:val="auto"/>
                <w:kern w:val="0"/>
                <w:sz w:val="24"/>
                <w:highlight w:val="none"/>
                <w:lang w:eastAsia="zh-CN"/>
              </w:rPr>
              <w:t>湾发改备【2025】404号</w:t>
            </w:r>
          </w:p>
        </w:tc>
      </w:tr>
      <w:tr w14:paraId="100AC3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5CA3C20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总投资</w:t>
            </w:r>
          </w:p>
          <w:p w14:paraId="7AEF27C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（万元）</w:t>
            </w:r>
          </w:p>
        </w:tc>
        <w:tc>
          <w:tcPr>
            <w:tcW w:w="2434" w:type="dxa"/>
            <w:vAlign w:val="center"/>
          </w:tcPr>
          <w:p w14:paraId="2A701F6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rPr>
              <w:t>000</w:t>
            </w:r>
          </w:p>
        </w:tc>
        <w:tc>
          <w:tcPr>
            <w:tcW w:w="1483" w:type="dxa"/>
            <w:tcMar>
              <w:top w:w="16" w:type="dxa"/>
              <w:left w:w="16" w:type="dxa"/>
              <w:right w:w="16" w:type="dxa"/>
            </w:tcMar>
            <w:vAlign w:val="center"/>
          </w:tcPr>
          <w:p w14:paraId="6E601CD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环保投资</w:t>
            </w:r>
          </w:p>
          <w:p w14:paraId="08EFBB4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（万元）</w:t>
            </w:r>
          </w:p>
        </w:tc>
        <w:tc>
          <w:tcPr>
            <w:tcW w:w="3444" w:type="dxa"/>
            <w:vAlign w:val="center"/>
          </w:tcPr>
          <w:p w14:paraId="6D1625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128</w:t>
            </w:r>
          </w:p>
        </w:tc>
      </w:tr>
      <w:tr w14:paraId="5856B3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14" w:type="dxa"/>
            <w:tcMar>
              <w:top w:w="16" w:type="dxa"/>
              <w:left w:w="16" w:type="dxa"/>
              <w:right w:w="16" w:type="dxa"/>
            </w:tcMar>
            <w:vAlign w:val="center"/>
          </w:tcPr>
          <w:p w14:paraId="324582D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环保投资占比（%）</w:t>
            </w:r>
          </w:p>
        </w:tc>
        <w:tc>
          <w:tcPr>
            <w:tcW w:w="2434" w:type="dxa"/>
            <w:vAlign w:val="center"/>
          </w:tcPr>
          <w:p w14:paraId="03A453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6.4</w:t>
            </w:r>
          </w:p>
        </w:tc>
        <w:tc>
          <w:tcPr>
            <w:tcW w:w="1483" w:type="dxa"/>
            <w:tcMar>
              <w:top w:w="16" w:type="dxa"/>
              <w:left w:w="16" w:type="dxa"/>
              <w:right w:w="16" w:type="dxa"/>
            </w:tcMar>
            <w:vAlign w:val="center"/>
          </w:tcPr>
          <w:p w14:paraId="48EF6A8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施工工期</w:t>
            </w:r>
          </w:p>
        </w:tc>
        <w:tc>
          <w:tcPr>
            <w:tcW w:w="3444" w:type="dxa"/>
            <w:vAlign w:val="center"/>
          </w:tcPr>
          <w:p w14:paraId="703C072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rPr>
              <w:t>个月</w:t>
            </w:r>
          </w:p>
        </w:tc>
      </w:tr>
      <w:tr w14:paraId="0FCCA9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7CED619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是否开工建设</w:t>
            </w:r>
          </w:p>
        </w:tc>
        <w:tc>
          <w:tcPr>
            <w:tcW w:w="2434" w:type="dxa"/>
            <w:vAlign w:val="center"/>
          </w:tcPr>
          <w:p w14:paraId="148FE1AE">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☑否</w:t>
            </w:r>
          </w:p>
          <w:p w14:paraId="4D2199A0">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□是</w:t>
            </w:r>
          </w:p>
        </w:tc>
        <w:tc>
          <w:tcPr>
            <w:tcW w:w="1483" w:type="dxa"/>
            <w:tcMar>
              <w:top w:w="16" w:type="dxa"/>
              <w:left w:w="16" w:type="dxa"/>
              <w:right w:w="16" w:type="dxa"/>
            </w:tcMar>
            <w:vAlign w:val="center"/>
          </w:tcPr>
          <w:p w14:paraId="535DE52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6"/>
                <w:sz w:val="24"/>
                <w:highlight w:val="none"/>
              </w:rPr>
            </w:pPr>
            <w:r>
              <w:rPr>
                <w:rFonts w:hint="default" w:ascii="Times New Roman" w:hAnsi="Times New Roman" w:cs="Times New Roman"/>
                <w:color w:val="auto"/>
                <w:spacing w:val="-6"/>
                <w:sz w:val="24"/>
                <w:highlight w:val="none"/>
              </w:rPr>
              <w:t>用地（用海）</w:t>
            </w:r>
          </w:p>
          <w:p w14:paraId="4968AD2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pacing w:val="-6"/>
                <w:sz w:val="24"/>
                <w:highlight w:val="none"/>
              </w:rPr>
              <w:t>面积（m</w:t>
            </w:r>
            <w:r>
              <w:rPr>
                <w:rFonts w:hint="default" w:ascii="Times New Roman" w:hAnsi="Times New Roman" w:cs="Times New Roman"/>
                <w:color w:val="auto"/>
                <w:spacing w:val="-6"/>
                <w:sz w:val="24"/>
                <w:highlight w:val="none"/>
                <w:vertAlign w:val="superscript"/>
              </w:rPr>
              <w:t>2</w:t>
            </w:r>
            <w:r>
              <w:rPr>
                <w:rFonts w:hint="default" w:ascii="Times New Roman" w:hAnsi="Times New Roman" w:cs="Times New Roman"/>
                <w:color w:val="auto"/>
                <w:spacing w:val="-6"/>
                <w:sz w:val="24"/>
                <w:highlight w:val="none"/>
              </w:rPr>
              <w:t>）</w:t>
            </w:r>
          </w:p>
        </w:tc>
        <w:tc>
          <w:tcPr>
            <w:tcW w:w="3444" w:type="dxa"/>
            <w:vAlign w:val="center"/>
          </w:tcPr>
          <w:p w14:paraId="20D330F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highlight w:val="none"/>
                <w:lang w:eastAsia="zh-CN"/>
              </w:rPr>
            </w:pPr>
            <w:r>
              <w:rPr>
                <w:rFonts w:hint="eastAsia" w:cs="Times New Roman"/>
                <w:bCs/>
                <w:color w:val="auto"/>
                <w:sz w:val="24"/>
                <w:highlight w:val="none"/>
                <w:lang w:eastAsia="zh-CN"/>
              </w:rPr>
              <w:t>5817.6</w:t>
            </w:r>
          </w:p>
        </w:tc>
      </w:tr>
      <w:tr w14:paraId="505A53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514" w:type="dxa"/>
            <w:vAlign w:val="center"/>
          </w:tcPr>
          <w:p w14:paraId="7FDAC69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专项评价设置情况</w:t>
            </w:r>
          </w:p>
        </w:tc>
        <w:tc>
          <w:tcPr>
            <w:tcW w:w="7361" w:type="dxa"/>
            <w:gridSpan w:val="3"/>
            <w:vAlign w:val="center"/>
          </w:tcPr>
          <w:p w14:paraId="324E96C7">
            <w:pPr>
              <w:keepNext w:val="0"/>
              <w:keepLines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highlight w:val="none"/>
                <w:lang w:eastAsia="zh-CN"/>
              </w:rPr>
            </w:pPr>
            <w:r>
              <w:rPr>
                <w:rFonts w:hint="eastAsia" w:cs="Times New Roman"/>
                <w:color w:val="auto"/>
                <w:sz w:val="24"/>
                <w:highlight w:val="none"/>
                <w:lang w:val="en-US" w:eastAsia="zh-CN"/>
              </w:rPr>
              <w:t>无</w:t>
            </w:r>
          </w:p>
        </w:tc>
      </w:tr>
      <w:tr w14:paraId="181319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514" w:type="dxa"/>
            <w:vAlign w:val="center"/>
          </w:tcPr>
          <w:p w14:paraId="68BF1A5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规划</w:t>
            </w:r>
          </w:p>
          <w:p w14:paraId="2FB1375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情况</w:t>
            </w:r>
          </w:p>
        </w:tc>
        <w:tc>
          <w:tcPr>
            <w:tcW w:w="7361" w:type="dxa"/>
            <w:gridSpan w:val="3"/>
            <w:vAlign w:val="center"/>
          </w:tcPr>
          <w:p w14:paraId="0B5454D5">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规划名称：《安徽新芜经济开发区扩区总体发展规划（2023-2035）》</w:t>
            </w:r>
          </w:p>
          <w:p w14:paraId="61B557E6">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审批机关：安徽省人民政府</w:t>
            </w:r>
          </w:p>
          <w:p w14:paraId="3BD5D2FF">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审查文件名称及文号：/</w:t>
            </w:r>
          </w:p>
        </w:tc>
      </w:tr>
      <w:tr w14:paraId="7EEE9A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514" w:type="dxa"/>
            <w:vAlign w:val="center"/>
          </w:tcPr>
          <w:p w14:paraId="30B9E15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规划环境影响评价情况</w:t>
            </w:r>
          </w:p>
        </w:tc>
        <w:tc>
          <w:tcPr>
            <w:tcW w:w="7361" w:type="dxa"/>
            <w:gridSpan w:val="3"/>
            <w:vAlign w:val="center"/>
          </w:tcPr>
          <w:p w14:paraId="73D44D5D">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规划环境影响评价文件名称：《</w:t>
            </w:r>
            <w:r>
              <w:rPr>
                <w:rFonts w:hint="default" w:ascii="Times New Roman" w:hAnsi="Times New Roman" w:cs="Times New Roman"/>
                <w:color w:val="auto"/>
                <w:sz w:val="24"/>
                <w:highlight w:val="none"/>
              </w:rPr>
              <w:t>安徽新芜经济开发区扩区总体发展规划（2023-2035）</w:t>
            </w:r>
            <w:r>
              <w:rPr>
                <w:rFonts w:hint="default" w:ascii="Times New Roman" w:hAnsi="Times New Roman" w:cs="Times New Roman"/>
                <w:color w:val="auto"/>
                <w:kern w:val="0"/>
                <w:sz w:val="24"/>
                <w:szCs w:val="21"/>
                <w:highlight w:val="none"/>
              </w:rPr>
              <w:t>环境影响报告书》</w:t>
            </w:r>
          </w:p>
          <w:p w14:paraId="204BC69D">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Times New Roman" w:hAnsi="Times New Roman" w:cs="Times New Roman"/>
                <w:color w:val="auto"/>
                <w:kern w:val="0"/>
                <w:sz w:val="24"/>
                <w:szCs w:val="21"/>
                <w:highlight w:val="none"/>
              </w:rPr>
            </w:pPr>
            <w:r>
              <w:rPr>
                <w:rFonts w:hint="default" w:ascii="Times New Roman" w:hAnsi="Times New Roman" w:cs="Times New Roman"/>
                <w:color w:val="auto"/>
                <w:kern w:val="0"/>
                <w:sz w:val="24"/>
                <w:szCs w:val="21"/>
                <w:highlight w:val="none"/>
              </w:rPr>
              <w:t>召集审查机关：安徽省生态环境厅</w:t>
            </w:r>
          </w:p>
          <w:p w14:paraId="4871E909">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Times New Roman" w:hAnsi="Times New Roman" w:cs="Times New Roman"/>
                <w:color w:val="auto"/>
                <w:highlight w:val="none"/>
              </w:rPr>
            </w:pPr>
            <w:r>
              <w:rPr>
                <w:rFonts w:hint="default" w:ascii="Times New Roman" w:hAnsi="Times New Roman" w:cs="Times New Roman"/>
                <w:color w:val="auto"/>
                <w:kern w:val="0"/>
                <w:sz w:val="24"/>
                <w:szCs w:val="21"/>
                <w:highlight w:val="none"/>
              </w:rPr>
              <w:t>审批文件名称及文号：安徽省生态环境厅关于印送《安徽新芜经济开发区扩区总体发展规划（2023-2035年）环境影响报</w:t>
            </w:r>
            <w:commentRangeStart w:id="2"/>
            <w:r>
              <w:rPr>
                <w:rFonts w:hint="default" w:ascii="Times New Roman" w:hAnsi="Times New Roman" w:cs="Times New Roman"/>
                <w:color w:val="auto"/>
                <w:kern w:val="0"/>
                <w:sz w:val="24"/>
                <w:szCs w:val="21"/>
                <w:highlight w:val="none"/>
              </w:rPr>
              <w:t>告书</w:t>
            </w:r>
            <w:r>
              <w:rPr>
                <w:rFonts w:hint="eastAsia" w:cs="Times New Roman"/>
                <w:color w:val="auto"/>
                <w:kern w:val="0"/>
                <w:sz w:val="24"/>
                <w:szCs w:val="21"/>
                <w:highlight w:val="none"/>
                <w:lang w:val="en-US" w:eastAsia="zh-CN"/>
              </w:rPr>
              <w:t>审</w:t>
            </w:r>
            <w:r>
              <w:rPr>
                <w:rFonts w:hint="default" w:ascii="Times New Roman" w:hAnsi="Times New Roman" w:cs="Times New Roman"/>
                <w:color w:val="auto"/>
                <w:kern w:val="0"/>
                <w:sz w:val="24"/>
                <w:szCs w:val="21"/>
                <w:highlight w:val="none"/>
              </w:rPr>
              <w:t>查意见</w:t>
            </w:r>
            <w:commentRangeEnd w:id="2"/>
            <w:r>
              <w:rPr>
                <w:rFonts w:hint="default"/>
                <w:color w:val="auto"/>
              </w:rPr>
              <w:commentReference w:id="2"/>
            </w:r>
            <w:r>
              <w:rPr>
                <w:rFonts w:hint="default" w:ascii="Times New Roman" w:hAnsi="Times New Roman" w:cs="Times New Roman"/>
                <w:color w:val="auto"/>
                <w:kern w:val="0"/>
                <w:sz w:val="24"/>
                <w:szCs w:val="21"/>
                <w:highlight w:val="none"/>
              </w:rPr>
              <w:t>》的函（皖环函〔2024〕870号）</w:t>
            </w:r>
          </w:p>
        </w:tc>
      </w:tr>
      <w:tr w14:paraId="3E74A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8" w:hRule="atLeast"/>
          <w:jc w:val="center"/>
        </w:trPr>
        <w:tc>
          <w:tcPr>
            <w:tcW w:w="1514" w:type="dxa"/>
            <w:vAlign w:val="center"/>
          </w:tcPr>
          <w:p w14:paraId="1D9B2A5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规划及规划环境影响评价符合性分析</w:t>
            </w:r>
          </w:p>
        </w:tc>
        <w:tc>
          <w:tcPr>
            <w:tcW w:w="7361" w:type="dxa"/>
            <w:gridSpan w:val="3"/>
            <w:vAlign w:val="center"/>
          </w:tcPr>
          <w:p w14:paraId="484D1270">
            <w:pPr>
              <w:keepNext w:val="0"/>
              <w:keepLines w:val="0"/>
              <w:suppressLineNumbers w:val="0"/>
              <w:spacing w:before="0" w:beforeAutospacing="0" w:after="0" w:afterAutospacing="0" w:line="360" w:lineRule="auto"/>
              <w:ind w:left="0" w:right="0" w:firstLine="540" w:firstLineChars="224"/>
              <w:rPr>
                <w:rFonts w:hint="default" w:ascii="Times New Roman" w:hAnsi="Times New Roman" w:cs="Times New Roman" w:eastAsiaTheme="minorEastAsia"/>
                <w:b/>
                <w:color w:val="auto"/>
                <w:sz w:val="24"/>
                <w:highlight w:val="none"/>
              </w:rPr>
            </w:pPr>
            <w:r>
              <w:rPr>
                <w:rFonts w:hint="default" w:ascii="Times New Roman" w:hAnsi="Times New Roman" w:cs="Times New Roman" w:eastAsiaTheme="minorEastAsia"/>
                <w:b/>
                <w:color w:val="auto"/>
                <w:sz w:val="24"/>
                <w:highlight w:val="none"/>
              </w:rPr>
              <w:t>1、</w:t>
            </w:r>
            <w:r>
              <w:rPr>
                <w:rFonts w:hint="default" w:ascii="Times New Roman" w:hAnsi="Times New Roman" w:cs="Times New Roman" w:eastAsiaTheme="minorEastAsia"/>
                <w:b/>
                <w:bCs/>
                <w:color w:val="auto"/>
                <w:sz w:val="24"/>
                <w:highlight w:val="none"/>
              </w:rPr>
              <w:t>与规划</w:t>
            </w:r>
            <w:r>
              <w:rPr>
                <w:rFonts w:hint="default" w:ascii="Times New Roman" w:hAnsi="Times New Roman" w:cs="Times New Roman" w:eastAsiaTheme="minorEastAsia"/>
                <w:b/>
                <w:color w:val="auto"/>
                <w:sz w:val="24"/>
                <w:highlight w:val="none"/>
              </w:rPr>
              <w:t>相符性分析</w:t>
            </w:r>
          </w:p>
          <w:p w14:paraId="12393D1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（1）用地性质符合性</w:t>
            </w:r>
          </w:p>
          <w:p w14:paraId="6028988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安徽新芜经济开发区扩区总体发展规划（2023-2035）环境影响报告书》：安徽新芜经济开发区扩区后开发区总体规划面积1835.46公顷，其中：区块一面积为857.85公顷，四至范围为东至凤栖路，南至朝阳路，西至芜屯快速通道，北至蟠龙路；区块二面积为292.28公顷，四至范围为东至双桥路，南至中兴四路，西至凤鸣路，北至阳光大道；区块三面积685.33公顷，四至范围为东至经五路，南至协鑫路，西至汪溪路，北至北二路。项目位于</w:t>
            </w:r>
            <w:r>
              <w:rPr>
                <w:rFonts w:hint="eastAsia" w:cs="Times New Roman"/>
                <w:color w:val="auto"/>
                <w:sz w:val="24"/>
                <w:highlight w:val="none"/>
                <w:lang w:eastAsia="zh-CN"/>
              </w:rPr>
              <w:t>安徽省芜湖市湾沚区新芜经济开发区芜屯快速通道3699号02幢2号厂房</w:t>
            </w:r>
            <w:r>
              <w:rPr>
                <w:rFonts w:hint="default" w:ascii="Times New Roman" w:hAnsi="Times New Roman" w:cs="Times New Roman"/>
                <w:color w:val="auto"/>
                <w:sz w:val="24"/>
                <w:highlight w:val="none"/>
              </w:rPr>
              <w:t>，属于开发区用地范围，属于工业用地，故本项目用地性质符合区域规划要求。</w:t>
            </w:r>
          </w:p>
          <w:p w14:paraId="2134D6F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（2）产业定位符合性</w:t>
            </w:r>
          </w:p>
          <w:p w14:paraId="2BC7343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bCs/>
                <w:color w:val="auto"/>
                <w:sz w:val="24"/>
                <w:highlight w:val="none"/>
              </w:rPr>
              <w:t>新芜经济开发区主</w:t>
            </w:r>
            <w:r>
              <w:rPr>
                <w:rFonts w:hint="default" w:ascii="Times New Roman" w:hAnsi="Times New Roman" w:cs="Times New Roman"/>
                <w:color w:val="auto"/>
                <w:sz w:val="24"/>
                <w:highlight w:val="none"/>
              </w:rPr>
              <w:t>导产业为汽车零部件及高端装备制造、新能源新材料、电子电器。根据《安徽新芜经济开发区总体发展规划（2023-2035 年）环境影响报告书》，在总体规划划定的产业分区布局的基础上，后续入驻企业需严格按照规划分区入驻，其中区块一西部入驻以汽车零部件及配件制造、汽车车身、挂车制造、电车制造为主的汽车零部件企业，区块一东部、区块二及区块三南部布置以烘炉、风机、包装等设备制造、泵、阀门、压缩机及类似机械制造、通用零部件制造业为主的装备制造企业，区块三北部布置以输配电及控制设备制、家用电力器具制、电机制造产业为主的电子电器企业。促进产业集群发展，充分发挥不同行业的组团效应，对现有不符合功能分区的项目，要严格控制现有企业规模，未来逐步进行产业升级调整。</w:t>
            </w:r>
          </w:p>
          <w:p w14:paraId="186687F7">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lang w:val="zh-CN"/>
              </w:rPr>
              <w:t>表1-</w:t>
            </w:r>
            <w:r>
              <w:rPr>
                <w:rFonts w:hint="eastAsia" w:cs="Times New Roman"/>
                <w:b/>
                <w:color w:val="auto"/>
                <w:kern w:val="0"/>
                <w:sz w:val="24"/>
                <w:szCs w:val="20"/>
                <w:highlight w:val="none"/>
                <w:lang w:val="en-US" w:eastAsia="zh-CN"/>
              </w:rPr>
              <w:t>1</w:t>
            </w:r>
            <w:r>
              <w:rPr>
                <w:rFonts w:hint="default" w:ascii="Times New Roman" w:hAnsi="Times New Roman" w:cs="Times New Roman"/>
                <w:b/>
                <w:color w:val="auto"/>
                <w:kern w:val="0"/>
                <w:sz w:val="24"/>
                <w:szCs w:val="20"/>
                <w:highlight w:val="none"/>
                <w:lang w:val="zh-CN"/>
              </w:rPr>
              <w:t xml:space="preserve">  </w:t>
            </w:r>
            <w:r>
              <w:rPr>
                <w:rFonts w:hint="default" w:ascii="Times New Roman" w:hAnsi="Times New Roman" w:cs="Times New Roman"/>
                <w:b/>
                <w:color w:val="auto"/>
                <w:kern w:val="0"/>
                <w:sz w:val="24"/>
                <w:szCs w:val="20"/>
                <w:highlight w:val="none"/>
              </w:rPr>
              <w:t>安徽新芜经济开发区入区行业的控制建议表</w:t>
            </w:r>
          </w:p>
          <w:tbl>
            <w:tblPr>
              <w:tblStyle w:val="61"/>
              <w:tblW w:w="71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2061"/>
              <w:gridCol w:w="3824"/>
              <w:gridCol w:w="440"/>
            </w:tblGrid>
            <w:tr w14:paraId="227AF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10" w:type="dxa"/>
                  <w:vAlign w:val="center"/>
                </w:tcPr>
                <w:p w14:paraId="6F68107F">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类别</w:t>
                  </w:r>
                </w:p>
              </w:tc>
              <w:tc>
                <w:tcPr>
                  <w:tcW w:w="2061" w:type="dxa"/>
                  <w:vAlign w:val="center"/>
                </w:tcPr>
                <w:p w14:paraId="66D67EF7">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主导产业</w:t>
                  </w:r>
                </w:p>
              </w:tc>
              <w:tc>
                <w:tcPr>
                  <w:tcW w:w="3824" w:type="dxa"/>
                  <w:vAlign w:val="center"/>
                </w:tcPr>
                <w:p w14:paraId="2E58A123">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行业类别</w:t>
                  </w:r>
                </w:p>
              </w:tc>
              <w:tc>
                <w:tcPr>
                  <w:tcW w:w="440" w:type="dxa"/>
                  <w:vAlign w:val="center"/>
                </w:tcPr>
                <w:p w14:paraId="5FB5097F">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备注</w:t>
                  </w:r>
                </w:p>
              </w:tc>
            </w:tr>
            <w:tr w14:paraId="50B48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restart"/>
                  <w:vAlign w:val="center"/>
                </w:tcPr>
                <w:p w14:paraId="5E0021FC">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鼓励类</w:t>
                  </w:r>
                </w:p>
              </w:tc>
              <w:tc>
                <w:tcPr>
                  <w:tcW w:w="2061" w:type="dxa"/>
                  <w:vMerge w:val="restart"/>
                  <w:vAlign w:val="center"/>
                </w:tcPr>
                <w:p w14:paraId="43EDCC9B">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34 通用设备制造业</w:t>
                  </w:r>
                </w:p>
              </w:tc>
              <w:tc>
                <w:tcPr>
                  <w:tcW w:w="3824" w:type="dxa"/>
                  <w:vAlign w:val="center"/>
                </w:tcPr>
                <w:p w14:paraId="65AF9713">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344泵、阀门、压缩机及类似机械制造</w:t>
                  </w:r>
                </w:p>
              </w:tc>
              <w:tc>
                <w:tcPr>
                  <w:tcW w:w="440" w:type="dxa"/>
                  <w:vMerge w:val="restart"/>
                  <w:vAlign w:val="center"/>
                </w:tcPr>
                <w:p w14:paraId="250A460C">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安徽新芜经济开发区扩区规划环评要求</w:t>
                  </w:r>
                </w:p>
              </w:tc>
            </w:tr>
            <w:tr w14:paraId="30BC8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10" w:type="dxa"/>
                  <w:vMerge w:val="continue"/>
                  <w:vAlign w:val="center"/>
                </w:tcPr>
                <w:p w14:paraId="5F1825F0">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continue"/>
                  <w:vAlign w:val="center"/>
                </w:tcPr>
                <w:p w14:paraId="41EC42B2">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p>
              </w:tc>
              <w:tc>
                <w:tcPr>
                  <w:tcW w:w="3824" w:type="dxa"/>
                  <w:vAlign w:val="center"/>
                </w:tcPr>
                <w:p w14:paraId="050E0C08">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346烘炉、风机、包装等设备制造</w:t>
                  </w:r>
                </w:p>
              </w:tc>
              <w:tc>
                <w:tcPr>
                  <w:tcW w:w="440" w:type="dxa"/>
                  <w:vMerge w:val="continue"/>
                  <w:vAlign w:val="center"/>
                </w:tcPr>
                <w:p w14:paraId="6E073B39">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1DAF0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2E6E5F43">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continue"/>
                  <w:vAlign w:val="center"/>
                </w:tcPr>
                <w:p w14:paraId="3304812B">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p>
              </w:tc>
              <w:tc>
                <w:tcPr>
                  <w:tcW w:w="3824" w:type="dxa"/>
                  <w:vAlign w:val="center"/>
                </w:tcPr>
                <w:p w14:paraId="6A2222E9">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348通用零部件制造</w:t>
                  </w:r>
                </w:p>
              </w:tc>
              <w:tc>
                <w:tcPr>
                  <w:tcW w:w="440" w:type="dxa"/>
                  <w:vMerge w:val="continue"/>
                  <w:vAlign w:val="center"/>
                </w:tcPr>
                <w:p w14:paraId="32477DBA">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51165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45402551">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restart"/>
                  <w:vAlign w:val="center"/>
                </w:tcPr>
                <w:p w14:paraId="723C222C">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36 汽车制造业</w:t>
                  </w:r>
                </w:p>
              </w:tc>
              <w:tc>
                <w:tcPr>
                  <w:tcW w:w="3824" w:type="dxa"/>
                  <w:vAlign w:val="center"/>
                </w:tcPr>
                <w:p w14:paraId="66568772">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365电车制造</w:t>
                  </w:r>
                </w:p>
              </w:tc>
              <w:tc>
                <w:tcPr>
                  <w:tcW w:w="440" w:type="dxa"/>
                  <w:vMerge w:val="continue"/>
                  <w:vAlign w:val="center"/>
                </w:tcPr>
                <w:p w14:paraId="51D13387">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41F8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72DBDDFE">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continue"/>
                  <w:vAlign w:val="center"/>
                </w:tcPr>
                <w:p w14:paraId="7CBB4956">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p>
              </w:tc>
              <w:tc>
                <w:tcPr>
                  <w:tcW w:w="3824" w:type="dxa"/>
                  <w:vAlign w:val="center"/>
                </w:tcPr>
                <w:p w14:paraId="76B52D0A">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366汽车车身、挂车制造</w:t>
                  </w:r>
                </w:p>
              </w:tc>
              <w:tc>
                <w:tcPr>
                  <w:tcW w:w="440" w:type="dxa"/>
                  <w:vMerge w:val="continue"/>
                  <w:vAlign w:val="center"/>
                </w:tcPr>
                <w:p w14:paraId="17E281C6">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2939A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59BE4D7D">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continue"/>
                  <w:vAlign w:val="center"/>
                </w:tcPr>
                <w:p w14:paraId="39046003">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p>
              </w:tc>
              <w:tc>
                <w:tcPr>
                  <w:tcW w:w="3824" w:type="dxa"/>
                  <w:vAlign w:val="center"/>
                </w:tcPr>
                <w:p w14:paraId="0BA12BDF">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367汽车零部件及配件制造</w:t>
                  </w:r>
                </w:p>
              </w:tc>
              <w:tc>
                <w:tcPr>
                  <w:tcW w:w="440" w:type="dxa"/>
                  <w:vMerge w:val="continue"/>
                  <w:vAlign w:val="center"/>
                </w:tcPr>
                <w:p w14:paraId="6E29DBA9">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3BDD4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7EFCF2D7">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restart"/>
                  <w:vAlign w:val="center"/>
                </w:tcPr>
                <w:p w14:paraId="3D12DA22">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38 电气机械和器材制造业</w:t>
                  </w:r>
                </w:p>
              </w:tc>
              <w:tc>
                <w:tcPr>
                  <w:tcW w:w="3824" w:type="dxa"/>
                  <w:vAlign w:val="center"/>
                </w:tcPr>
                <w:p w14:paraId="0C541D94">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381电机制造</w:t>
                  </w:r>
                </w:p>
              </w:tc>
              <w:tc>
                <w:tcPr>
                  <w:tcW w:w="440" w:type="dxa"/>
                  <w:vMerge w:val="continue"/>
                  <w:vAlign w:val="center"/>
                </w:tcPr>
                <w:p w14:paraId="67BC3691">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6B22C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5C5C037B">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continue"/>
                  <w:vAlign w:val="center"/>
                </w:tcPr>
                <w:p w14:paraId="37222B96">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p>
              </w:tc>
              <w:tc>
                <w:tcPr>
                  <w:tcW w:w="3824" w:type="dxa"/>
                  <w:vAlign w:val="center"/>
                </w:tcPr>
                <w:p w14:paraId="1E49D711">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b/>
                      <w:bCs/>
                      <w:color w:val="auto"/>
                      <w:kern w:val="0"/>
                      <w:szCs w:val="21"/>
                      <w:highlight w:val="none"/>
                    </w:rPr>
                  </w:pPr>
                  <w:r>
                    <w:rPr>
                      <w:rFonts w:hint="default" w:ascii="Times New Roman" w:hAnsi="Times New Roman" w:cs="Times New Roman"/>
                      <w:color w:val="auto"/>
                      <w:kern w:val="0"/>
                      <w:szCs w:val="21"/>
                      <w:highlight w:val="none"/>
                    </w:rPr>
                    <w:t>382输配电及控制设备制造</w:t>
                  </w:r>
                </w:p>
              </w:tc>
              <w:tc>
                <w:tcPr>
                  <w:tcW w:w="440" w:type="dxa"/>
                  <w:vMerge w:val="continue"/>
                  <w:vAlign w:val="center"/>
                </w:tcPr>
                <w:p w14:paraId="76624EAE">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5819D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 w:type="dxa"/>
                  <w:vMerge w:val="continue"/>
                  <w:vAlign w:val="center"/>
                </w:tcPr>
                <w:p w14:paraId="454FE137">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2061" w:type="dxa"/>
                  <w:vMerge w:val="continue"/>
                  <w:vAlign w:val="center"/>
                </w:tcPr>
                <w:p w14:paraId="57E62C32">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p>
              </w:tc>
              <w:tc>
                <w:tcPr>
                  <w:tcW w:w="3824" w:type="dxa"/>
                  <w:vAlign w:val="center"/>
                </w:tcPr>
                <w:p w14:paraId="4499A434">
                  <w:pPr>
                    <w:keepNext w:val="0"/>
                    <w:keepLines w:val="0"/>
                    <w:widowControl/>
                    <w:suppressLineNumbers w:val="0"/>
                    <w:tabs>
                      <w:tab w:val="left" w:pos="4305"/>
                    </w:tabs>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385家用电力器具制造</w:t>
                  </w:r>
                </w:p>
              </w:tc>
              <w:tc>
                <w:tcPr>
                  <w:tcW w:w="440" w:type="dxa"/>
                  <w:vMerge w:val="continue"/>
                  <w:vAlign w:val="center"/>
                </w:tcPr>
                <w:p w14:paraId="12C7E39F">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1CDA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 w:type="dxa"/>
                  <w:vAlign w:val="center"/>
                </w:tcPr>
                <w:p w14:paraId="495B9A71">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限值类</w:t>
                  </w:r>
                </w:p>
              </w:tc>
              <w:tc>
                <w:tcPr>
                  <w:tcW w:w="5885" w:type="dxa"/>
                  <w:gridSpan w:val="2"/>
                  <w:vAlign w:val="center"/>
                </w:tcPr>
                <w:p w14:paraId="1BBD19A9">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（1）限制新建、扩建《产业结构调整指导目录（2024 年本）》） </w:t>
                  </w:r>
                </w:p>
                <w:p w14:paraId="178C3A6B">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中限制类项目； </w:t>
                  </w:r>
                </w:p>
                <w:p w14:paraId="70D3E3D5">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（2）限制新增与主导产业无关的产业项目入驻； </w:t>
                  </w:r>
                </w:p>
                <w:p w14:paraId="580C8D77">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（3）限制现有与主导产业不符企业扩大产能； </w:t>
                  </w:r>
                </w:p>
                <w:p w14:paraId="50A722E9">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（4）安徽新芜经济开发区涉及电镀工序项目必须在开发区内表面处理中心内建设； </w:t>
                  </w:r>
                </w:p>
                <w:p w14:paraId="39AB5A19">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5）对开发区内现有化工企业按照《关于进一步规范化工项目建设管理的通知》等文件要求妥善安置，不得扩大产能。新建危险化学品生产（含中间产品）项目，以爆炸性化学品、剧（高）毒化学品、液化烃类易燃易爆化学品为主要原料的化工生产项目，以及其他构成危险化学品重大危险源或依法应取得安全使用许可证的化工生产项目不得进入开发区。</w:t>
                  </w:r>
                </w:p>
              </w:tc>
              <w:tc>
                <w:tcPr>
                  <w:tcW w:w="440" w:type="dxa"/>
                  <w:vMerge w:val="continue"/>
                  <w:vAlign w:val="center"/>
                </w:tcPr>
                <w:p w14:paraId="1CC74ED5">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r w14:paraId="1EE2C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 w:type="dxa"/>
                  <w:vAlign w:val="center"/>
                </w:tcPr>
                <w:p w14:paraId="14D33EBD">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禁止类</w:t>
                  </w:r>
                </w:p>
              </w:tc>
              <w:tc>
                <w:tcPr>
                  <w:tcW w:w="5885" w:type="dxa"/>
                  <w:gridSpan w:val="2"/>
                  <w:vAlign w:val="center"/>
                </w:tcPr>
                <w:p w14:paraId="70FCE7D7">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（1）禁止引入列入《产业结构调整指导目录（2024年本）》、 </w:t>
                  </w:r>
                </w:p>
                <w:p w14:paraId="42869AFB">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《外商投资准入特别管理措施（负面清单）》（2021年版）、 </w:t>
                  </w:r>
                </w:p>
                <w:p w14:paraId="0DF0963F">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《市场准入负面清单（2022年版）》、《安徽省长江经济带发展负面清单实施细则（试行）》等相关产业政策中禁止或淘汰类项目。 </w:t>
                  </w:r>
                </w:p>
                <w:p w14:paraId="35EFBE16">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（2）禁止新建、扩建法律法规和相关政策明令禁止的落后产能项目； </w:t>
                  </w:r>
                </w:p>
                <w:p w14:paraId="63C95E39">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（3）禁止新建、扩建不符合国家产能置换要求的严重过剩产能行业的项目； </w:t>
                  </w:r>
                </w:p>
                <w:p w14:paraId="5CE1EB04">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 xml:space="preserve">（4）禁止引入《安徽省“两高”项目管理目录》内项目； </w:t>
                  </w:r>
                </w:p>
                <w:p w14:paraId="6D418C26">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（5）禁止引入印染项目（不含涂布油墨印花及其前处理工艺）。</w:t>
                  </w:r>
                </w:p>
              </w:tc>
              <w:tc>
                <w:tcPr>
                  <w:tcW w:w="440" w:type="dxa"/>
                  <w:vMerge w:val="continue"/>
                  <w:vAlign w:val="center"/>
                </w:tcPr>
                <w:p w14:paraId="5B38BFCD">
                  <w:pPr>
                    <w:keepNext w:val="0"/>
                    <w:keepLines w:val="0"/>
                    <w:widowControl/>
                    <w:suppressLineNumbers w:val="0"/>
                    <w:tabs>
                      <w:tab w:val="left" w:pos="4305"/>
                    </w:tabs>
                    <w:spacing w:before="0" w:beforeAutospacing="0" w:after="0" w:afterAutospacing="0"/>
                    <w:ind w:left="0" w:right="0"/>
                    <w:jc w:val="center"/>
                    <w:rPr>
                      <w:rFonts w:hint="default" w:ascii="Times New Roman" w:hAnsi="Times New Roman" w:cs="Times New Roman"/>
                      <w:color w:val="auto"/>
                      <w:kern w:val="0"/>
                      <w:szCs w:val="21"/>
                      <w:highlight w:val="none"/>
                    </w:rPr>
                  </w:pPr>
                </w:p>
              </w:tc>
            </w:tr>
          </w:tbl>
          <w:p w14:paraId="13C94245">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bCs/>
                <w:color w:val="auto"/>
                <w:sz w:val="24"/>
                <w:highlight w:val="none"/>
              </w:rPr>
            </w:pPr>
            <w:r>
              <w:rPr>
                <w:rFonts w:hint="default"/>
                <w:color w:val="auto"/>
              </w:rPr>
              <w:commentReference w:id="3"/>
            </w:r>
            <w:r>
              <w:rPr>
                <w:rFonts w:hint="default" w:ascii="Times New Roman" w:hAnsi="Times New Roman" w:cs="Times New Roman"/>
                <w:bCs/>
                <w:color w:val="auto"/>
                <w:sz w:val="24"/>
                <w:highlight w:val="none"/>
              </w:rPr>
              <w:t>本项目属于</w:t>
            </w:r>
            <w:r>
              <w:rPr>
                <w:rFonts w:hint="eastAsia" w:cs="Times New Roman"/>
                <w:color w:val="auto"/>
                <w:sz w:val="24"/>
                <w:highlight w:val="none"/>
                <w:lang w:eastAsia="zh-CN"/>
              </w:rPr>
              <w:t>C3311金属结构制造</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C3670汽车零部件及配件制造</w:t>
            </w:r>
            <w:r>
              <w:rPr>
                <w:rFonts w:hint="default" w:ascii="Times New Roman" w:hAnsi="Times New Roman" w:cs="Times New Roman"/>
                <w:bCs/>
                <w:color w:val="auto"/>
                <w:sz w:val="24"/>
                <w:highlight w:val="none"/>
              </w:rPr>
              <w:t>，</w:t>
            </w:r>
            <w:r>
              <w:rPr>
                <w:rFonts w:hint="default" w:ascii="Times New Roman" w:hAnsi="Times New Roman" w:cs="Times New Roman"/>
                <w:bCs/>
                <w:color w:val="auto"/>
                <w:sz w:val="24"/>
                <w:highlight w:val="none"/>
                <w:lang w:val="en-US" w:eastAsia="zh-CN"/>
              </w:rPr>
              <w:t>其中</w:t>
            </w:r>
            <w:r>
              <w:rPr>
                <w:rFonts w:hint="default" w:ascii="Times New Roman" w:hAnsi="Times New Roman" w:cs="Times New Roman"/>
                <w:color w:val="auto"/>
                <w:sz w:val="24"/>
                <w:highlight w:val="none"/>
              </w:rPr>
              <w:t>C</w:t>
            </w:r>
            <w:commentRangeStart w:id="4"/>
            <w:r>
              <w:rPr>
                <w:rFonts w:hint="default" w:ascii="Times New Roman" w:hAnsi="Times New Roman" w:cs="Times New Roman"/>
                <w:color w:val="auto"/>
                <w:sz w:val="24"/>
                <w:highlight w:val="none"/>
              </w:rPr>
              <w:t>3670汽车零部件</w:t>
            </w:r>
            <w:commentRangeEnd w:id="4"/>
            <w:r>
              <w:rPr>
                <w:rFonts w:hint="default"/>
                <w:color w:val="auto"/>
              </w:rPr>
              <w:commentReference w:id="4"/>
            </w:r>
            <w:r>
              <w:rPr>
                <w:rFonts w:hint="default" w:ascii="Times New Roman" w:hAnsi="Times New Roman" w:cs="Times New Roman"/>
                <w:color w:val="auto"/>
                <w:sz w:val="24"/>
                <w:highlight w:val="none"/>
              </w:rPr>
              <w:t>及配件制造属于规划主导行</w:t>
            </w:r>
            <w:r>
              <w:rPr>
                <w:rFonts w:hint="default" w:ascii="Times New Roman" w:hAnsi="Times New Roman" w:cs="Times New Roman"/>
                <w:bCs/>
                <w:color w:val="auto"/>
                <w:sz w:val="24"/>
                <w:highlight w:val="none"/>
              </w:rPr>
              <w:t>业</w:t>
            </w:r>
            <w:r>
              <w:rPr>
                <w:rFonts w:hint="default" w:ascii="Times New Roman" w:hAnsi="Times New Roman" w:cs="Times New Roman"/>
                <w:bCs/>
                <w:color w:val="auto"/>
                <w:sz w:val="24"/>
                <w:highlight w:val="none"/>
                <w:lang w:val="en-US" w:eastAsia="zh-CN"/>
              </w:rPr>
              <w:t>中的</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367汽车零部件及配件制造</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bCs/>
                <w:color w:val="auto"/>
                <w:sz w:val="24"/>
                <w:highlight w:val="none"/>
              </w:rPr>
              <w:t>，</w:t>
            </w:r>
            <w:r>
              <w:rPr>
                <w:rFonts w:hint="default" w:ascii="Times New Roman" w:hAnsi="Times New Roman" w:cs="Times New Roman"/>
                <w:bCs/>
                <w:color w:val="auto"/>
                <w:sz w:val="24"/>
                <w:szCs w:val="24"/>
                <w:highlight w:val="none"/>
                <w:lang w:val="en-US" w:eastAsia="zh-CN"/>
              </w:rPr>
              <w:t>属于鼓励类项目，不属于安徽新芜经济开发区扩区“限制类”和“禁止类”项目。</w:t>
            </w:r>
            <w:r>
              <w:rPr>
                <w:rFonts w:hint="default" w:ascii="Times New Roman" w:hAnsi="Times New Roman" w:cs="Times New Roman"/>
                <w:bCs/>
                <w:color w:val="auto"/>
                <w:sz w:val="24"/>
                <w:highlight w:val="none"/>
              </w:rPr>
              <w:t>本项目运营期污染物排放及能源消耗均较低，不属于高污染行业、不属于国家和地区禁止和限值发展的项目，因此，项目符合</w:t>
            </w:r>
            <w:r>
              <w:rPr>
                <w:rFonts w:hint="default" w:ascii="Times New Roman" w:hAnsi="Times New Roman" w:cs="Times New Roman"/>
                <w:color w:val="auto"/>
                <w:sz w:val="24"/>
                <w:highlight w:val="none"/>
              </w:rPr>
              <w:t>环境准入清单的</w:t>
            </w:r>
            <w:r>
              <w:rPr>
                <w:rFonts w:hint="default" w:ascii="Times New Roman" w:hAnsi="Times New Roman" w:cs="Times New Roman"/>
                <w:bCs/>
                <w:color w:val="auto"/>
                <w:sz w:val="24"/>
                <w:highlight w:val="none"/>
              </w:rPr>
              <w:t>要求。</w:t>
            </w:r>
          </w:p>
          <w:p w14:paraId="77A6C9DE">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2、与规划环评审查意见相符性分析</w:t>
            </w:r>
          </w:p>
          <w:p w14:paraId="711E6FB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《安徽新芜经济开发区扩区总体发展规划（2023-2035 年）环境影响报告书》于2024年10月10日经安徽省生态环境厅组织专家和相关部门审查通过，经对比环评及审查意见，与本项目有关的主要要求及对应分析如下：</w:t>
            </w:r>
          </w:p>
          <w:p w14:paraId="6C7E3300">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lang w:val="zh-CN"/>
              </w:rPr>
              <w:t>表1-</w:t>
            </w:r>
            <w:r>
              <w:rPr>
                <w:rFonts w:hint="eastAsia" w:cs="Times New Roman"/>
                <w:b/>
                <w:color w:val="auto"/>
                <w:kern w:val="0"/>
                <w:sz w:val="24"/>
                <w:szCs w:val="20"/>
                <w:highlight w:val="none"/>
                <w:lang w:val="en-US" w:eastAsia="zh-CN"/>
              </w:rPr>
              <w:t>2</w:t>
            </w:r>
            <w:r>
              <w:rPr>
                <w:rFonts w:hint="default" w:ascii="Times New Roman" w:hAnsi="Times New Roman" w:cs="Times New Roman"/>
                <w:b/>
                <w:color w:val="auto"/>
                <w:kern w:val="0"/>
                <w:sz w:val="24"/>
                <w:szCs w:val="20"/>
                <w:highlight w:val="none"/>
                <w:lang w:val="zh-CN"/>
              </w:rPr>
              <w:t xml:space="preserve">  本项目与规划环评审查意见相符性分析一览表</w:t>
            </w:r>
          </w:p>
          <w:tbl>
            <w:tblPr>
              <w:tblStyle w:val="61"/>
              <w:tblW w:w="71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4042"/>
              <w:gridCol w:w="1644"/>
              <w:gridCol w:w="975"/>
            </w:tblGrid>
            <w:tr w14:paraId="15084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6F6D884C">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4042" w:type="dxa"/>
                  <w:vAlign w:val="center"/>
                </w:tcPr>
                <w:p w14:paraId="1DCD771F">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规划环评批复内容</w:t>
                  </w:r>
                </w:p>
              </w:tc>
              <w:tc>
                <w:tcPr>
                  <w:tcW w:w="1644" w:type="dxa"/>
                  <w:vAlign w:val="center"/>
                </w:tcPr>
                <w:p w14:paraId="4ABEC138">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本项目情况</w:t>
                  </w:r>
                </w:p>
              </w:tc>
              <w:tc>
                <w:tcPr>
                  <w:tcW w:w="975" w:type="dxa"/>
                  <w:vAlign w:val="center"/>
                </w:tcPr>
                <w:p w14:paraId="3ADBAAF5">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符合性</w:t>
                  </w:r>
                </w:p>
              </w:tc>
            </w:tr>
            <w:tr w14:paraId="7130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3" w:hRule="atLeast"/>
              </w:trPr>
              <w:tc>
                <w:tcPr>
                  <w:tcW w:w="474" w:type="dxa"/>
                  <w:vAlign w:val="center"/>
                </w:tcPr>
                <w:p w14:paraId="5FA8475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4042" w:type="dxa"/>
                  <w:vAlign w:val="center"/>
                </w:tcPr>
                <w:p w14:paraId="53455CF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规划》应全面贯彻落实习近平生态文明思想，加强《规划》与《长江三角洲区域一体化发展规划纲要》、深入打好污染防治攻坚战等相关要求、区域生态环境分区管控要求等的协调衔接。统筹推进开发区整体发展和生态保护，基于区域资源、生态、环境等制约因素合理控制开发利用强度和开发区建设时序，进一步提高土地利用效率，协调好产业发展与区域环境保护的关系。统筹开发区减污降碳协同共治、资源节约集约及循环化利用、能源智慧高效利用、环境风险防控等重大事项，引导开发区高质量发展。认真落实开发区近期发展规划，着力推进开发区产业转型升级和结构优化，结合区域生态环境承载力，确保产业发展与区域生态环境保护、人居环境质量保障相协调。区内现有化工企业应按照《关于进一步规范化工项目建设管理的通知》等文件要求妥善安置，不得扩大产能。</w:t>
                  </w:r>
                </w:p>
              </w:tc>
              <w:tc>
                <w:tcPr>
                  <w:tcW w:w="1644" w:type="dxa"/>
                  <w:vAlign w:val="center"/>
                </w:tcPr>
                <w:p w14:paraId="718586F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w:t>
                  </w:r>
                  <w:r>
                    <w:rPr>
                      <w:rFonts w:hint="default" w:ascii="Times New Roman" w:hAnsi="Times New Roman" w:cs="Times New Roman"/>
                      <w:color w:val="auto"/>
                      <w:szCs w:val="21"/>
                      <w:highlight w:val="none"/>
                      <w:lang w:val="en-US" w:eastAsia="zh-CN"/>
                    </w:rPr>
                    <w:t>占地</w:t>
                  </w:r>
                  <w:r>
                    <w:rPr>
                      <w:rFonts w:hint="eastAsia" w:cs="Times New Roman"/>
                      <w:color w:val="auto"/>
                      <w:szCs w:val="21"/>
                      <w:highlight w:val="none"/>
                      <w:lang w:val="en-US" w:eastAsia="zh-CN"/>
                    </w:rPr>
                    <w:t>面积5817.6</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，属于工业用地，本项目为</w:t>
                  </w:r>
                  <w:r>
                    <w:rPr>
                      <w:rFonts w:hint="eastAsia" w:cs="Times New Roman"/>
                      <w:color w:val="auto"/>
                      <w:szCs w:val="21"/>
                      <w:highlight w:val="none"/>
                      <w:lang w:eastAsia="zh-CN"/>
                    </w:rPr>
                    <w:t>C3311金属结构制造</w:t>
                  </w:r>
                  <w:r>
                    <w:rPr>
                      <w:rFonts w:hint="default" w:ascii="Times New Roman" w:hAnsi="Times New Roman" w:cs="Times New Roman"/>
                      <w:color w:val="auto"/>
                      <w:szCs w:val="21"/>
                      <w:highlight w:val="none"/>
                      <w:lang w:eastAsia="zh-CN"/>
                    </w:rPr>
                    <w:t>、C3670汽车零部件及配件制造</w:t>
                  </w:r>
                  <w:r>
                    <w:rPr>
                      <w:rFonts w:hint="default" w:ascii="Times New Roman" w:hAnsi="Times New Roman" w:cs="Times New Roman"/>
                      <w:color w:val="auto"/>
                      <w:szCs w:val="21"/>
                      <w:highlight w:val="none"/>
                    </w:rPr>
                    <w:t>，不属于化工企业。</w:t>
                  </w:r>
                </w:p>
              </w:tc>
              <w:tc>
                <w:tcPr>
                  <w:tcW w:w="975" w:type="dxa"/>
                  <w:vAlign w:val="center"/>
                </w:tcPr>
                <w:p w14:paraId="29F1C9C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0ACD4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1C4D9F2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4042" w:type="dxa"/>
                  <w:vAlign w:val="center"/>
                </w:tcPr>
                <w:p w14:paraId="1300A6D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发区应坚持“生态优先、绿色发展”的战略定位，严格落实我省“1515”管控要求，以生态环境质量改善、防范环境风险为核心，明确开发区发展存在的环境制约因素，统筹考虑对下游国省控断面及开发区周边居民区的生态环境影响。根据国家和安徽省大气、水、土壤、环境风险防范和固体废物污染防治相关要求，妥善解决区域现存生态环境问题，确保开发区建设项目污染物长期稳定达标排放，区域生态环境质量持续优化。</w:t>
                  </w:r>
                </w:p>
              </w:tc>
              <w:tc>
                <w:tcPr>
                  <w:tcW w:w="1644" w:type="dxa"/>
                  <w:vAlign w:val="center"/>
                </w:tcPr>
                <w:p w14:paraId="1376003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本项目符合我省“1515”管控要求，不在芜湖市生态红线范围内。根据</w:t>
                  </w:r>
                  <w:r>
                    <w:rPr>
                      <w:rFonts w:hint="default" w:ascii="Times New Roman" w:hAnsi="Times New Roman" w:cs="Times New Roman"/>
                      <w:color w:val="auto"/>
                      <w:kern w:val="0"/>
                      <w:szCs w:val="21"/>
                      <w:highlight w:val="none"/>
                      <w:lang w:bidi="ar"/>
                    </w:rPr>
                    <w:t>“芜湖市湾沚区环境空气质量自动监测站点2024年监测全年统计结果”项目</w:t>
                  </w:r>
                  <w:r>
                    <w:rPr>
                      <w:rFonts w:hint="default" w:ascii="Times New Roman" w:hAnsi="Times New Roman" w:cs="Times New Roman"/>
                      <w:color w:val="auto"/>
                      <w:szCs w:val="21"/>
                      <w:highlight w:val="none"/>
                    </w:rPr>
                    <w:t>所在区域为环境空气质量达标区域。</w:t>
                  </w:r>
                </w:p>
              </w:tc>
              <w:tc>
                <w:tcPr>
                  <w:tcW w:w="975" w:type="dxa"/>
                  <w:vAlign w:val="center"/>
                </w:tcPr>
                <w:p w14:paraId="687CFAC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41DA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4" w:type="dxa"/>
                  <w:vAlign w:val="center"/>
                </w:tcPr>
                <w:p w14:paraId="1C36093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4042" w:type="dxa"/>
                  <w:vAlign w:val="center"/>
                </w:tcPr>
                <w:p w14:paraId="28D08B2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落实生态环境分区管控要求，结合国家和省长江经济带发展负面清单管控要求及区域资源优势和环境制约因素、开发区产业定位等，进一步完善扩区总体发展规划，优化功能分区和空间布局。合理规划不同功能区的环境保护空间，严禁不符合管控要求的各类开发建设活动，规划实施不得损害周边地表水、地下水、空气和声环境等敏感目标环境质量和生态功能。做好开发区工业企业与周边地表水体、居住区等各类环境保护目标的有效隔离，居住区周边严禁布设生态环境影响较大的建设项目，保障居住区的生态环境质量，实现产业发展与区域生态环境保护相协调。</w:t>
                  </w:r>
                </w:p>
              </w:tc>
              <w:tc>
                <w:tcPr>
                  <w:tcW w:w="1644" w:type="dxa"/>
                  <w:vAlign w:val="center"/>
                </w:tcPr>
                <w:p w14:paraId="7EF0B0A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本项目位于</w:t>
                  </w:r>
                  <w:r>
                    <w:rPr>
                      <w:rFonts w:hint="eastAsia" w:cs="Times New Roman"/>
                      <w:color w:val="auto"/>
                      <w:szCs w:val="21"/>
                      <w:highlight w:val="none"/>
                      <w:lang w:eastAsia="zh-CN"/>
                    </w:rPr>
                    <w:t>安徽省芜湖市湾沚区新芜经济开发区芜屯快速通道3699号02幢2号厂房</w:t>
                  </w:r>
                  <w:r>
                    <w:rPr>
                      <w:rFonts w:hint="default" w:ascii="Times New Roman" w:hAnsi="Times New Roman" w:cs="Times New Roman"/>
                      <w:color w:val="auto"/>
                      <w:szCs w:val="21"/>
                      <w:highlight w:val="none"/>
                    </w:rPr>
                    <w:t>，位于工业区内，且不属于生态影响较大的建设项目，</w:t>
                  </w:r>
                  <w:r>
                    <w:rPr>
                      <w:rFonts w:hint="eastAsia" w:cs="Times New Roman"/>
                      <w:color w:val="auto"/>
                      <w:highlight w:val="none"/>
                      <w:lang w:val="en-US" w:eastAsia="zh-CN"/>
                    </w:rPr>
                    <w:t>距离项目最近西侧31m有一敏感保护目标</w:t>
                  </w:r>
                  <w:r>
                    <w:rPr>
                      <w:rFonts w:hint="default" w:ascii="Times New Roman" w:hAnsi="Times New Roman" w:cs="Times New Roman"/>
                      <w:color w:val="auto"/>
                      <w:highlight w:val="none"/>
                    </w:rPr>
                    <w:t>。</w:t>
                  </w:r>
                </w:p>
              </w:tc>
              <w:tc>
                <w:tcPr>
                  <w:tcW w:w="975" w:type="dxa"/>
                  <w:vAlign w:val="center"/>
                </w:tcPr>
                <w:p w14:paraId="08BAA28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37B5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72F4B3C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4042" w:type="dxa"/>
                  <w:vAlign w:val="center"/>
                </w:tcPr>
                <w:p w14:paraId="4474356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按照环保基础设施适当超前建设原则，根据开发时序和开发强度要求，进一步优化区域供水、排水、供气、供热、交通等规划，完善开发区各项环保基础设施建设及中水回用计划，开发区废水应实现全收集，加快城东污水处理厂改造进度，以满足开发区工业企业生产废水处理要求。开发区内所有电镀废水应进入电镀中心污水处理设施集中处理处置，重金属等特征污染因子经电镀中心污水处理设施处理，达到直排标准后排入工业污水处理厂。结合区域环境质量现状，细化开发区污染防治基础设施建设、排放和运行管理要求，保障开发区周边受纳水体、空气环境、水环境功能及相关考核点位稳定达标。</w:t>
                  </w:r>
                </w:p>
              </w:tc>
              <w:tc>
                <w:tcPr>
                  <w:tcW w:w="1644" w:type="dxa"/>
                  <w:vAlign w:val="center"/>
                </w:tcPr>
                <w:p w14:paraId="5F0D83F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本项目生活污水经化粪池处理后和经污水处理站处理的</w:t>
                  </w:r>
                  <w:r>
                    <w:rPr>
                      <w:rFonts w:hint="default" w:ascii="Times New Roman" w:hAnsi="Times New Roman" w:cs="Times New Roman"/>
                      <w:color w:val="auto"/>
                      <w:szCs w:val="21"/>
                      <w:highlight w:val="none"/>
                      <w:lang w:val="en-US" w:eastAsia="zh-CN"/>
                    </w:rPr>
                    <w:t>喷枪清洗废水、水性光亮剂配比废水、超声波清洗废水、前处理线废水、纯水制备浓水、</w:t>
                  </w:r>
                  <w:r>
                    <w:rPr>
                      <w:rFonts w:hint="default" w:ascii="Times New Roman" w:hAnsi="Times New Roman" w:cs="Times New Roman"/>
                      <w:color w:val="auto"/>
                      <w:szCs w:val="21"/>
                      <w:highlight w:val="none"/>
                    </w:rPr>
                    <w:t>喷漆水帘柜</w:t>
                  </w:r>
                  <w:r>
                    <w:rPr>
                      <w:rFonts w:hint="default" w:ascii="Times New Roman" w:hAnsi="Times New Roman" w:cs="Times New Roman"/>
                      <w:color w:val="auto"/>
                      <w:szCs w:val="21"/>
                      <w:highlight w:val="none"/>
                      <w:lang w:val="en-US" w:eastAsia="zh-CN"/>
                    </w:rPr>
                    <w:t>废水</w:t>
                  </w:r>
                  <w:r>
                    <w:rPr>
                      <w:rFonts w:hint="default" w:ascii="Times New Roman" w:hAnsi="Times New Roman" w:cs="Times New Roman"/>
                      <w:color w:val="auto"/>
                      <w:szCs w:val="21"/>
                      <w:highlight w:val="none"/>
                    </w:rPr>
                    <w:t>一同经市政污水管网排入芜湖县新芜开发区城东污水处理厂处理。</w:t>
                  </w:r>
                </w:p>
              </w:tc>
              <w:tc>
                <w:tcPr>
                  <w:tcW w:w="975" w:type="dxa"/>
                  <w:vAlign w:val="center"/>
                </w:tcPr>
                <w:p w14:paraId="2EAC51F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145AC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7E8CEAB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w:t>
                  </w:r>
                </w:p>
              </w:tc>
              <w:tc>
                <w:tcPr>
                  <w:tcW w:w="4042" w:type="dxa"/>
                  <w:vAlign w:val="center"/>
                </w:tcPr>
                <w:p w14:paraId="4230658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次规划调整不涉及主导产业变更，《报告书》应根据国家和区域发展战略，结合区域生态环境质量现状、生态环境分区管控要求和现行生态环境管理要求等，进一步完善开发区空间布局管控和产业准入管理。严格执行国家产业政策，严禁不符合长江流域生态环境保护要求的项目入园。坚决遏制“两高一低”项目盲目发展，限制与规划主导产业不相关且污染物排放量大的项目入区，现有不符合开发区《规划》和环境保护要求的企业应逐步升级改造或有序退出。</w:t>
                  </w:r>
                </w:p>
              </w:tc>
              <w:tc>
                <w:tcPr>
                  <w:tcW w:w="1644" w:type="dxa"/>
                  <w:vAlign w:val="center"/>
                </w:tcPr>
                <w:p w14:paraId="54F7E6D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本项目为</w:t>
                  </w:r>
                  <w:r>
                    <w:rPr>
                      <w:rFonts w:hint="eastAsia" w:cs="Times New Roman"/>
                      <w:color w:val="auto"/>
                      <w:szCs w:val="21"/>
                      <w:highlight w:val="none"/>
                      <w:lang w:eastAsia="zh-CN"/>
                    </w:rPr>
                    <w:t>C3311金属结构制造</w:t>
                  </w:r>
                  <w:r>
                    <w:rPr>
                      <w:rFonts w:hint="default" w:ascii="Times New Roman" w:hAnsi="Times New Roman" w:eastAsia="宋体" w:cs="Times New Roman"/>
                      <w:color w:val="auto"/>
                      <w:szCs w:val="21"/>
                      <w:highlight w:val="none"/>
                      <w:lang w:eastAsia="zh-CN"/>
                    </w:rPr>
                    <w:t>、C3670汽车零部件及配件制造</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val="en-US" w:eastAsia="zh-CN"/>
                    </w:rPr>
                    <w:t>其中</w:t>
                  </w:r>
                  <w:r>
                    <w:rPr>
                      <w:rFonts w:hint="default" w:ascii="Times New Roman" w:hAnsi="Times New Roman" w:eastAsia="宋体" w:cs="Times New Roman"/>
                      <w:color w:val="auto"/>
                      <w:szCs w:val="21"/>
                      <w:highlight w:val="none"/>
                    </w:rPr>
                    <w:t>C3670汽车零部件及配件制造</w:t>
                  </w:r>
                  <w:r>
                    <w:rPr>
                      <w:rFonts w:hint="default" w:ascii="Times New Roman" w:hAnsi="Times New Roman" w:cs="Times New Roman"/>
                      <w:color w:val="auto"/>
                      <w:szCs w:val="21"/>
                      <w:highlight w:val="none"/>
                    </w:rPr>
                    <w:t>属于园区规划的主导产业，项目为扩建项目，对照产业结构调整指导目录（2024 年本），属于允许类，本项目不属于“两高一低”项目。</w:t>
                  </w:r>
                </w:p>
              </w:tc>
              <w:tc>
                <w:tcPr>
                  <w:tcW w:w="975" w:type="dxa"/>
                  <w:vAlign w:val="center"/>
                </w:tcPr>
                <w:p w14:paraId="07594BD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247A1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0C8277F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6</w:t>
                  </w:r>
                </w:p>
              </w:tc>
              <w:tc>
                <w:tcPr>
                  <w:tcW w:w="4042" w:type="dxa"/>
                  <w:vAlign w:val="center"/>
                </w:tcPr>
                <w:p w14:paraId="06D89FC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着力提升开发区环境管理水平，统筹考虑区域内污染物排放、大气环境保护、水环境保护、环境风险防范、环境管理等要求，健全区域风险防范体系和生态安全保障体系，加强开发区内重要环境风险源的管控，完善环境风险防范应急措施。加强日常环境监管与监测，落实区域环境管理要求。做好开发区重大环境风险源的识别与管控，电镀中心等区域应落实环境风险三级防控措施，确保事故废水与外环境有效隔离、及时处置。在规划实施过程中，适时开展规划环境影响的跟踪评价。结合规划环评及跟踪评价成果，同步更新“区域评估环境标准”成果，若规划发生重大调整或修订的，应重新或补充进行环境影响评价。</w:t>
                  </w:r>
                </w:p>
              </w:tc>
              <w:tc>
                <w:tcPr>
                  <w:tcW w:w="1644" w:type="dxa"/>
                  <w:vAlign w:val="center"/>
                </w:tcPr>
                <w:p w14:paraId="680E8C0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园区已制定并落实园区综合环境风险防范、预警和应急体系；本项目将配备应急物资，并定期演练；项目将严格落实建设项目“三同时”制度。</w:t>
                  </w:r>
                </w:p>
              </w:tc>
              <w:tc>
                <w:tcPr>
                  <w:tcW w:w="975" w:type="dxa"/>
                  <w:vAlign w:val="center"/>
                </w:tcPr>
                <w:p w14:paraId="23C9A94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bl>
          <w:p w14:paraId="4768C24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综上所述，本项目建设符合安徽新芜经济开发区扩区总体发展规划，项目运行后对周边环境影响较小，从环保的角度分析，项目的选址合理。</w:t>
            </w:r>
          </w:p>
          <w:p w14:paraId="2B58D85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1779018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27FAB2C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2DE9B2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475BCD6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2852D3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61C49CF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2525281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6E0173A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D1EA75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3334097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174CF4A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390B27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894B0D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4835DDA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9C16F2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77350DA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A01ED4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45F22D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E9E481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299AEC6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3358104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550DA3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D71BAA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tc>
      </w:tr>
      <w:tr w14:paraId="38E3EC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99" w:hRule="atLeast"/>
          <w:jc w:val="center"/>
        </w:trPr>
        <w:tc>
          <w:tcPr>
            <w:tcW w:w="1514" w:type="dxa"/>
            <w:vAlign w:val="center"/>
          </w:tcPr>
          <w:p w14:paraId="030DA34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其他符合性分析</w:t>
            </w:r>
          </w:p>
        </w:tc>
        <w:tc>
          <w:tcPr>
            <w:tcW w:w="7361" w:type="dxa"/>
            <w:gridSpan w:val="3"/>
            <w:vAlign w:val="center"/>
          </w:tcPr>
          <w:p w14:paraId="7412F8DC">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1、建设项目产业政策符合性</w:t>
            </w:r>
          </w:p>
          <w:p w14:paraId="3DCED97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color w:val="auto"/>
                <w:sz w:val="24"/>
                <w:highlight w:val="none"/>
              </w:rPr>
              <w:t>依据《国民经济行业分类》（GB/T4754-2017）（2019修改版），本项目属于</w:t>
            </w:r>
            <w:r>
              <w:rPr>
                <w:rFonts w:hint="eastAsia" w:cs="Times New Roman"/>
                <w:bCs/>
                <w:color w:val="auto"/>
                <w:sz w:val="24"/>
                <w:highlight w:val="none"/>
                <w:lang w:eastAsia="zh-CN"/>
              </w:rPr>
              <w:t>C3311金属结构制造</w:t>
            </w:r>
            <w:r>
              <w:rPr>
                <w:rFonts w:hint="default" w:ascii="Times New Roman" w:hAnsi="Times New Roman" w:cs="Times New Roman"/>
                <w:bCs/>
                <w:color w:val="auto"/>
                <w:sz w:val="24"/>
                <w:highlight w:val="none"/>
                <w:lang w:eastAsia="zh-CN"/>
              </w:rPr>
              <w:t>、C3670汽车零部件及配件制造</w:t>
            </w:r>
            <w:r>
              <w:rPr>
                <w:rFonts w:hint="default" w:ascii="Times New Roman" w:hAnsi="Times New Roman" w:cs="Times New Roman"/>
                <w:bCs/>
                <w:color w:val="auto"/>
                <w:sz w:val="24"/>
                <w:highlight w:val="none"/>
              </w:rPr>
              <w:t>。</w:t>
            </w:r>
          </w:p>
          <w:p w14:paraId="6D9AA45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根据国家发展和改革委员会《产业结构调整指导目录（2024年本）》，</w:t>
            </w:r>
            <w:r>
              <w:rPr>
                <w:rFonts w:hint="eastAsia" w:cs="Times New Roman"/>
                <w:bCs/>
                <w:color w:val="auto"/>
                <w:sz w:val="24"/>
                <w:highlight w:val="none"/>
                <w:lang w:eastAsia="zh-CN"/>
              </w:rPr>
              <w:t>C3311金属结构制造</w:t>
            </w:r>
            <w:r>
              <w:rPr>
                <w:rFonts w:hint="default" w:ascii="Times New Roman" w:hAnsi="Times New Roman" w:cs="Times New Roman"/>
                <w:bCs/>
                <w:color w:val="auto"/>
                <w:sz w:val="24"/>
                <w:highlight w:val="none"/>
                <w:lang w:eastAsia="zh-CN"/>
              </w:rPr>
              <w:t>、C3670汽车零部件及配件制造</w:t>
            </w:r>
            <w:r>
              <w:rPr>
                <w:rFonts w:hint="default" w:ascii="Times New Roman" w:hAnsi="Times New Roman" w:cs="Times New Roman"/>
                <w:color w:val="auto"/>
                <w:sz w:val="24"/>
                <w:highlight w:val="none"/>
              </w:rPr>
              <w:t>不属于其中“鼓励类”、“限制类”、“淘汰类”项目，属于“允许类”，符合国家产业政策。</w:t>
            </w:r>
          </w:p>
          <w:p w14:paraId="708C791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项目生产过程中不含有《部分工业行业淘汰落后生产工艺装备和产品指导目录（2010年本）》中列出的淘汰设备。</w:t>
            </w:r>
          </w:p>
          <w:p w14:paraId="7FDE26A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sz w:val="24"/>
                <w:highlight w:val="none"/>
              </w:rPr>
              <w:t>本项目不属于《市场准入负面清单（2025年版）》中的负面清单。</w:t>
            </w:r>
          </w:p>
          <w:p w14:paraId="69280E6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本项目不属于《安徽省节能减排及应对气候变化工作领导小组关于印发安徽省“两高”项目管理名录（试行）的通知》（皖节能﹝2022）2号）中的“两高”项目。</w:t>
            </w:r>
          </w:p>
          <w:p w14:paraId="5B0C5063">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rPr>
              <w:t>对照《自然资源要素支撑产业高质量发展指导目录（2024年本）》，本项目不属于其中的鼓励类、限制类和禁止类，且项目属于园区主导产业，符合国家产业</w:t>
            </w:r>
            <w:r>
              <w:rPr>
                <w:rFonts w:hint="default" w:ascii="Times New Roman" w:hAnsi="Times New Roman" w:eastAsia="宋体" w:cs="Times New Roman"/>
                <w:color w:val="auto"/>
                <w:sz w:val="24"/>
                <w:highlight w:val="none"/>
              </w:rPr>
              <w:t>政策法律法规，属于允许类。</w:t>
            </w:r>
          </w:p>
          <w:p w14:paraId="5226941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对照《外商投资产业指导目录（</w:t>
            </w:r>
            <w:r>
              <w:rPr>
                <w:rFonts w:hint="default" w:ascii="Times New Roman" w:hAnsi="Times New Roman" w:eastAsia="宋体" w:cs="Times New Roman"/>
                <w:color w:val="auto"/>
                <w:sz w:val="24"/>
                <w:highlight w:val="none"/>
                <w:lang w:val="en-US" w:eastAsia="zh-CN"/>
              </w:rPr>
              <w:t>2017</w:t>
            </w:r>
            <w:r>
              <w:rPr>
                <w:rFonts w:hint="eastAsia" w:ascii="Times New Roman" w:hAnsi="Times New Roman" w:eastAsia="宋体" w:cs="Times New Roman"/>
                <w:color w:val="auto"/>
                <w:sz w:val="24"/>
                <w:highlight w:val="none"/>
                <w:lang w:val="en-US" w:eastAsia="zh-CN"/>
              </w:rPr>
              <w:t>年修订）》，本项目属于其中的鼓励类“（二十二、计算机、通信和其他电子设备制造业-255.新型电子元器件制造）”，符合国家产业政策。</w:t>
            </w:r>
          </w:p>
          <w:p w14:paraId="6CB9380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且项目已经获得芜湖市湾沚区发展和改革委员会的备案许可，项目编码为</w:t>
            </w:r>
            <w:r>
              <w:rPr>
                <w:rFonts w:hint="eastAsia" w:cs="Times New Roman"/>
                <w:color w:val="auto"/>
                <w:sz w:val="24"/>
                <w:highlight w:val="none"/>
                <w:lang w:eastAsia="zh-CN"/>
              </w:rPr>
              <w:t>湾发改备【2025】404号</w:t>
            </w:r>
            <w:r>
              <w:rPr>
                <w:rFonts w:hint="default" w:ascii="Times New Roman" w:hAnsi="Times New Roman" w:eastAsia="宋体" w:cs="Times New Roman"/>
                <w:color w:val="auto"/>
                <w:sz w:val="24"/>
                <w:highlight w:val="none"/>
              </w:rPr>
              <w:t>。</w:t>
            </w:r>
          </w:p>
          <w:p w14:paraId="6F31DCC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eastAsia="宋体" w:cs="Times New Roman"/>
                <w:color w:val="auto"/>
                <w:sz w:val="24"/>
                <w:highlight w:val="none"/>
              </w:rPr>
              <w:t>综上，本项目的建设符合国家和</w:t>
            </w:r>
            <w:r>
              <w:rPr>
                <w:rFonts w:hint="default" w:ascii="Times New Roman" w:hAnsi="Times New Roman" w:cs="Times New Roman"/>
                <w:color w:val="auto"/>
                <w:sz w:val="24"/>
                <w:highlight w:val="none"/>
              </w:rPr>
              <w:t>地方产业政策要求。</w:t>
            </w:r>
          </w:p>
          <w:p w14:paraId="60AAF099">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2、项目选址合理性分析</w:t>
            </w:r>
          </w:p>
          <w:p w14:paraId="110C97A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（1）选址可行性</w:t>
            </w:r>
          </w:p>
          <w:p w14:paraId="3D633F1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项目位于</w:t>
            </w:r>
            <w:r>
              <w:rPr>
                <w:rFonts w:hint="eastAsia" w:cs="Times New Roman"/>
                <w:color w:val="auto"/>
                <w:sz w:val="24"/>
                <w:highlight w:val="none"/>
                <w:lang w:eastAsia="zh-CN"/>
              </w:rPr>
              <w:t>安徽省芜湖市湾沚区新芜经济开发区芜屯快速通道3699号02幢2号厂房</w:t>
            </w:r>
            <w:r>
              <w:rPr>
                <w:rFonts w:hint="default" w:ascii="Times New Roman" w:hAnsi="Times New Roman" w:cs="Times New Roman"/>
                <w:color w:val="auto"/>
                <w:sz w:val="24"/>
                <w:highlight w:val="none"/>
              </w:rPr>
              <w:t>，项目所在地属于安徽省芜湖市新芜经济开发区，另据建设单位提供的不动产权证（</w:t>
            </w:r>
            <w:r>
              <w:rPr>
                <w:rFonts w:hint="eastAsia" w:cs="Times New Roman"/>
                <w:color w:val="auto"/>
                <w:sz w:val="24"/>
                <w:highlight w:val="none"/>
                <w:lang w:val="en-US" w:eastAsia="zh-CN"/>
              </w:rPr>
              <w:t>芜县字第201100684</w:t>
            </w:r>
            <w:r>
              <w:rPr>
                <w:rFonts w:hint="default" w:ascii="Times New Roman" w:hAnsi="Times New Roman" w:cs="Times New Roman"/>
                <w:color w:val="auto"/>
                <w:sz w:val="24"/>
                <w:highlight w:val="none"/>
              </w:rPr>
              <w:t>号），</w:t>
            </w:r>
            <w:r>
              <w:rPr>
                <w:rFonts w:hint="default" w:ascii="Times New Roman" w:hAnsi="Times New Roman" w:cs="Times New Roman"/>
                <w:color w:val="auto"/>
                <w:kern w:val="0"/>
                <w:sz w:val="24"/>
                <w:highlight w:val="none"/>
              </w:rPr>
              <w:t>项目选址所在地用地性质为工业用地，符合土地利用要求</w:t>
            </w:r>
            <w:r>
              <w:rPr>
                <w:rFonts w:hint="default" w:ascii="Times New Roman" w:hAnsi="Times New Roman" w:cs="Times New Roman"/>
                <w:color w:val="auto"/>
                <w:sz w:val="24"/>
                <w:highlight w:val="none"/>
              </w:rPr>
              <w:t>。</w:t>
            </w:r>
          </w:p>
          <w:p w14:paraId="6C10A9A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（2）周边环境相容性</w:t>
            </w:r>
          </w:p>
          <w:p w14:paraId="3177826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项目选址于</w:t>
            </w:r>
            <w:r>
              <w:rPr>
                <w:rFonts w:hint="eastAsia" w:cs="Times New Roman"/>
                <w:color w:val="auto"/>
                <w:sz w:val="24"/>
                <w:highlight w:val="none"/>
                <w:lang w:eastAsia="zh-CN"/>
              </w:rPr>
              <w:t>安徽省芜湖市湾沚区新芜经济开发区芜屯快速通道3699号02幢2号厂房</w:t>
            </w:r>
            <w:r>
              <w:rPr>
                <w:rFonts w:hint="default" w:ascii="Times New Roman" w:hAnsi="Times New Roman" w:cs="Times New Roman"/>
                <w:color w:val="auto"/>
                <w:sz w:val="24"/>
                <w:highlight w:val="none"/>
              </w:rPr>
              <w:t>，根据</w:t>
            </w:r>
            <w:r>
              <w:rPr>
                <w:rFonts w:hint="default" w:ascii="Times New Roman" w:hAnsi="Times New Roman" w:cs="Times New Roman"/>
                <w:color w:val="auto"/>
                <w:kern w:val="0"/>
                <w:sz w:val="24"/>
                <w:highlight w:val="none"/>
              </w:rPr>
              <w:t>现场</w:t>
            </w:r>
            <w:r>
              <w:rPr>
                <w:rFonts w:hint="default" w:ascii="Times New Roman" w:hAnsi="Times New Roman" w:cs="Times New Roman"/>
                <w:color w:val="auto"/>
                <w:sz w:val="24"/>
                <w:highlight w:val="none"/>
              </w:rPr>
              <w:t>勘查可知，东侧</w:t>
            </w:r>
            <w:r>
              <w:rPr>
                <w:rFonts w:hint="eastAsia" w:cs="Times New Roman"/>
                <w:color w:val="auto"/>
                <w:sz w:val="24"/>
                <w:highlight w:val="none"/>
                <w:lang w:val="en-US" w:eastAsia="zh-CN"/>
              </w:rPr>
              <w:t>为闲置厂房</w:t>
            </w:r>
            <w:r>
              <w:rPr>
                <w:rFonts w:hint="default" w:ascii="Times New Roman" w:hAnsi="Times New Roman" w:cs="Times New Roman"/>
                <w:color w:val="auto"/>
                <w:sz w:val="24"/>
                <w:highlight w:val="none"/>
              </w:rPr>
              <w:t>，西侧为</w:t>
            </w:r>
            <w:r>
              <w:rPr>
                <w:rFonts w:hint="eastAsia" w:cs="Times New Roman"/>
                <w:color w:val="auto"/>
                <w:sz w:val="24"/>
                <w:highlight w:val="none"/>
                <w:lang w:val="en-US" w:eastAsia="zh-CN"/>
              </w:rPr>
              <w:t>安徽兴泰人才公寓</w:t>
            </w:r>
            <w:r>
              <w:rPr>
                <w:rFonts w:hint="default" w:ascii="Times New Roman" w:hAnsi="Times New Roman" w:cs="Times New Roman"/>
                <w:color w:val="auto"/>
                <w:sz w:val="24"/>
                <w:highlight w:val="none"/>
              </w:rPr>
              <w:t>，南侧为</w:t>
            </w:r>
            <w:r>
              <w:rPr>
                <w:rFonts w:hint="eastAsia" w:cs="Times New Roman"/>
                <w:color w:val="auto"/>
                <w:sz w:val="24"/>
                <w:highlight w:val="none"/>
                <w:lang w:val="en-US" w:eastAsia="zh-CN"/>
              </w:rPr>
              <w:t>空地</w:t>
            </w:r>
            <w:r>
              <w:rPr>
                <w:rFonts w:hint="default" w:ascii="Times New Roman" w:hAnsi="Times New Roman" w:cs="Times New Roman"/>
                <w:color w:val="auto"/>
                <w:sz w:val="24"/>
                <w:highlight w:val="none"/>
              </w:rPr>
              <w:t>，北侧为</w:t>
            </w:r>
            <w:r>
              <w:rPr>
                <w:rFonts w:hint="eastAsia" w:cs="Times New Roman"/>
                <w:color w:val="auto"/>
                <w:sz w:val="24"/>
                <w:highlight w:val="none"/>
                <w:lang w:val="en-US" w:eastAsia="zh-CN"/>
              </w:rPr>
              <w:t>力赛佳管道支架技术（芜湖）有限公示</w:t>
            </w:r>
            <w:r>
              <w:rPr>
                <w:rFonts w:hint="default" w:ascii="Times New Roman" w:hAnsi="Times New Roman" w:cs="Times New Roman"/>
                <w:color w:val="auto"/>
                <w:sz w:val="24"/>
                <w:highlight w:val="none"/>
              </w:rPr>
              <w:t>。本项目各废气污染物均采取有效措施，可以实现达标排放，</w:t>
            </w:r>
            <w:r>
              <w:rPr>
                <w:rFonts w:hint="default" w:ascii="Times New Roman" w:hAnsi="Times New Roman" w:cs="Times New Roman"/>
                <w:color w:val="auto"/>
                <w:sz w:val="24"/>
                <w:highlight w:val="none"/>
                <w:lang w:val="zh-CN"/>
              </w:rPr>
              <w:t>同时，根据调查，</w:t>
            </w:r>
            <w:r>
              <w:rPr>
                <w:rFonts w:hint="default" w:ascii="Times New Roman" w:hAnsi="Times New Roman" w:cs="Times New Roman"/>
                <w:color w:val="auto"/>
                <w:sz w:val="24"/>
                <w:highlight w:val="none"/>
              </w:rPr>
              <w:t>项目</w:t>
            </w:r>
            <w:r>
              <w:rPr>
                <w:rFonts w:hint="eastAsia" w:cs="Times New Roman"/>
                <w:color w:val="auto"/>
                <w:sz w:val="24"/>
                <w:highlight w:val="none"/>
                <w:lang w:val="en-US" w:eastAsia="zh-CN"/>
              </w:rPr>
              <w:t>西侧31m有一敏感保护目标-安徽兴泰人才公寓</w:t>
            </w:r>
            <w:r>
              <w:rPr>
                <w:rFonts w:hint="eastAsia" w:cs="Times New Roman"/>
                <w:color w:val="auto"/>
                <w:sz w:val="24"/>
                <w:highlight w:val="none"/>
                <w:lang w:eastAsia="zh-CN"/>
              </w:rPr>
              <w:t>，</w:t>
            </w:r>
            <w:r>
              <w:rPr>
                <w:rFonts w:hint="default" w:ascii="Times New Roman" w:hAnsi="Times New Roman" w:cs="Times New Roman"/>
                <w:color w:val="auto"/>
                <w:sz w:val="24"/>
              </w:rPr>
              <w:t>需补充敏感点噪声环境质量现状检测，根据后文第三章声环境质量现状监测结果，敏感点噪声满足《声环境质量标准》（GB3096-2008）中2类声环境功能区标准</w:t>
            </w:r>
            <w:r>
              <w:rPr>
                <w:rFonts w:hint="default" w:ascii="Times New Roman" w:hAnsi="Times New Roman" w:cs="Times New Roman"/>
                <w:color w:val="auto"/>
                <w:sz w:val="24"/>
                <w:highlight w:val="none"/>
              </w:rPr>
              <w:t>。项目在落实环评提出的各项污染治理措施后，污染物实现达标排放。</w:t>
            </w:r>
          </w:p>
          <w:p w14:paraId="16581F0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项目周边无自然保护区、风景名胜区、文物古迹等需要特殊保护的环境敏感对象，外环境关系相对较为单纯，本项目为</w:t>
            </w:r>
            <w:r>
              <w:rPr>
                <w:rFonts w:hint="default" w:ascii="Times New Roman" w:hAnsi="Times New Roman" w:cs="Times New Roman"/>
                <w:color w:val="auto"/>
                <w:kern w:val="0"/>
                <w:sz w:val="24"/>
                <w:highlight w:val="none"/>
              </w:rPr>
              <w:t>工业类项目</w:t>
            </w:r>
            <w:r>
              <w:rPr>
                <w:rFonts w:hint="default" w:ascii="Times New Roman" w:hAnsi="Times New Roman" w:cs="Times New Roman"/>
                <w:color w:val="auto"/>
                <w:sz w:val="24"/>
                <w:highlight w:val="none"/>
              </w:rPr>
              <w:t>，周边环境对本项目无制约，同时本项目也非周边企业的防护目标。综上所述，本项目与周边环境是相容的。</w:t>
            </w:r>
          </w:p>
          <w:p w14:paraId="474388D6">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color w:val="auto"/>
                <w:sz w:val="24"/>
                <w:highlight w:val="none"/>
              </w:rPr>
              <w:t>3、</w:t>
            </w:r>
            <w:r>
              <w:rPr>
                <w:rFonts w:hint="default" w:ascii="Times New Roman" w:hAnsi="Times New Roman" w:cs="Times New Roman"/>
                <w:b/>
                <w:bCs/>
                <w:color w:val="auto"/>
                <w:sz w:val="24"/>
                <w:highlight w:val="none"/>
              </w:rPr>
              <w:t>与《关于以改善环境质量为核心加强环境影响评价管理的通知》（环环评[2016]150号）符合性分析</w:t>
            </w:r>
          </w:p>
          <w:p w14:paraId="0938AAE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24"/>
                <w:sz w:val="24"/>
                <w:highlight w:val="none"/>
              </w:rPr>
            </w:pPr>
            <w:r>
              <w:rPr>
                <w:rFonts w:hint="default" w:ascii="Times New Roman" w:hAnsi="Times New Roman" w:cs="Times New Roman"/>
                <w:color w:val="auto"/>
                <w:kern w:val="24"/>
                <w:sz w:val="24"/>
                <w:highlight w:val="none"/>
              </w:rPr>
              <w:t>根据《关于以改善环境质量为核心加强环境影响评价管理的通知》（环环评[2016]150号）“为适应以改善环境质量为核心的环境管理要求，切实加强环境影响评价（以下简称环评）管理，落实“生态保护红线、环境质量底线、资源利用上线和环境准入负面清单”约束”。</w:t>
            </w:r>
          </w:p>
          <w:p w14:paraId="1C0ADDA5">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lang w:val="zh-CN"/>
              </w:rPr>
              <w:t>表1-</w:t>
            </w:r>
            <w:r>
              <w:rPr>
                <w:rFonts w:hint="eastAsia" w:cs="Times New Roman"/>
                <w:b/>
                <w:color w:val="auto"/>
                <w:kern w:val="0"/>
                <w:sz w:val="24"/>
                <w:szCs w:val="20"/>
                <w:highlight w:val="none"/>
                <w:lang w:val="en-US" w:eastAsia="zh-CN"/>
              </w:rPr>
              <w:t>3</w:t>
            </w:r>
            <w:r>
              <w:rPr>
                <w:rFonts w:hint="default" w:ascii="Times New Roman" w:hAnsi="Times New Roman" w:cs="Times New Roman"/>
                <w:b/>
                <w:color w:val="auto"/>
                <w:kern w:val="0"/>
                <w:sz w:val="24"/>
                <w:szCs w:val="20"/>
                <w:highlight w:val="none"/>
                <w:lang w:val="zh-CN"/>
              </w:rPr>
              <w:t xml:space="preserve">  本项目与《关于以改善环境质量为核心加强环境影响评价管理的通知》（环环评[2016]150号）相符性</w:t>
            </w:r>
          </w:p>
          <w:tbl>
            <w:tblPr>
              <w:tblStyle w:val="61"/>
              <w:tblW w:w="712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91"/>
              <w:gridCol w:w="736"/>
              <w:gridCol w:w="2980"/>
              <w:gridCol w:w="2279"/>
              <w:gridCol w:w="740"/>
            </w:tblGrid>
            <w:tr w14:paraId="58BBDC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13B0534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序号</w:t>
                  </w:r>
                </w:p>
              </w:tc>
              <w:tc>
                <w:tcPr>
                  <w:tcW w:w="736" w:type="dxa"/>
                  <w:tcBorders>
                    <w:tl2br w:val="nil"/>
                    <w:tr2bl w:val="nil"/>
                  </w:tcBorders>
                  <w:vAlign w:val="center"/>
                </w:tcPr>
                <w:p w14:paraId="44F6AE2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内容</w:t>
                  </w:r>
                </w:p>
              </w:tc>
              <w:tc>
                <w:tcPr>
                  <w:tcW w:w="2980" w:type="dxa"/>
                  <w:tcBorders>
                    <w:tl2br w:val="nil"/>
                    <w:tr2bl w:val="nil"/>
                  </w:tcBorders>
                  <w:vAlign w:val="center"/>
                </w:tcPr>
                <w:p w14:paraId="10FE279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要求</w:t>
                  </w:r>
                </w:p>
              </w:tc>
              <w:tc>
                <w:tcPr>
                  <w:tcW w:w="2279" w:type="dxa"/>
                  <w:tcBorders>
                    <w:tl2br w:val="nil"/>
                    <w:tr2bl w:val="nil"/>
                  </w:tcBorders>
                  <w:vAlign w:val="center"/>
                </w:tcPr>
                <w:p w14:paraId="6487249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本项目情况</w:t>
                  </w:r>
                </w:p>
              </w:tc>
              <w:tc>
                <w:tcPr>
                  <w:tcW w:w="740" w:type="dxa"/>
                  <w:tcBorders>
                    <w:tl2br w:val="nil"/>
                    <w:tr2bl w:val="nil"/>
                  </w:tcBorders>
                  <w:vAlign w:val="center"/>
                </w:tcPr>
                <w:p w14:paraId="36C4234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相符性</w:t>
                  </w:r>
                </w:p>
              </w:tc>
            </w:tr>
            <w:tr w14:paraId="2EFA8C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3856A2B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1</w:t>
                  </w:r>
                </w:p>
              </w:tc>
              <w:tc>
                <w:tcPr>
                  <w:tcW w:w="736" w:type="dxa"/>
                  <w:tcBorders>
                    <w:tl2br w:val="nil"/>
                    <w:tr2bl w:val="nil"/>
                  </w:tcBorders>
                  <w:vAlign w:val="center"/>
                </w:tcPr>
                <w:p w14:paraId="4FCFC4E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生态保护红线</w:t>
                  </w:r>
                </w:p>
              </w:tc>
              <w:tc>
                <w:tcPr>
                  <w:tcW w:w="2980" w:type="dxa"/>
                  <w:tcBorders>
                    <w:tl2br w:val="nil"/>
                    <w:tr2bl w:val="nil"/>
                  </w:tcBorders>
                  <w:vAlign w:val="center"/>
                </w:tcPr>
                <w:p w14:paraId="4849C29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bidi="ar"/>
                    </w:rPr>
                    <w:t>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2279" w:type="dxa"/>
                  <w:tcBorders>
                    <w:tl2br w:val="nil"/>
                    <w:tr2bl w:val="nil"/>
                  </w:tcBorders>
                  <w:vAlign w:val="center"/>
                </w:tcPr>
                <w:p w14:paraId="3A44870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bidi="ar"/>
                    </w:rPr>
                    <w:t>本项目选址位于安徽省新芜经济开发区，项目不在生态红线范围内，周边无自然保护区、饮用水源保护区、森林公园等生态保护区，项目建设符合生态保护红线要求</w:t>
                  </w:r>
                </w:p>
              </w:tc>
              <w:tc>
                <w:tcPr>
                  <w:tcW w:w="740" w:type="dxa"/>
                  <w:tcBorders>
                    <w:tl2br w:val="nil"/>
                    <w:tr2bl w:val="nil"/>
                  </w:tcBorders>
                  <w:vAlign w:val="center"/>
                </w:tcPr>
                <w:p w14:paraId="12DC5F2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相符</w:t>
                  </w:r>
                </w:p>
              </w:tc>
            </w:tr>
            <w:tr w14:paraId="7B970F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3E20E43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2</w:t>
                  </w:r>
                </w:p>
              </w:tc>
              <w:tc>
                <w:tcPr>
                  <w:tcW w:w="736" w:type="dxa"/>
                  <w:tcBorders>
                    <w:tl2br w:val="nil"/>
                    <w:tr2bl w:val="nil"/>
                  </w:tcBorders>
                  <w:vAlign w:val="center"/>
                </w:tcPr>
                <w:p w14:paraId="6239FA6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环境质量底线</w:t>
                  </w:r>
                </w:p>
              </w:tc>
              <w:tc>
                <w:tcPr>
                  <w:tcW w:w="2980" w:type="dxa"/>
                  <w:tcBorders>
                    <w:tl2br w:val="nil"/>
                    <w:tr2bl w:val="nil"/>
                  </w:tcBorders>
                  <w:vAlign w:val="center"/>
                </w:tcPr>
                <w:p w14:paraId="7C2EC59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bidi="ar"/>
                    </w:rPr>
                    <w:t>有关规划环评应落实区域环境质量目标管理要求，提出区域或者行业污染物排放总量管控建议以及优化区域或行业发展布局、结构和规模的对策措施， 项目环评应对照区域环境质量目标，深入分析预测项目建设对环境质量的影响，强化污染防治措施和污染物排放控制要求</w:t>
                  </w:r>
                </w:p>
              </w:tc>
              <w:tc>
                <w:tcPr>
                  <w:tcW w:w="2279" w:type="dxa"/>
                  <w:tcBorders>
                    <w:tl2br w:val="nil"/>
                    <w:tr2bl w:val="nil"/>
                  </w:tcBorders>
                  <w:vAlign w:val="center"/>
                </w:tcPr>
                <w:p w14:paraId="4F2E79F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lang w:bidi="ar"/>
                    </w:rPr>
                    <w:t>根据“芜湖市湾沚区环境空气质量自动监测站点2024年监测全年统计结果”项目所在区域为环境空气质量达标区域。根据工程分析及污染防治分析及主要环境影响和保护措施，本项目废气、废水、噪声、固废污染物经处理后全部达标排放或者合理处置，且排放处置量较少，对环境影响较小，不会改变区域环境功能级别</w:t>
                  </w:r>
                </w:p>
              </w:tc>
              <w:tc>
                <w:tcPr>
                  <w:tcW w:w="740" w:type="dxa"/>
                  <w:tcBorders>
                    <w:tl2br w:val="nil"/>
                    <w:tr2bl w:val="nil"/>
                  </w:tcBorders>
                  <w:vAlign w:val="center"/>
                </w:tcPr>
                <w:p w14:paraId="6273025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相符</w:t>
                  </w:r>
                </w:p>
              </w:tc>
            </w:tr>
            <w:tr w14:paraId="3D9F60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0445A08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w:t>
                  </w:r>
                </w:p>
              </w:tc>
              <w:tc>
                <w:tcPr>
                  <w:tcW w:w="736" w:type="dxa"/>
                  <w:tcBorders>
                    <w:tl2br w:val="nil"/>
                    <w:tr2bl w:val="nil"/>
                  </w:tcBorders>
                  <w:vAlign w:val="center"/>
                </w:tcPr>
                <w:p w14:paraId="47769F7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资源利用上线</w:t>
                  </w:r>
                </w:p>
              </w:tc>
              <w:tc>
                <w:tcPr>
                  <w:tcW w:w="2980" w:type="dxa"/>
                  <w:tcBorders>
                    <w:tl2br w:val="nil"/>
                    <w:tr2bl w:val="nil"/>
                  </w:tcBorders>
                  <w:vAlign w:val="center"/>
                </w:tcPr>
                <w:p w14:paraId="5919FA55">
                  <w:pPr>
                    <w:keepNext w:val="0"/>
                    <w:keepLines w:val="0"/>
                    <w:widowControl/>
                    <w:suppressLineNumbers w:val="0"/>
                    <w:spacing w:before="0" w:beforeAutospacing="0" w:after="0" w:afterAutospacing="0"/>
                    <w:ind w:left="0" w:right="0"/>
                    <w:jc w:val="righ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bidi="ar"/>
                    </w:rPr>
                    <w:t>相关规划环评应依据有关资源利用上线，对规划实施以及规划内项目的资源开发利用，区分不同行业，从能源资源开发等量或减量替代、开采方式和规划控制、利用效率和保护措施等方面提出建议，为规划编制和审批决策提供重要依据</w:t>
                  </w:r>
                </w:p>
              </w:tc>
              <w:tc>
                <w:tcPr>
                  <w:tcW w:w="2279" w:type="dxa"/>
                  <w:tcBorders>
                    <w:tl2br w:val="nil"/>
                    <w:tr2bl w:val="nil"/>
                  </w:tcBorders>
                  <w:vAlign w:val="center"/>
                </w:tcPr>
                <w:p w14:paraId="6FC85F0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bidi="ar"/>
                    </w:rPr>
                    <w:t>本项目用水取自自来水管网，用电由市政供电网提供，余量充足，项目使用的原材料均为外购，对当地资源利用影响较小。项目用地为工业用地，属于园区内规划工业用地，符合当地土地规划要求。因此，项目建设符合资源利用上线要求</w:t>
                  </w:r>
                </w:p>
              </w:tc>
              <w:tc>
                <w:tcPr>
                  <w:tcW w:w="740" w:type="dxa"/>
                  <w:tcBorders>
                    <w:tl2br w:val="nil"/>
                    <w:tr2bl w:val="nil"/>
                  </w:tcBorders>
                  <w:vAlign w:val="center"/>
                </w:tcPr>
                <w:p w14:paraId="7C52612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相符</w:t>
                  </w:r>
                </w:p>
              </w:tc>
            </w:tr>
            <w:tr w14:paraId="709021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69F83DE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4</w:t>
                  </w:r>
                </w:p>
              </w:tc>
              <w:tc>
                <w:tcPr>
                  <w:tcW w:w="736" w:type="dxa"/>
                  <w:tcBorders>
                    <w:tl2br w:val="nil"/>
                    <w:tr2bl w:val="nil"/>
                  </w:tcBorders>
                  <w:vAlign w:val="center"/>
                </w:tcPr>
                <w:p w14:paraId="5FC1B4C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环境准入负面清单</w:t>
                  </w:r>
                </w:p>
              </w:tc>
              <w:tc>
                <w:tcPr>
                  <w:tcW w:w="2980" w:type="dxa"/>
                  <w:tcBorders>
                    <w:tl2br w:val="nil"/>
                    <w:tr2bl w:val="nil"/>
                  </w:tcBorders>
                  <w:vAlign w:val="center"/>
                </w:tcPr>
                <w:p w14:paraId="5E28C21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bidi="ar"/>
                    </w:rPr>
                    <w:t>要在规划环评清单式管理试点的基础上，从布局选址、资源利用效率、资源配置方式等方面入手，制定环境准入负面清单，充分发挥负面清单对产业发展和项目准入的指导和约束作用。</w:t>
                  </w:r>
                </w:p>
              </w:tc>
              <w:tc>
                <w:tcPr>
                  <w:tcW w:w="2279" w:type="dxa"/>
                  <w:tcBorders>
                    <w:tl2br w:val="nil"/>
                    <w:tr2bl w:val="nil"/>
                  </w:tcBorders>
                  <w:vAlign w:val="center"/>
                </w:tcPr>
                <w:p w14:paraId="061656C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bidi="ar"/>
                    </w:rPr>
                    <w:t>本项目为</w:t>
                  </w:r>
                  <w:r>
                    <w:rPr>
                      <w:rFonts w:hint="eastAsia" w:cs="Times New Roman"/>
                      <w:color w:val="auto"/>
                      <w:kern w:val="0"/>
                      <w:szCs w:val="21"/>
                      <w:highlight w:val="none"/>
                      <w:lang w:eastAsia="zh-CN" w:bidi="ar"/>
                    </w:rPr>
                    <w:t>C3311金属结构制造</w:t>
                  </w:r>
                  <w:r>
                    <w:rPr>
                      <w:rFonts w:hint="default" w:ascii="Times New Roman" w:hAnsi="Times New Roman" w:cs="Times New Roman"/>
                      <w:color w:val="auto"/>
                      <w:kern w:val="0"/>
                      <w:szCs w:val="21"/>
                      <w:highlight w:val="none"/>
                      <w:lang w:eastAsia="zh-CN" w:bidi="ar"/>
                    </w:rPr>
                    <w:t>、C3670汽车零部件及配件制造</w:t>
                  </w:r>
                  <w:r>
                    <w:rPr>
                      <w:rFonts w:hint="default" w:ascii="Times New Roman" w:hAnsi="Times New Roman" w:cs="Times New Roman"/>
                      <w:color w:val="auto"/>
                      <w:kern w:val="0"/>
                      <w:szCs w:val="21"/>
                      <w:highlight w:val="none"/>
                      <w:lang w:bidi="ar"/>
                    </w:rPr>
                    <w:t>，项目为</w:t>
                  </w:r>
                  <w:r>
                    <w:rPr>
                      <w:rFonts w:hint="eastAsia" w:cs="Times New Roman"/>
                      <w:color w:val="auto"/>
                      <w:kern w:val="0"/>
                      <w:szCs w:val="21"/>
                      <w:highlight w:val="none"/>
                      <w:lang w:val="en-US" w:eastAsia="zh-CN" w:bidi="ar"/>
                    </w:rPr>
                    <w:t>新建</w:t>
                  </w:r>
                  <w:r>
                    <w:rPr>
                      <w:rFonts w:hint="default" w:ascii="Times New Roman" w:hAnsi="Times New Roman" w:cs="Times New Roman"/>
                      <w:color w:val="auto"/>
                      <w:kern w:val="0"/>
                      <w:szCs w:val="21"/>
                      <w:highlight w:val="none"/>
                      <w:lang w:bidi="ar"/>
                    </w:rPr>
                    <w:t>项目，对照产业结构调整指导目录（2024年本），属于允许类，不属于淘汰类和限制类；不属于园区负面清单、《芜湖市“三线一单”生态环境准入清单》中限制类和淘汰类建设项目</w:t>
                  </w:r>
                </w:p>
              </w:tc>
              <w:tc>
                <w:tcPr>
                  <w:tcW w:w="740" w:type="dxa"/>
                  <w:tcBorders>
                    <w:tl2br w:val="nil"/>
                    <w:tr2bl w:val="nil"/>
                  </w:tcBorders>
                  <w:vAlign w:val="center"/>
                </w:tcPr>
                <w:p w14:paraId="46C5D74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相符</w:t>
                  </w:r>
                </w:p>
              </w:tc>
            </w:tr>
          </w:tbl>
          <w:p w14:paraId="55D8C97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综上所述，本项目建设满足生态保护红线、环境质量底线、资源利用上线，且不在生态环境准入负面清单中，符合《关于以改善环境质量为核心加强环境影响评价管理的通知》（环环评[2016]150号）中相关要求。</w:t>
            </w:r>
          </w:p>
          <w:p w14:paraId="1A9DAE75">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sz w:val="24"/>
                <w:highlight w:val="none"/>
              </w:rPr>
              <w:t>4、与《芜湖市生态环境分区管控文本（成果）》符合性分析</w:t>
            </w:r>
          </w:p>
          <w:p w14:paraId="364C169E">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lang w:val="zh-CN"/>
              </w:rPr>
              <w:t>表1-</w:t>
            </w:r>
            <w:r>
              <w:rPr>
                <w:rFonts w:hint="eastAsia" w:cs="Times New Roman"/>
                <w:b/>
                <w:color w:val="auto"/>
                <w:kern w:val="0"/>
                <w:sz w:val="24"/>
                <w:szCs w:val="20"/>
                <w:highlight w:val="none"/>
                <w:lang w:val="en-US" w:eastAsia="zh-CN"/>
              </w:rPr>
              <w:t>4</w:t>
            </w:r>
            <w:r>
              <w:rPr>
                <w:rFonts w:hint="default" w:ascii="Times New Roman" w:hAnsi="Times New Roman" w:cs="Times New Roman"/>
                <w:b/>
                <w:color w:val="auto"/>
                <w:kern w:val="0"/>
                <w:sz w:val="24"/>
                <w:szCs w:val="20"/>
                <w:highlight w:val="none"/>
                <w:lang w:val="zh-CN"/>
              </w:rPr>
              <w:t xml:space="preserve">  本项目与芜湖市生态环境分区管控文本相符性分析一览表</w:t>
            </w:r>
          </w:p>
          <w:tbl>
            <w:tblPr>
              <w:tblStyle w:val="61"/>
              <w:tblW w:w="712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49"/>
              <w:gridCol w:w="3263"/>
              <w:gridCol w:w="2074"/>
              <w:gridCol w:w="840"/>
            </w:tblGrid>
            <w:tr w14:paraId="6CBB18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5AF96F4B">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管控领域</w:t>
                  </w:r>
                </w:p>
              </w:tc>
              <w:tc>
                <w:tcPr>
                  <w:tcW w:w="3263" w:type="dxa"/>
                  <w:tcBorders>
                    <w:tl2br w:val="nil"/>
                    <w:tr2bl w:val="nil"/>
                  </w:tcBorders>
                  <w:vAlign w:val="center"/>
                </w:tcPr>
                <w:p w14:paraId="67ECA62F">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管控单元及管控要求</w:t>
                  </w:r>
                </w:p>
              </w:tc>
              <w:tc>
                <w:tcPr>
                  <w:tcW w:w="2074" w:type="dxa"/>
                  <w:tcBorders>
                    <w:tl2br w:val="nil"/>
                    <w:tr2bl w:val="nil"/>
                  </w:tcBorders>
                  <w:vAlign w:val="center"/>
                </w:tcPr>
                <w:p w14:paraId="3B3963AE">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本项目情况</w:t>
                  </w:r>
                </w:p>
              </w:tc>
              <w:tc>
                <w:tcPr>
                  <w:tcW w:w="840" w:type="dxa"/>
                  <w:tcBorders>
                    <w:tl2br w:val="nil"/>
                    <w:tr2bl w:val="nil"/>
                  </w:tcBorders>
                  <w:vAlign w:val="center"/>
                </w:tcPr>
                <w:p w14:paraId="7F72A35C">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相符性</w:t>
                  </w:r>
                </w:p>
              </w:tc>
            </w:tr>
            <w:tr w14:paraId="4877DC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29657254">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生态保护红线及生态分区管控</w:t>
                  </w:r>
                </w:p>
              </w:tc>
            </w:tr>
            <w:tr w14:paraId="42C685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7005223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生态分区管控要求</w:t>
                  </w:r>
                </w:p>
              </w:tc>
              <w:tc>
                <w:tcPr>
                  <w:tcW w:w="3263" w:type="dxa"/>
                  <w:tcBorders>
                    <w:tl2br w:val="nil"/>
                    <w:tr2bl w:val="nil"/>
                  </w:tcBorders>
                  <w:vAlign w:val="center"/>
                </w:tcPr>
                <w:p w14:paraId="44672E62">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试行)》，生态保护红线内自然保护区、风景名胜区、饮用水水源保护区等区域，依照法律法规执行。</w:t>
                  </w:r>
                </w:p>
              </w:tc>
              <w:tc>
                <w:tcPr>
                  <w:tcW w:w="2074" w:type="dxa"/>
                  <w:tcBorders>
                    <w:tl2br w:val="nil"/>
                    <w:tr2bl w:val="nil"/>
                  </w:tcBorders>
                  <w:vAlign w:val="center"/>
                </w:tcPr>
                <w:p w14:paraId="3618B10C">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本项目位于</w:t>
                  </w:r>
                  <w:r>
                    <w:rPr>
                      <w:rFonts w:hint="eastAsia" w:cs="Times New Roman"/>
                      <w:color w:val="auto"/>
                      <w:kern w:val="24"/>
                      <w:szCs w:val="21"/>
                      <w:highlight w:val="none"/>
                      <w:lang w:eastAsia="zh-CN"/>
                    </w:rPr>
                    <w:t>安徽省芜湖市湾沚区新芜经济开发区芜屯快速通道3699号02幢2号厂房</w:t>
                  </w:r>
                  <w:r>
                    <w:rPr>
                      <w:rFonts w:hint="default" w:ascii="Times New Roman" w:hAnsi="Times New Roman" w:cs="Times New Roman"/>
                      <w:color w:val="auto"/>
                      <w:kern w:val="24"/>
                      <w:szCs w:val="21"/>
                      <w:highlight w:val="none"/>
                    </w:rPr>
                    <w:t>，不在生态保护红线范围内。距离</w:t>
                  </w:r>
                  <w:r>
                    <w:rPr>
                      <w:rFonts w:hint="default" w:ascii="Times New Roman" w:hAnsi="Times New Roman" w:cs="Times New Roman"/>
                      <w:color w:val="auto"/>
                      <w:szCs w:val="21"/>
                      <w:highlight w:val="none"/>
                    </w:rPr>
                    <w:t>长江干流岸线约</w:t>
                  </w:r>
                  <w:r>
                    <w:rPr>
                      <w:rFonts w:hint="eastAsia" w:cs="Times New Roman"/>
                      <w:color w:val="auto"/>
                      <w:szCs w:val="21"/>
                      <w:highlight w:val="none"/>
                      <w:lang w:eastAsia="zh-CN"/>
                    </w:rPr>
                    <w:t>25.73km</w:t>
                  </w:r>
                  <w:r>
                    <w:rPr>
                      <w:rFonts w:hint="default" w:ascii="Times New Roman" w:hAnsi="Times New Roman" w:cs="Times New Roman"/>
                      <w:color w:val="auto"/>
                      <w:szCs w:val="21"/>
                      <w:highlight w:val="none"/>
                    </w:rPr>
                    <w:t>，距离青弋江最近距离为</w:t>
                  </w:r>
                  <w:r>
                    <w:rPr>
                      <w:rFonts w:hint="eastAsia" w:cs="Times New Roman"/>
                      <w:color w:val="auto"/>
                      <w:szCs w:val="21"/>
                      <w:highlight w:val="none"/>
                      <w:lang w:eastAsia="zh-CN"/>
                    </w:rPr>
                    <w:t>3.3km</w:t>
                  </w:r>
                  <w:r>
                    <w:rPr>
                      <w:rFonts w:hint="default" w:ascii="Times New Roman" w:hAnsi="Times New Roman" w:cs="Times New Roman"/>
                      <w:color w:val="auto"/>
                      <w:szCs w:val="21"/>
                      <w:highlight w:val="none"/>
                    </w:rPr>
                    <w:t>。</w:t>
                  </w:r>
                  <w:r>
                    <w:rPr>
                      <w:rFonts w:hint="default" w:ascii="Times New Roman" w:hAnsi="Times New Roman" w:cs="Times New Roman"/>
                      <w:color w:val="auto"/>
                      <w:kern w:val="24"/>
                      <w:szCs w:val="21"/>
                      <w:highlight w:val="none"/>
                    </w:rPr>
                    <w:t>根据芜湖市“三线一单”，本项目区域亦不涉及一般生态空间区域。</w:t>
                  </w:r>
                </w:p>
              </w:tc>
              <w:tc>
                <w:tcPr>
                  <w:tcW w:w="840" w:type="dxa"/>
                  <w:tcBorders>
                    <w:tl2br w:val="nil"/>
                    <w:tr2bl w:val="nil"/>
                  </w:tcBorders>
                  <w:vAlign w:val="center"/>
                </w:tcPr>
                <w:p w14:paraId="07A85BAA">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r w14:paraId="0A24AC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7EA235F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环境质量底线及环境分区管控</w:t>
                  </w:r>
                </w:p>
              </w:tc>
            </w:tr>
            <w:tr w14:paraId="2CBC1E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0CA263B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水环境质量底线及分区管控</w:t>
                  </w:r>
                </w:p>
              </w:tc>
              <w:tc>
                <w:tcPr>
                  <w:tcW w:w="3263" w:type="dxa"/>
                  <w:tcBorders>
                    <w:tl2br w:val="nil"/>
                    <w:tr2bl w:val="nil"/>
                  </w:tcBorders>
                  <w:vAlign w:val="center"/>
                </w:tcPr>
                <w:p w14:paraId="50064C71">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芜湖市水环境管控分区包括优先保护区、重点管控区和一般管控区。</w:t>
                  </w:r>
                </w:p>
              </w:tc>
              <w:tc>
                <w:tcPr>
                  <w:tcW w:w="2074" w:type="dxa"/>
                  <w:vMerge w:val="restart"/>
                  <w:tcBorders>
                    <w:tl2br w:val="nil"/>
                    <w:tr2bl w:val="nil"/>
                  </w:tcBorders>
                  <w:vAlign w:val="center"/>
                </w:tcPr>
                <w:p w14:paraId="7FACBC0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本项目位于</w:t>
                  </w:r>
                  <w:r>
                    <w:rPr>
                      <w:rFonts w:hint="eastAsia" w:cs="Times New Roman"/>
                      <w:color w:val="auto"/>
                      <w:kern w:val="24"/>
                      <w:szCs w:val="21"/>
                      <w:highlight w:val="none"/>
                      <w:lang w:eastAsia="zh-CN"/>
                    </w:rPr>
                    <w:t>安徽省芜湖市湾沚区新芜经济开发区芜屯快速通道3699号02幢2号厂房</w:t>
                  </w:r>
                  <w:r>
                    <w:rPr>
                      <w:rFonts w:hint="default" w:ascii="Times New Roman" w:hAnsi="Times New Roman" w:cs="Times New Roman"/>
                      <w:color w:val="auto"/>
                      <w:kern w:val="24"/>
                      <w:szCs w:val="21"/>
                      <w:highlight w:val="none"/>
                    </w:rPr>
                    <w:t>，属于水环境工业污染重点管控区。</w:t>
                  </w:r>
                  <w:r>
                    <w:rPr>
                      <w:rFonts w:hint="default" w:ascii="Times New Roman" w:hAnsi="Times New Roman" w:eastAsia="宋体" w:cs="Times New Roman"/>
                      <w:color w:val="auto"/>
                      <w:kern w:val="24"/>
                      <w:szCs w:val="21"/>
                      <w:highlight w:val="none"/>
                    </w:rPr>
                    <w:t>本项目生活污水经化粪池处理后和经污水处理站处理的</w:t>
                  </w:r>
                  <w:r>
                    <w:rPr>
                      <w:rFonts w:hint="eastAsia" w:ascii="Times New Roman" w:hAnsi="Times New Roman" w:eastAsia="宋体" w:cs="Times New Roman"/>
                      <w:color w:val="auto"/>
                      <w:kern w:val="24"/>
                      <w:szCs w:val="21"/>
                      <w:highlight w:val="none"/>
                      <w:lang w:val="en-US" w:eastAsia="zh-CN"/>
                    </w:rPr>
                    <w:t>喷枪清洗废水、水性光亮剂配比废水、超声波清洗废水、前处理线废水、纯水制备浓水、</w:t>
                  </w:r>
                  <w:r>
                    <w:rPr>
                      <w:rFonts w:hint="default" w:ascii="Times New Roman" w:hAnsi="Times New Roman" w:eastAsia="宋体" w:cs="Times New Roman"/>
                      <w:color w:val="auto"/>
                      <w:kern w:val="24"/>
                      <w:szCs w:val="21"/>
                      <w:highlight w:val="none"/>
                    </w:rPr>
                    <w:t>喷漆水帘柜</w:t>
                  </w:r>
                  <w:r>
                    <w:rPr>
                      <w:rFonts w:hint="eastAsia" w:ascii="Times New Roman" w:hAnsi="Times New Roman" w:eastAsia="宋体" w:cs="Times New Roman"/>
                      <w:color w:val="auto"/>
                      <w:kern w:val="24"/>
                      <w:szCs w:val="21"/>
                      <w:highlight w:val="none"/>
                      <w:lang w:val="en-US" w:eastAsia="zh-CN"/>
                    </w:rPr>
                    <w:t>废水</w:t>
                  </w:r>
                  <w:r>
                    <w:rPr>
                      <w:rFonts w:hint="default" w:ascii="Times New Roman" w:hAnsi="Times New Roman" w:eastAsia="宋体" w:cs="Times New Roman"/>
                      <w:color w:val="auto"/>
                      <w:kern w:val="24"/>
                      <w:szCs w:val="21"/>
                      <w:highlight w:val="none"/>
                    </w:rPr>
                    <w:t>一同经市政污水管网排入芜湖县新芜开发区城东污水处理厂处理。</w:t>
                  </w:r>
                  <w:r>
                    <w:rPr>
                      <w:rFonts w:hint="default" w:ascii="Times New Roman" w:hAnsi="Times New Roman" w:cs="Times New Roman"/>
                      <w:color w:val="auto"/>
                      <w:kern w:val="24"/>
                      <w:szCs w:val="21"/>
                      <w:highlight w:val="none"/>
                    </w:rPr>
                    <w:t>水污染物总量已纳入</w:t>
                  </w:r>
                  <w:r>
                    <w:rPr>
                      <w:rFonts w:hint="default" w:ascii="Times New Roman" w:hAnsi="Times New Roman" w:cs="Times New Roman"/>
                      <w:color w:val="auto"/>
                      <w:szCs w:val="21"/>
                      <w:highlight w:val="none"/>
                    </w:rPr>
                    <w:t>安徽芜湖县新芜开发区城东污水处理厂</w:t>
                  </w:r>
                  <w:r>
                    <w:rPr>
                      <w:rFonts w:hint="default" w:ascii="Times New Roman" w:hAnsi="Times New Roman" w:cs="Times New Roman"/>
                      <w:color w:val="auto"/>
                      <w:kern w:val="24"/>
                      <w:szCs w:val="21"/>
                      <w:highlight w:val="none"/>
                    </w:rPr>
                    <w:t>总量控制范围内。</w:t>
                  </w:r>
                </w:p>
              </w:tc>
              <w:tc>
                <w:tcPr>
                  <w:tcW w:w="840" w:type="dxa"/>
                  <w:vMerge w:val="restart"/>
                  <w:tcBorders>
                    <w:tl2br w:val="nil"/>
                    <w:tr2bl w:val="nil"/>
                  </w:tcBorders>
                  <w:vAlign w:val="center"/>
                </w:tcPr>
                <w:p w14:paraId="508F271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r w14:paraId="2A79F1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4846D80A">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c>
                <w:tcPr>
                  <w:tcW w:w="3263" w:type="dxa"/>
                  <w:tcBorders>
                    <w:tl2br w:val="nil"/>
                    <w:tr2bl w:val="nil"/>
                  </w:tcBorders>
                  <w:vAlign w:val="center"/>
                </w:tcPr>
                <w:p w14:paraId="1743497D">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十四五”生态环境保护规划》、《安徽省“十四五”环境保护规划》、《安徽省“十四五”节能减排实施方案》、《芜湖市“十四五”节能减排实施方案》等要求，新建、改建和扩建项目水污染物实施“等量替代”。</w:t>
                  </w:r>
                </w:p>
              </w:tc>
              <w:tc>
                <w:tcPr>
                  <w:tcW w:w="2074" w:type="dxa"/>
                  <w:vMerge w:val="continue"/>
                  <w:tcBorders>
                    <w:tl2br w:val="nil"/>
                    <w:tr2bl w:val="nil"/>
                  </w:tcBorders>
                  <w:vAlign w:val="center"/>
                </w:tcPr>
                <w:p w14:paraId="46AEF14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c>
                <w:tcPr>
                  <w:tcW w:w="840" w:type="dxa"/>
                  <w:vMerge w:val="continue"/>
                  <w:tcBorders>
                    <w:tl2br w:val="nil"/>
                    <w:tr2bl w:val="nil"/>
                  </w:tcBorders>
                  <w:vAlign w:val="center"/>
                </w:tcPr>
                <w:p w14:paraId="654C2B44">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r>
            <w:tr w14:paraId="0AB991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624AEB7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大气环境质量底线及分区管控</w:t>
                  </w:r>
                </w:p>
              </w:tc>
              <w:tc>
                <w:tcPr>
                  <w:tcW w:w="3263" w:type="dxa"/>
                  <w:tcBorders>
                    <w:tl2br w:val="nil"/>
                    <w:tr2bl w:val="nil"/>
                  </w:tcBorders>
                  <w:vAlign w:val="center"/>
                </w:tcPr>
                <w:p w14:paraId="754A24A3">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芜湖市大气环境管控分区包括优先保护区、重点管控区和一般管控区。</w:t>
                  </w:r>
                </w:p>
              </w:tc>
              <w:tc>
                <w:tcPr>
                  <w:tcW w:w="2074" w:type="dxa"/>
                  <w:vMerge w:val="restart"/>
                  <w:tcBorders>
                    <w:tl2br w:val="nil"/>
                    <w:tr2bl w:val="nil"/>
                  </w:tcBorders>
                  <w:vAlign w:val="center"/>
                </w:tcPr>
                <w:p w14:paraId="4FC85ACD">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本项目位于</w:t>
                  </w:r>
                  <w:r>
                    <w:rPr>
                      <w:rFonts w:hint="eastAsia" w:cs="Times New Roman"/>
                      <w:color w:val="auto"/>
                      <w:kern w:val="24"/>
                      <w:szCs w:val="21"/>
                      <w:highlight w:val="none"/>
                      <w:lang w:eastAsia="zh-CN"/>
                    </w:rPr>
                    <w:t>安徽省芜湖市湾沚区新芜经济开发区芜屯快速通道3699号02幢2号厂房</w:t>
                  </w:r>
                  <w:r>
                    <w:rPr>
                      <w:rFonts w:hint="default" w:ascii="Times New Roman" w:hAnsi="Times New Roman" w:cs="Times New Roman"/>
                      <w:color w:val="auto"/>
                      <w:kern w:val="24"/>
                      <w:szCs w:val="21"/>
                      <w:highlight w:val="none"/>
                    </w:rPr>
                    <w:t>，属于大气环境受体敏感重点管控区。根据</w:t>
                  </w:r>
                  <w:r>
                    <w:rPr>
                      <w:rFonts w:hint="default" w:ascii="Times New Roman" w:hAnsi="Times New Roman" w:cs="Times New Roman"/>
                      <w:color w:val="auto"/>
                      <w:kern w:val="0"/>
                      <w:szCs w:val="21"/>
                      <w:highlight w:val="none"/>
                      <w:lang w:bidi="ar"/>
                    </w:rPr>
                    <w:t>“芜湖市湾沚区环境空气质量自动监测站点2024年监测全年统计结果”</w:t>
                  </w:r>
                  <w:r>
                    <w:rPr>
                      <w:rFonts w:hint="default" w:ascii="Times New Roman" w:hAnsi="Times New Roman" w:cs="Times New Roman"/>
                      <w:color w:val="auto"/>
                      <w:kern w:val="24"/>
                      <w:szCs w:val="21"/>
                      <w:highlight w:val="none"/>
                    </w:rPr>
                    <w:t>可知，项目区域2024年度PM</w:t>
                  </w:r>
                  <w:r>
                    <w:rPr>
                      <w:rFonts w:hint="default" w:ascii="Times New Roman" w:hAnsi="Times New Roman" w:cs="Times New Roman"/>
                      <w:color w:val="auto"/>
                      <w:kern w:val="24"/>
                      <w:szCs w:val="21"/>
                      <w:highlight w:val="none"/>
                      <w:vertAlign w:val="subscript"/>
                    </w:rPr>
                    <w:t>2.5</w:t>
                  </w:r>
                  <w:r>
                    <w:rPr>
                      <w:rFonts w:hint="default" w:ascii="Times New Roman" w:hAnsi="Times New Roman" w:cs="Times New Roman"/>
                      <w:color w:val="auto"/>
                      <w:kern w:val="24"/>
                      <w:szCs w:val="21"/>
                      <w:highlight w:val="none"/>
                    </w:rPr>
                    <w:t>达标，大气主要污染物总量指标实行区域内等量削减替代，建设项目需向生态环境主管部门申请大气污染物总量指标，不会降低区域现有环境功能。</w:t>
                  </w:r>
                </w:p>
              </w:tc>
              <w:tc>
                <w:tcPr>
                  <w:tcW w:w="840" w:type="dxa"/>
                  <w:vMerge w:val="restart"/>
                  <w:tcBorders>
                    <w:tl2br w:val="nil"/>
                    <w:tr2bl w:val="nil"/>
                  </w:tcBorders>
                  <w:vAlign w:val="center"/>
                </w:tcPr>
                <w:p w14:paraId="64E05C3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r w14:paraId="4C9DE8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70185E2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c>
                <w:tcPr>
                  <w:tcW w:w="3263" w:type="dxa"/>
                  <w:tcBorders>
                    <w:tl2br w:val="nil"/>
                    <w:tr2bl w:val="nil"/>
                  </w:tcBorders>
                  <w:vAlign w:val="center"/>
                </w:tcPr>
                <w:p w14:paraId="03339BFC">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重点管控区：落实《安徽省大气污染防治条例》、《“十四五”生态环境保护规划》、《安徽省“十四五”环境保护规划》、《芜湖市“十四五”环境保护规划》、《重点行业挥发性有机物综合治理方案》等要求，严格目标实施计划，加强环境监管，促进生态环境质量好转。若上年度PM</w:t>
                  </w:r>
                  <w:r>
                    <w:rPr>
                      <w:rFonts w:hint="default" w:ascii="Times New Roman" w:hAnsi="Times New Roman" w:cs="Times New Roman"/>
                      <w:color w:val="auto"/>
                      <w:kern w:val="24"/>
                      <w:szCs w:val="21"/>
                      <w:highlight w:val="none"/>
                      <w:vertAlign w:val="subscript"/>
                    </w:rPr>
                    <w:t>2.5</w:t>
                  </w:r>
                  <w:r>
                    <w:rPr>
                      <w:rFonts w:hint="default" w:ascii="Times New Roman" w:hAnsi="Times New Roman" w:cs="Times New Roman"/>
                      <w:color w:val="auto"/>
                      <w:kern w:val="24"/>
                      <w:szCs w:val="21"/>
                      <w:highlight w:val="none"/>
                    </w:rPr>
                    <w:t>不达标，新建、改建和扩建项目大气污染物实施“倍量替代”，执行特别排放标准的行业实施提标升级改造。</w:t>
                  </w:r>
                </w:p>
              </w:tc>
              <w:tc>
                <w:tcPr>
                  <w:tcW w:w="2074" w:type="dxa"/>
                  <w:vMerge w:val="continue"/>
                  <w:tcBorders>
                    <w:tl2br w:val="nil"/>
                    <w:tr2bl w:val="nil"/>
                  </w:tcBorders>
                  <w:vAlign w:val="center"/>
                </w:tcPr>
                <w:p w14:paraId="23DF0705">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p>
              </w:tc>
              <w:tc>
                <w:tcPr>
                  <w:tcW w:w="840" w:type="dxa"/>
                  <w:vMerge w:val="continue"/>
                  <w:tcBorders>
                    <w:tl2br w:val="nil"/>
                    <w:tr2bl w:val="nil"/>
                  </w:tcBorders>
                  <w:vAlign w:val="center"/>
                </w:tcPr>
                <w:p w14:paraId="331A0CC1">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r>
            <w:tr w14:paraId="602911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2B5702F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土壤环境风险防控底线及分区管控</w:t>
                  </w:r>
                </w:p>
              </w:tc>
              <w:tc>
                <w:tcPr>
                  <w:tcW w:w="3263" w:type="dxa"/>
                  <w:tcBorders>
                    <w:tl2br w:val="nil"/>
                    <w:tr2bl w:val="nil"/>
                  </w:tcBorders>
                  <w:vAlign w:val="center"/>
                </w:tcPr>
                <w:p w14:paraId="67115B15">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芜湖市土壤风险防控分区包括优先保护区、重点管控区和一般管控区。</w:t>
                  </w:r>
                </w:p>
              </w:tc>
              <w:tc>
                <w:tcPr>
                  <w:tcW w:w="2074" w:type="dxa"/>
                  <w:vMerge w:val="restart"/>
                  <w:tcBorders>
                    <w:tl2br w:val="nil"/>
                    <w:tr2bl w:val="nil"/>
                  </w:tcBorders>
                  <w:vAlign w:val="center"/>
                </w:tcPr>
                <w:p w14:paraId="2F467086">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本项目位于</w:t>
                  </w:r>
                  <w:r>
                    <w:rPr>
                      <w:rFonts w:hint="eastAsia" w:cs="Times New Roman"/>
                      <w:color w:val="auto"/>
                      <w:kern w:val="24"/>
                      <w:szCs w:val="21"/>
                      <w:highlight w:val="none"/>
                      <w:lang w:eastAsia="zh-CN"/>
                    </w:rPr>
                    <w:t>安徽省芜湖市湾沚区新芜经济开发区芜屯快速通道3699号02幢2号厂房</w:t>
                  </w:r>
                  <w:r>
                    <w:rPr>
                      <w:rFonts w:hint="default" w:ascii="Times New Roman" w:hAnsi="Times New Roman" w:cs="Times New Roman"/>
                      <w:color w:val="auto"/>
                      <w:kern w:val="24"/>
                      <w:szCs w:val="21"/>
                      <w:highlight w:val="none"/>
                    </w:rPr>
                    <w:t>，属于土壤环境一般管控区。本项目不涉及有色金属冶炼、石油加工、化工、焦化、电镀、制革等行业生产经营活动，且项目采取分区防渗，因此不会对区域土壤环境造成影响。</w:t>
                  </w:r>
                </w:p>
              </w:tc>
              <w:tc>
                <w:tcPr>
                  <w:tcW w:w="840" w:type="dxa"/>
                  <w:vMerge w:val="restart"/>
                  <w:tcBorders>
                    <w:tl2br w:val="nil"/>
                    <w:tr2bl w:val="nil"/>
                  </w:tcBorders>
                  <w:vAlign w:val="center"/>
                </w:tcPr>
                <w:p w14:paraId="21F2F467">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r w14:paraId="0A3333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2FB710E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c>
                <w:tcPr>
                  <w:tcW w:w="3263" w:type="dxa"/>
                  <w:tcBorders>
                    <w:tl2br w:val="nil"/>
                    <w:tr2bl w:val="nil"/>
                  </w:tcBorders>
                  <w:vAlign w:val="center"/>
                </w:tcPr>
                <w:p w14:paraId="15BD6422">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一般管控区：依据《中华人民共和国土壤污染防治法》、《土壤污染防治行动计划》、《安徽省土壤污染防治工作方案》、《安徽省“十四五”环境保护规划》、《芜湖市土壤污染防治工作方案》等要求及各市土壤污染防治工作方案对一般管控区实施管控。</w:t>
                  </w:r>
                </w:p>
              </w:tc>
              <w:tc>
                <w:tcPr>
                  <w:tcW w:w="2074" w:type="dxa"/>
                  <w:vMerge w:val="continue"/>
                  <w:tcBorders>
                    <w:tl2br w:val="nil"/>
                    <w:tr2bl w:val="nil"/>
                  </w:tcBorders>
                  <w:vAlign w:val="center"/>
                </w:tcPr>
                <w:p w14:paraId="0D60C25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c>
                <w:tcPr>
                  <w:tcW w:w="840" w:type="dxa"/>
                  <w:vMerge w:val="continue"/>
                  <w:tcBorders>
                    <w:tl2br w:val="nil"/>
                    <w:tr2bl w:val="nil"/>
                  </w:tcBorders>
                  <w:vAlign w:val="center"/>
                </w:tcPr>
                <w:p w14:paraId="2CAA4AC4">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r>
            <w:tr w14:paraId="209200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6EA6C9FE">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资源利用上线及自然资源开发分区管控</w:t>
                  </w:r>
                </w:p>
              </w:tc>
            </w:tr>
            <w:tr w14:paraId="0B9C75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45FEDE4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水资源利用上线及分区管控</w:t>
                  </w:r>
                </w:p>
              </w:tc>
              <w:tc>
                <w:tcPr>
                  <w:tcW w:w="3263" w:type="dxa"/>
                  <w:tcBorders>
                    <w:tl2br w:val="nil"/>
                    <w:tr2bl w:val="nil"/>
                  </w:tcBorders>
                  <w:vAlign w:val="center"/>
                </w:tcPr>
                <w:p w14:paraId="6DF84FAB">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芜湖市水资源管控分区全部为一般管控区。管控要求：落实《国务院办公厅关于印发实行最严格水资源管理制度考核办法的通知》、《“十四五”水资源消耗总量和强度双控行动方案》、《安徽省“十四五”水资源消耗总量和强度双控工作方案》和《芜湖市“十四五”水资源消耗总量和强度双控工作方案》等要求。</w:t>
                  </w:r>
                </w:p>
              </w:tc>
              <w:tc>
                <w:tcPr>
                  <w:tcW w:w="2074" w:type="dxa"/>
                  <w:tcBorders>
                    <w:tl2br w:val="nil"/>
                    <w:tr2bl w:val="nil"/>
                  </w:tcBorders>
                  <w:vAlign w:val="center"/>
                </w:tcPr>
                <w:p w14:paraId="08831E1B">
                  <w:pPr>
                    <w:keepNext w:val="0"/>
                    <w:keepLines w:val="0"/>
                    <w:suppressLineNumbers w:val="0"/>
                    <w:spacing w:before="0" w:beforeAutospacing="0" w:after="0" w:afterAutospacing="0"/>
                    <w:ind w:left="0" w:right="0"/>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kern w:val="24"/>
                      <w:szCs w:val="21"/>
                      <w:highlight w:val="none"/>
                    </w:rPr>
                    <w:t>本项</w:t>
                  </w:r>
                  <w:r>
                    <w:rPr>
                      <w:rFonts w:hint="default" w:ascii="Times New Roman" w:hAnsi="Times New Roman" w:cs="Times New Roman"/>
                      <w:color w:val="auto"/>
                      <w:highlight w:val="none"/>
                    </w:rPr>
                    <w:t>目用水来自区域市政供水管网，新增用水量</w:t>
                  </w:r>
                  <w:r>
                    <w:rPr>
                      <w:rFonts w:hint="eastAsia" w:cs="Times New Roman"/>
                      <w:color w:val="auto"/>
                      <w:highlight w:val="none"/>
                      <w:lang w:eastAsia="zh-CN"/>
                    </w:rPr>
                    <w:t>3259.57</w:t>
                  </w:r>
                </w:p>
                <w:p w14:paraId="4362D9B5">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highlight w:val="none"/>
                    </w:rPr>
                    <w:t>t/a；</w:t>
                  </w:r>
                  <w:r>
                    <w:rPr>
                      <w:rFonts w:hint="default" w:ascii="Times New Roman" w:hAnsi="Times New Roman" w:cs="Times New Roman"/>
                      <w:color w:val="auto"/>
                      <w:kern w:val="24"/>
                      <w:szCs w:val="21"/>
                      <w:highlight w:val="none"/>
                    </w:rPr>
                    <w:t>满足水资源利用上线要求。</w:t>
                  </w:r>
                </w:p>
              </w:tc>
              <w:tc>
                <w:tcPr>
                  <w:tcW w:w="840" w:type="dxa"/>
                  <w:tcBorders>
                    <w:tl2br w:val="nil"/>
                    <w:tr2bl w:val="nil"/>
                  </w:tcBorders>
                  <w:vAlign w:val="center"/>
                </w:tcPr>
                <w:p w14:paraId="58BA122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r w14:paraId="00D665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28A893B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土地资源利用上线及分区管控</w:t>
                  </w:r>
                </w:p>
              </w:tc>
              <w:tc>
                <w:tcPr>
                  <w:tcW w:w="3263" w:type="dxa"/>
                  <w:tcBorders>
                    <w:tl2br w:val="nil"/>
                    <w:tr2bl w:val="nil"/>
                  </w:tcBorders>
                  <w:vAlign w:val="center"/>
                </w:tcPr>
                <w:p w14:paraId="7D7E8E6B">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芜湖市土地资源管控区划分为两类，分别为重点管控区和一般管控区。</w:t>
                  </w:r>
                </w:p>
              </w:tc>
              <w:tc>
                <w:tcPr>
                  <w:tcW w:w="2074" w:type="dxa"/>
                  <w:vMerge w:val="restart"/>
                  <w:tcBorders>
                    <w:tl2br w:val="nil"/>
                    <w:tr2bl w:val="nil"/>
                  </w:tcBorders>
                  <w:vAlign w:val="center"/>
                </w:tcPr>
                <w:p w14:paraId="1B5D5B6A">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本项目位于</w:t>
                  </w:r>
                  <w:r>
                    <w:rPr>
                      <w:rFonts w:hint="eastAsia" w:cs="Times New Roman"/>
                      <w:color w:val="auto"/>
                      <w:kern w:val="24"/>
                      <w:szCs w:val="21"/>
                      <w:highlight w:val="none"/>
                      <w:lang w:eastAsia="zh-CN"/>
                    </w:rPr>
                    <w:t>安徽省芜湖市湾沚区新芜经济开发区芜屯快速通道3699号02幢2号厂房</w:t>
                  </w:r>
                  <w:r>
                    <w:rPr>
                      <w:rFonts w:hint="default" w:ascii="Times New Roman" w:hAnsi="Times New Roman" w:cs="Times New Roman"/>
                      <w:color w:val="auto"/>
                      <w:kern w:val="24"/>
                      <w:szCs w:val="21"/>
                      <w:highlight w:val="none"/>
                    </w:rPr>
                    <w:t xml:space="preserve">，属于土地资源重点管控区。根据《芜湖市湾沚区国土空间分区规划（2021-2035年）》， </w:t>
                  </w:r>
                </w:p>
                <w:p w14:paraId="63E4685E">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本项目用地为工业用地，符合规划要求。本项目建筑</w:t>
                  </w:r>
                  <w:r>
                    <w:rPr>
                      <w:rFonts w:hint="eastAsia" w:cs="Times New Roman"/>
                      <w:color w:val="auto"/>
                      <w:kern w:val="24"/>
                      <w:szCs w:val="21"/>
                      <w:highlight w:val="none"/>
                      <w:lang w:eastAsia="zh-CN"/>
                    </w:rPr>
                    <w:t>5817.6</w:t>
                  </w:r>
                  <w:r>
                    <w:rPr>
                      <w:rFonts w:hint="default" w:ascii="Times New Roman" w:hAnsi="Times New Roman" w:cs="Times New Roman"/>
                      <w:color w:val="auto"/>
                      <w:kern w:val="24"/>
                      <w:szCs w:val="21"/>
                      <w:highlight w:val="none"/>
                    </w:rPr>
                    <w:t>平方米，土地节约集约利用水平较高，不会突破土地资源利用上线。</w:t>
                  </w:r>
                </w:p>
              </w:tc>
              <w:tc>
                <w:tcPr>
                  <w:tcW w:w="840" w:type="dxa"/>
                  <w:vMerge w:val="restart"/>
                  <w:tcBorders>
                    <w:tl2br w:val="nil"/>
                    <w:tr2bl w:val="nil"/>
                  </w:tcBorders>
                  <w:vAlign w:val="center"/>
                </w:tcPr>
                <w:p w14:paraId="29F45FF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r w14:paraId="0444F7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0C58F63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c>
                <w:tcPr>
                  <w:tcW w:w="3263" w:type="dxa"/>
                  <w:tcBorders>
                    <w:tl2br w:val="nil"/>
                    <w:tr2bl w:val="nil"/>
                  </w:tcBorders>
                  <w:vAlign w:val="center"/>
                </w:tcPr>
                <w:p w14:paraId="230FD26E">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落实《全国国土空间规划纲要（2021-2035年）》、《安徽省国土空间规划（2021-2035年）》、《芜湖市国土空间规划（2021-2035年）》、《自然资源“十四五”规划编制工作方案》、《安徽省“十四五”自然资源保护和利用规划》等要求。</w:t>
                  </w:r>
                </w:p>
              </w:tc>
              <w:tc>
                <w:tcPr>
                  <w:tcW w:w="2074" w:type="dxa"/>
                  <w:vMerge w:val="continue"/>
                  <w:tcBorders>
                    <w:tl2br w:val="nil"/>
                    <w:tr2bl w:val="nil"/>
                  </w:tcBorders>
                  <w:vAlign w:val="center"/>
                </w:tcPr>
                <w:p w14:paraId="122FE351">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p>
              </w:tc>
              <w:tc>
                <w:tcPr>
                  <w:tcW w:w="840" w:type="dxa"/>
                  <w:vMerge w:val="continue"/>
                  <w:tcBorders>
                    <w:tl2br w:val="nil"/>
                    <w:tr2bl w:val="nil"/>
                  </w:tcBorders>
                  <w:vAlign w:val="center"/>
                </w:tcPr>
                <w:p w14:paraId="10400C4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p>
              </w:tc>
            </w:tr>
            <w:tr w14:paraId="1493AE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1D0F2BC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岸线资源利用上线及分区管控</w:t>
                  </w:r>
                </w:p>
              </w:tc>
              <w:tc>
                <w:tcPr>
                  <w:tcW w:w="3263" w:type="dxa"/>
                  <w:tcBorders>
                    <w:tl2br w:val="nil"/>
                    <w:tr2bl w:val="nil"/>
                  </w:tcBorders>
                  <w:vAlign w:val="center"/>
                </w:tcPr>
                <w:p w14:paraId="0C0E7377">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按照生态环境部“三线一单”岸线生态环境分类管控技术说明，长江岸线分为优先保护岸线、重点管控岸线、一般管控岸线。</w:t>
                  </w:r>
                </w:p>
              </w:tc>
              <w:tc>
                <w:tcPr>
                  <w:tcW w:w="2074" w:type="dxa"/>
                  <w:tcBorders>
                    <w:tl2br w:val="nil"/>
                    <w:tr2bl w:val="nil"/>
                  </w:tcBorders>
                  <w:vAlign w:val="center"/>
                </w:tcPr>
                <w:p w14:paraId="2EC2F41E">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本项目不涉及长江岸线。</w:t>
                  </w:r>
                </w:p>
              </w:tc>
              <w:tc>
                <w:tcPr>
                  <w:tcW w:w="840" w:type="dxa"/>
                  <w:tcBorders>
                    <w:tl2br w:val="nil"/>
                    <w:tr2bl w:val="nil"/>
                  </w:tcBorders>
                  <w:vAlign w:val="center"/>
                </w:tcPr>
                <w:p w14:paraId="319A1477">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r w14:paraId="7796F9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6EC5CEA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24"/>
                      <w:szCs w:val="21"/>
                      <w:highlight w:val="none"/>
                    </w:rPr>
                  </w:pPr>
                  <w:r>
                    <w:rPr>
                      <w:rFonts w:hint="default" w:ascii="Times New Roman" w:hAnsi="Times New Roman" w:cs="Times New Roman"/>
                      <w:b/>
                      <w:bCs/>
                      <w:color w:val="auto"/>
                      <w:kern w:val="24"/>
                      <w:szCs w:val="21"/>
                      <w:highlight w:val="none"/>
                    </w:rPr>
                    <w:t>生态环境准入清单</w:t>
                  </w:r>
                </w:p>
              </w:tc>
            </w:tr>
            <w:tr w14:paraId="194121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6D0BA110">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开发区清单</w:t>
                  </w:r>
                </w:p>
              </w:tc>
              <w:tc>
                <w:tcPr>
                  <w:tcW w:w="3263" w:type="dxa"/>
                  <w:tcBorders>
                    <w:tl2br w:val="nil"/>
                    <w:tr2bl w:val="nil"/>
                  </w:tcBorders>
                  <w:vAlign w:val="center"/>
                </w:tcPr>
                <w:p w14:paraId="5EFE424D">
                  <w:pPr>
                    <w:keepNext w:val="0"/>
                    <w:keepLines w:val="0"/>
                    <w:suppressLineNumbers w:val="0"/>
                    <w:spacing w:before="0" w:beforeAutospacing="0" w:after="0" w:afterAutospacing="0"/>
                    <w:ind w:left="0" w:right="0"/>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根据芜湖市各开发区基础特征、产业发展特点，考虑开发区主要环境问题，结合已批复的规划环评（或跟踪环评）报告要求，确定各开发区差异化清单。</w:t>
                  </w:r>
                </w:p>
              </w:tc>
              <w:tc>
                <w:tcPr>
                  <w:tcW w:w="2074" w:type="dxa"/>
                  <w:tcBorders>
                    <w:tl2br w:val="nil"/>
                    <w:tr2bl w:val="nil"/>
                  </w:tcBorders>
                  <w:vAlign w:val="center"/>
                </w:tcPr>
                <w:p w14:paraId="65602396">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kern w:val="24"/>
                      <w:szCs w:val="21"/>
                      <w:highlight w:val="none"/>
                    </w:rPr>
                    <w:t>项目</w:t>
                  </w:r>
                  <w:r>
                    <w:rPr>
                      <w:rFonts w:hint="default" w:ascii="Times New Roman" w:hAnsi="Times New Roman" w:cs="Times New Roman"/>
                      <w:color w:val="auto"/>
                      <w:szCs w:val="21"/>
                      <w:highlight w:val="none"/>
                    </w:rPr>
                    <w:t>不属于《产业结构调整指导目录（2024年本）》中的鼓励类及限制类项目，视为允许类项目；不属于《安徽省工业产业结构调整指导目录（2007年本）》中的鼓励类、淘汰类和限制类，视为允许类；</w:t>
                  </w:r>
                </w:p>
                <w:p w14:paraId="0B929115">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24"/>
                      <w:szCs w:val="21"/>
                      <w:highlight w:val="none"/>
                    </w:rPr>
                  </w:pPr>
                  <w:r>
                    <w:rPr>
                      <w:rFonts w:hint="default" w:ascii="Times New Roman" w:hAnsi="Times New Roman" w:cs="Times New Roman"/>
                      <w:color w:val="auto"/>
                      <w:szCs w:val="21"/>
                      <w:highlight w:val="none"/>
                    </w:rPr>
                    <w:t>不属于《</w:t>
                  </w:r>
                  <w:commentRangeStart w:id="5"/>
                  <w:r>
                    <w:rPr>
                      <w:rFonts w:hint="default" w:ascii="Times New Roman" w:hAnsi="Times New Roman" w:cs="Times New Roman"/>
                      <w:color w:val="auto"/>
                      <w:szCs w:val="21"/>
                      <w:highlight w:val="none"/>
                    </w:rPr>
                    <w:t>市场准入负面清单（202</w:t>
                  </w:r>
                  <w:r>
                    <w:rPr>
                      <w:rFonts w:hint="eastAsia" w:cs="Times New Roman"/>
                      <w:color w:val="auto"/>
                      <w:szCs w:val="21"/>
                      <w:highlight w:val="none"/>
                      <w:lang w:val="en-US" w:eastAsia="zh-CN"/>
                    </w:rPr>
                    <w:t>5</w:t>
                  </w:r>
                  <w:r>
                    <w:rPr>
                      <w:rFonts w:hint="default" w:ascii="Times New Roman" w:hAnsi="Times New Roman" w:cs="Times New Roman"/>
                      <w:color w:val="auto"/>
                      <w:szCs w:val="21"/>
                      <w:highlight w:val="none"/>
                    </w:rPr>
                    <w:t>年版，试行）》</w:t>
                  </w:r>
                  <w:commentRangeEnd w:id="5"/>
                  <w:r>
                    <w:rPr>
                      <w:rFonts w:hint="default"/>
                      <w:color w:val="auto"/>
                    </w:rPr>
                    <w:commentReference w:id="5"/>
                  </w:r>
                  <w:r>
                    <w:rPr>
                      <w:rFonts w:hint="default" w:ascii="Times New Roman" w:hAnsi="Times New Roman" w:cs="Times New Roman"/>
                      <w:color w:val="auto"/>
                      <w:szCs w:val="21"/>
                      <w:highlight w:val="none"/>
                    </w:rPr>
                    <w:t>和</w:t>
                  </w:r>
                  <w:commentRangeStart w:id="6"/>
                  <w:r>
                    <w:rPr>
                      <w:rFonts w:hint="default" w:ascii="Times New Roman" w:hAnsi="Times New Roman" w:cs="Times New Roman"/>
                      <w:color w:val="auto"/>
                      <w:szCs w:val="21"/>
                      <w:highlight w:val="none"/>
                    </w:rPr>
                    <w:t>《长江经济带发展</w:t>
                  </w:r>
                  <w:r>
                    <w:rPr>
                      <w:rFonts w:hint="default" w:ascii="Times New Roman" w:hAnsi="Times New Roman" w:eastAsia="宋体" w:cs="Times New Roman"/>
                      <w:color w:val="auto"/>
                      <w:szCs w:val="21"/>
                      <w:highlight w:val="none"/>
                    </w:rPr>
                    <w:t>负面清单指南》（试行</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2022年版</w:t>
                  </w:r>
                  <w:r>
                    <w:rPr>
                      <w:rFonts w:hint="default" w:ascii="Times New Roman" w:hAnsi="Times New Roman" w:eastAsia="宋体" w:cs="Times New Roman"/>
                      <w:color w:val="auto"/>
                      <w:szCs w:val="21"/>
                      <w:highlight w:val="none"/>
                    </w:rPr>
                    <w:t>）中</w:t>
                  </w:r>
                  <w:r>
                    <w:rPr>
                      <w:rFonts w:hint="default" w:ascii="Times New Roman" w:hAnsi="Times New Roman" w:cs="Times New Roman"/>
                      <w:color w:val="auto"/>
                      <w:szCs w:val="21"/>
                      <w:highlight w:val="none"/>
                    </w:rPr>
                    <w:t>的项目</w:t>
                  </w:r>
                  <w:r>
                    <w:rPr>
                      <w:rFonts w:hint="default" w:ascii="Times New Roman" w:hAnsi="Times New Roman" w:cs="Times New Roman"/>
                      <w:color w:val="auto"/>
                      <w:kern w:val="24"/>
                      <w:szCs w:val="21"/>
                      <w:highlight w:val="none"/>
                    </w:rPr>
                    <w:t>，项目建设符合国</w:t>
                  </w:r>
                  <w:commentRangeEnd w:id="6"/>
                  <w:r>
                    <w:rPr>
                      <w:rFonts w:hint="default"/>
                      <w:color w:val="auto"/>
                    </w:rPr>
                    <w:commentReference w:id="6"/>
                  </w:r>
                  <w:r>
                    <w:rPr>
                      <w:rFonts w:hint="default" w:ascii="Times New Roman" w:hAnsi="Times New Roman" w:cs="Times New Roman"/>
                      <w:color w:val="auto"/>
                      <w:kern w:val="24"/>
                      <w:szCs w:val="21"/>
                      <w:highlight w:val="none"/>
                    </w:rPr>
                    <w:t>家及地方产业政策，满足负面清单管理要求。</w:t>
                  </w:r>
                </w:p>
              </w:tc>
              <w:tc>
                <w:tcPr>
                  <w:tcW w:w="840" w:type="dxa"/>
                  <w:tcBorders>
                    <w:tl2br w:val="nil"/>
                    <w:tr2bl w:val="nil"/>
                  </w:tcBorders>
                  <w:vAlign w:val="center"/>
                </w:tcPr>
                <w:p w14:paraId="412B9EC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4"/>
                      <w:szCs w:val="21"/>
                      <w:highlight w:val="none"/>
                    </w:rPr>
                  </w:pPr>
                  <w:r>
                    <w:rPr>
                      <w:rFonts w:hint="default" w:ascii="Times New Roman" w:hAnsi="Times New Roman" w:cs="Times New Roman"/>
                      <w:color w:val="auto"/>
                      <w:kern w:val="24"/>
                      <w:szCs w:val="21"/>
                      <w:highlight w:val="none"/>
                    </w:rPr>
                    <w:t>符合</w:t>
                  </w:r>
                </w:p>
              </w:tc>
            </w:tr>
          </w:tbl>
          <w:p w14:paraId="735098EA">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5、芜湖市生态环境分区管控生态环境准入清单相符性分析</w:t>
            </w:r>
          </w:p>
          <w:p w14:paraId="55EB6DB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对照安徽省生态环境厅发布的安徽省“三线一单" 公众服务平台（http://39.145.8.156:1509/ah/public/#/home），经与“三线一单"成果数据分析，拟建项目与1个环境管控单元存在交叠，其中优先保护类0个，重点管控类1个，一般管控类0个(环境管控单元编码ZH34021020036)，属于水重点/大气重点。</w:t>
            </w:r>
          </w:p>
          <w:p w14:paraId="34246C27">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rPr>
            </w:pPr>
            <w:r>
              <w:rPr>
                <w:rFonts w:hint="default" w:ascii="Times New Roman" w:hAnsi="Times New Roman" w:cs="Times New Roman"/>
                <w:b/>
                <w:color w:val="auto"/>
                <w:kern w:val="0"/>
                <w:sz w:val="24"/>
                <w:szCs w:val="20"/>
                <w:highlight w:val="none"/>
              </w:rPr>
              <w:t>表1-</w:t>
            </w:r>
            <w:r>
              <w:rPr>
                <w:rFonts w:hint="eastAsia" w:cs="Times New Roman"/>
                <w:b/>
                <w:color w:val="auto"/>
                <w:kern w:val="0"/>
                <w:sz w:val="24"/>
                <w:szCs w:val="20"/>
                <w:highlight w:val="none"/>
                <w:lang w:val="en-US" w:eastAsia="zh-CN"/>
              </w:rPr>
              <w:t xml:space="preserve">5 </w:t>
            </w:r>
            <w:r>
              <w:rPr>
                <w:rFonts w:hint="default" w:ascii="Times New Roman" w:hAnsi="Times New Roman" w:cs="Times New Roman"/>
                <w:b/>
                <w:color w:val="auto"/>
                <w:kern w:val="0"/>
                <w:sz w:val="24"/>
                <w:szCs w:val="20"/>
                <w:highlight w:val="none"/>
              </w:rPr>
              <w:t xml:space="preserve"> 项目与分区管控要求相符性一览表</w:t>
            </w:r>
          </w:p>
          <w:tbl>
            <w:tblPr>
              <w:tblStyle w:val="61"/>
              <w:tblW w:w="7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87"/>
              <w:gridCol w:w="3471"/>
              <w:gridCol w:w="2630"/>
              <w:gridCol w:w="541"/>
            </w:tblGrid>
            <w:tr w14:paraId="2DF4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487" w:type="dxa"/>
                  <w:vAlign w:val="center"/>
                </w:tcPr>
                <w:p w14:paraId="51AFF16D">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3471" w:type="dxa"/>
                  <w:vAlign w:val="center"/>
                </w:tcPr>
                <w:p w14:paraId="4A241A9C">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b/>
                      <w:bCs/>
                      <w:color w:val="auto"/>
                      <w:sz w:val="21"/>
                      <w:szCs w:val="21"/>
                      <w:highlight w:val="none"/>
                    </w:rPr>
                  </w:pPr>
                  <w:r>
                    <w:rPr>
                      <w:rFonts w:hint="default" w:ascii="Times New Roman" w:hAnsi="Times New Roman" w:cs="Times New Roman"/>
                      <w:b/>
                      <w:color w:val="auto"/>
                      <w:sz w:val="21"/>
                      <w:szCs w:val="21"/>
                      <w:highlight w:val="none"/>
                    </w:rPr>
                    <w:t>管控要求（摘录）</w:t>
                  </w:r>
                </w:p>
              </w:tc>
              <w:tc>
                <w:tcPr>
                  <w:tcW w:w="2630" w:type="dxa"/>
                  <w:vAlign w:val="center"/>
                </w:tcPr>
                <w:p w14:paraId="37C10902">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本项目情况</w:t>
                  </w:r>
                </w:p>
              </w:tc>
              <w:tc>
                <w:tcPr>
                  <w:tcW w:w="541" w:type="dxa"/>
                  <w:vAlign w:val="center"/>
                </w:tcPr>
                <w:p w14:paraId="3F299242">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符合性</w:t>
                  </w:r>
                </w:p>
              </w:tc>
            </w:tr>
            <w:tr w14:paraId="51A67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87" w:type="dxa"/>
                  <w:vAlign w:val="center"/>
                </w:tcPr>
                <w:p w14:paraId="49741D9A">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空间布局约束</w:t>
                  </w:r>
                </w:p>
              </w:tc>
              <w:tc>
                <w:tcPr>
                  <w:tcW w:w="3471" w:type="dxa"/>
                  <w:vAlign w:val="center"/>
                </w:tcPr>
                <w:p w14:paraId="08E18EC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highlight w:val="none"/>
                      <w:lang w:bidi="ar"/>
                    </w:rPr>
                  </w:pPr>
                  <w:r>
                    <w:rPr>
                      <w:rFonts w:hint="default" w:ascii="Times New Roman" w:hAnsi="Times New Roman" w:cs="Times New Roman"/>
                      <w:color w:val="auto"/>
                      <w:szCs w:val="21"/>
                      <w:highlight w:val="none"/>
                    </w:rPr>
                    <w:t>1在城市城区及其近郊禁止新建、扩建钢铁、有色、石化、水泥、化工等重污染企业。3严禁新增钢铁、焦化、电解铝、铸造、水泥和平板玻璃等产能；严格执行钢铁、水泥、平板玻璃等行业产能置换实施办法。4严格执行国家关于“两高”产业准入目录和产能总量控制政策措施。严禁新增钢铁、焦化、电解铝、铸造、水泥和平板玻璃等产能；新、改、扩建涉及大宗物料运输的建设项目，原则上不得采用公路运输。9严格控制新增“两高”项目审批，认真分析评估拟建项目必要性、可行性和对产业高质量发展、能耗双控、碳排放和环境质量的影响，严格审查项目是否符合产业政策、产业规划、“三线一单”、规划环评要求，是否依法依规落实产能置换、能耗置换、煤炭消费减量替代、污染物排放区域削减等要求。对已建成投产的存量“两高”项目，有节能减排潜力的加快改造升级，属于落后产能的加快淘汰。21禁止淘汰落后类的产业进入开发区。</w:t>
                  </w:r>
                </w:p>
              </w:tc>
              <w:tc>
                <w:tcPr>
                  <w:tcW w:w="2630" w:type="dxa"/>
                  <w:vAlign w:val="center"/>
                </w:tcPr>
                <w:p w14:paraId="64B94FD9">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1"/>
                      <w:szCs w:val="21"/>
                      <w:highlight w:val="none"/>
                      <w:lang w:bidi="ar"/>
                    </w:rPr>
                  </w:pPr>
                  <w:r>
                    <w:rPr>
                      <w:rFonts w:hint="default" w:ascii="Times New Roman" w:hAnsi="Times New Roman" w:cs="Times New Roman"/>
                      <w:color w:val="auto"/>
                      <w:szCs w:val="21"/>
                      <w:highlight w:val="none"/>
                    </w:rPr>
                    <w:t>本项目属于</w:t>
                  </w:r>
                  <w:r>
                    <w:rPr>
                      <w:rFonts w:hint="eastAsia" w:cs="Times New Roman"/>
                      <w:color w:val="auto"/>
                      <w:szCs w:val="21"/>
                      <w:highlight w:val="none"/>
                      <w:lang w:eastAsia="zh-CN"/>
                    </w:rPr>
                    <w:t>C3311金属结构制造</w:t>
                  </w:r>
                  <w:r>
                    <w:rPr>
                      <w:rFonts w:hint="default" w:ascii="Times New Roman" w:hAnsi="Times New Roman" w:cs="Times New Roman"/>
                      <w:color w:val="auto"/>
                      <w:szCs w:val="21"/>
                      <w:highlight w:val="none"/>
                      <w:lang w:eastAsia="zh-CN"/>
                    </w:rPr>
                    <w:t>、C3670汽车零部件及配件制造</w:t>
                  </w:r>
                  <w:r>
                    <w:rPr>
                      <w:rFonts w:hint="default" w:ascii="Times New Roman" w:hAnsi="Times New Roman" w:cs="Times New Roman"/>
                      <w:color w:val="auto"/>
                      <w:szCs w:val="21"/>
                      <w:highlight w:val="none"/>
                    </w:rPr>
                    <w:t>，属于《产业结构调整指导目录（2024年本）》中允许类项目，不属于“两高”行业。</w:t>
                  </w:r>
                </w:p>
              </w:tc>
              <w:tc>
                <w:tcPr>
                  <w:tcW w:w="541" w:type="dxa"/>
                  <w:vAlign w:val="center"/>
                </w:tcPr>
                <w:p w14:paraId="1B2EFF80">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66E7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487" w:type="dxa"/>
                  <w:vAlign w:val="center"/>
                </w:tcPr>
                <w:p w14:paraId="1AC96BB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污染物排放管控</w:t>
                  </w:r>
                </w:p>
              </w:tc>
              <w:tc>
                <w:tcPr>
                  <w:tcW w:w="3471" w:type="dxa"/>
                  <w:vAlign w:val="center"/>
                </w:tcPr>
                <w:p w14:paraId="5D9505F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9全面推动挥发性有机物纳入排污许可管理。禁止建设生产和使用高挥发性有机物含量涂料、油墨、胶粘剂、清洗剂等项目。加快推进石化、化工、涂装、医药、包装印刷和油品储运销等重点行业挥发性有机物深度治理，全面提升废气收集率、治理设施同步运行率和去除率，提高水性、高固体分、无溶剂、粉末、辐射固化等低挥发性有机物含量产品的比重。加大工业涂装、包装印刷等行业低挥发性有机物含量原辅材料替代力度，严格执行涂料、油墨、胶粘剂、清洗剂挥发性有机物含量限值标准，确保生产、销售、进口、使用符合标准的产品。到2025年，溶剂型工业涂料、油墨使用比例分别降低20个、10个百分点。溶剂型胶粘剂使用量降低20%。</w:t>
                  </w:r>
                </w:p>
                <w:p w14:paraId="411630E3">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10实行重点排放源排放浓度与去除效率双重控制。车间或生产设施收集排放的废气，VOCs初始排放速率大于等于2千克/小时的，应加大控制力度，除确保排放浓度稳定达标外，还应实行去除效率控制，去除效率不低80%；采用的原辅材料符合国家有关低VOCs含量产品规定的除外，有行业排放标准的按其相关规定执行。12污染物排放标准中有特别排放限值的标准的行业，二氧化硫、氮氧化物、颗粒物、挥发性有机物（VOCs）全面执行大气污染物特别排放限值。14按《挥发性有机物无组织排放控制标准》（GB 37822-2019）要求，做好VOCs物料储存、物料转移和输送、工艺过程、设备与管线组件、敞开液面VOCs排放，以及VOCs无组织排放废气收集处理系统要求。</w:t>
                  </w:r>
                </w:p>
              </w:tc>
              <w:tc>
                <w:tcPr>
                  <w:tcW w:w="2630" w:type="dxa"/>
                  <w:vAlign w:val="center"/>
                </w:tcPr>
                <w:p w14:paraId="6E30154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项目产生的废气主要为颗粒物、非甲烷总烃、</w:t>
                  </w:r>
                  <w:r>
                    <w:rPr>
                      <w:rFonts w:hint="default"/>
                      <w:color w:val="auto"/>
                      <w:szCs w:val="21"/>
                    </w:rPr>
                    <w:t>SO</w:t>
                  </w:r>
                  <w:r>
                    <w:rPr>
                      <w:rFonts w:hint="default"/>
                      <w:color w:val="auto"/>
                      <w:szCs w:val="21"/>
                      <w:vertAlign w:val="subscript"/>
                    </w:rPr>
                    <w:t>2</w:t>
                  </w:r>
                  <w:r>
                    <w:rPr>
                      <w:rFonts w:hint="default" w:ascii="Times New Roman" w:hAnsi="Times New Roman" w:cs="Times New Roman"/>
                      <w:color w:val="auto"/>
                      <w:szCs w:val="21"/>
                      <w:highlight w:val="none"/>
                    </w:rPr>
                    <w:t>、</w:t>
                  </w:r>
                  <w:r>
                    <w:rPr>
                      <w:rFonts w:hint="default"/>
                      <w:color w:val="auto"/>
                      <w:szCs w:val="21"/>
                    </w:rPr>
                    <w:t>NOx</w:t>
                  </w:r>
                  <w:r>
                    <w:rPr>
                      <w:rFonts w:hint="default" w:ascii="Times New Roman" w:hAnsi="Times New Roman" w:cs="Times New Roman"/>
                      <w:color w:val="auto"/>
                      <w:szCs w:val="21"/>
                      <w:highlight w:val="none"/>
                    </w:rPr>
                    <w:t>，分别经处理达标后排放，废气排放可满足相应标准限值要求。本项目本项目使用的水性底漆满足《低挥发性有机化合物含量涂料产品技术要求》（GB/T38597-2020）表1规定的车辆涂料-汽车原厂涂料〔客车（机动车）〕VOCs含量限值要求（VOCs含量≤250g/L）、工程机械和农业机械涂料（含零部件涂料）VOCs含量限值要求（VOCs含量≤250g/L）；同时满足《车辆涂料中有害物质限量GB24409-2020》表1规定的水性涂料中VOC含量的限量值要求-汽车原厂涂料〔客车（机动车）〕-其他底漆VOCs含量限值要求（VOCs含量≤420g/L）、《工业防护涂料中有害物质限量》（GB 30981-2020）表1规定的机械设备涂料-工程机械和农业机械涂料（含零部件涂料）中底漆VOCs含量限值要求（VOCs含量≤300g/L）；塑粉属于低挥发性有机化合物含量涂料产品，因此符合《低挥发性有机化合物含量涂料产品技术要求》（GB/T 38597-2020）的要求；本项目</w:t>
                  </w:r>
                  <w:r>
                    <w:rPr>
                      <w:rFonts w:hint="eastAsia" w:cs="Times New Roman"/>
                      <w:color w:val="auto"/>
                      <w:szCs w:val="21"/>
                      <w:highlight w:val="none"/>
                      <w:lang w:val="en-US" w:eastAsia="zh-CN"/>
                    </w:rPr>
                    <w:t>水性底漆</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塑粉</w:t>
                  </w:r>
                  <w:r>
                    <w:rPr>
                      <w:rFonts w:hint="default" w:ascii="Times New Roman" w:hAnsi="Times New Roman" w:cs="Times New Roman"/>
                      <w:bCs/>
                      <w:color w:val="auto"/>
                      <w:szCs w:val="21"/>
                      <w:highlight w:val="none"/>
                    </w:rPr>
                    <w:t>等化学品</w:t>
                  </w:r>
                  <w:r>
                    <w:rPr>
                      <w:rFonts w:hint="default" w:ascii="Times New Roman" w:hAnsi="Times New Roman" w:cs="Times New Roman"/>
                      <w:color w:val="auto"/>
                      <w:szCs w:val="21"/>
                      <w:highlight w:val="none"/>
                    </w:rPr>
                    <w:t>在储存、物料输送使用工艺过程、设备与管线组件等均满足VOCs无组织排放控制要求。</w:t>
                  </w:r>
                </w:p>
              </w:tc>
              <w:tc>
                <w:tcPr>
                  <w:tcW w:w="541" w:type="dxa"/>
                  <w:vAlign w:val="center"/>
                </w:tcPr>
                <w:p w14:paraId="5662D13D">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030F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487" w:type="dxa"/>
                  <w:shd w:val="clear" w:color="auto" w:fill="auto"/>
                  <w:vAlign w:val="center"/>
                </w:tcPr>
                <w:p w14:paraId="0CF1D25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资源开发效率要求</w:t>
                  </w:r>
                </w:p>
              </w:tc>
              <w:tc>
                <w:tcPr>
                  <w:tcW w:w="3471" w:type="dxa"/>
                  <w:shd w:val="clear" w:color="auto" w:fill="auto"/>
                  <w:vAlign w:val="center"/>
                </w:tcPr>
                <w:p w14:paraId="2106EF5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2.产生、收集、贮存、运输、利用、处置固体废物的单位和个人，应当采取措施，防止或者减少固体废物对环境的污染，对所造成的环境污染依法承担责任。</w:t>
                  </w:r>
                </w:p>
              </w:tc>
              <w:tc>
                <w:tcPr>
                  <w:tcW w:w="2630" w:type="dxa"/>
                  <w:shd w:val="clear" w:color="auto" w:fill="auto"/>
                  <w:vAlign w:val="center"/>
                </w:tcPr>
                <w:p w14:paraId="70A9D57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企业固废按照国家有关规定进行安全处置，危险废物委托有资质单位处理，项目各项固体废物防治措施有效，</w:t>
                  </w:r>
                  <w:r>
                    <w:rPr>
                      <w:rFonts w:hint="eastAsia" w:cs="Times New Roman"/>
                      <w:color w:val="auto"/>
                      <w:szCs w:val="21"/>
                      <w:highlight w:val="none"/>
                      <w:lang w:val="en-US" w:eastAsia="zh-CN"/>
                    </w:rPr>
                    <w:t>拟</w:t>
                  </w:r>
                  <w:r>
                    <w:rPr>
                      <w:rFonts w:hint="default" w:ascii="Times New Roman" w:hAnsi="Times New Roman" w:cs="Times New Roman"/>
                      <w:color w:val="auto"/>
                      <w:szCs w:val="21"/>
                      <w:highlight w:val="none"/>
                    </w:rPr>
                    <w:t>采取分区防渗等风险防范措施，能够避免环境风险事件的发生。</w:t>
                  </w:r>
                </w:p>
              </w:tc>
              <w:tc>
                <w:tcPr>
                  <w:tcW w:w="541" w:type="dxa"/>
                  <w:vAlign w:val="center"/>
                </w:tcPr>
                <w:p w14:paraId="4FC9CB9D">
                  <w:pPr>
                    <w:pStyle w:val="189"/>
                    <w:keepNext w:val="0"/>
                    <w:keepLines w:val="0"/>
                    <w:suppressLineNumbers w:val="0"/>
                    <w:spacing w:before="0" w:beforeAutospacing="0" w:after="0" w:afterAutospacing="0" w:line="320" w:lineRule="exact"/>
                    <w:ind w:left="0" w:right="0" w:firstLine="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bl>
          <w:p w14:paraId="7201CA1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根据《芜湖市生态环境分区管控生态环境准入清单》（芜湖市生态环境局，2023年8月）表4中开发区生态环境准入清单-湾沚区-开发区-安徽新芜经济开发区的生态环境准入条件，本项目与其相符性分析详见下表。</w:t>
            </w:r>
          </w:p>
          <w:p w14:paraId="534EAC4D">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lang w:val="zh-CN"/>
              </w:rPr>
              <w:t>表1-</w:t>
            </w:r>
            <w:r>
              <w:rPr>
                <w:rFonts w:hint="eastAsia" w:cs="Times New Roman"/>
                <w:b/>
                <w:color w:val="auto"/>
                <w:kern w:val="0"/>
                <w:sz w:val="24"/>
                <w:szCs w:val="20"/>
                <w:highlight w:val="none"/>
                <w:lang w:val="en-US" w:eastAsia="zh-CN"/>
              </w:rPr>
              <w:t>6</w:t>
            </w:r>
            <w:r>
              <w:rPr>
                <w:rFonts w:hint="default" w:ascii="Times New Roman" w:hAnsi="Times New Roman" w:cs="Times New Roman"/>
                <w:b/>
                <w:color w:val="auto"/>
                <w:kern w:val="0"/>
                <w:sz w:val="24"/>
                <w:szCs w:val="20"/>
                <w:highlight w:val="none"/>
                <w:lang w:val="zh-CN"/>
              </w:rPr>
              <w:t xml:space="preserve">  项目与《芜湖市生态环境分区管控生态环境准入清单》相符性分析</w:t>
            </w:r>
          </w:p>
          <w:tbl>
            <w:tblPr>
              <w:tblStyle w:val="61"/>
              <w:tblW w:w="7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62"/>
              <w:gridCol w:w="629"/>
              <w:gridCol w:w="3709"/>
              <w:gridCol w:w="1855"/>
              <w:gridCol w:w="580"/>
            </w:tblGrid>
            <w:tr w14:paraId="43606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shd w:val="clear" w:color="auto" w:fill="auto"/>
                  <w:vAlign w:val="center"/>
                </w:tcPr>
                <w:p w14:paraId="7E0E5075">
                  <w:pPr>
                    <w:keepNext w:val="0"/>
                    <w:keepLines w:val="0"/>
                    <w:suppressLineNumbers w:val="0"/>
                    <w:adjustRightInd w:val="0"/>
                    <w:spacing w:before="0" w:beforeAutospacing="0" w:after="0" w:afterAutospacing="0"/>
                    <w:ind w:left="0" w:right="0"/>
                    <w:jc w:val="center"/>
                    <w:textAlignment w:val="baseline"/>
                    <w:rPr>
                      <w:rFonts w:hint="default" w:ascii="Times New Roman" w:hAnsi="Times New Roman" w:cs="Times New Roman"/>
                      <w:b/>
                      <w:color w:val="auto"/>
                      <w:kern w:val="21"/>
                      <w:szCs w:val="21"/>
                      <w:highlight w:val="none"/>
                    </w:rPr>
                  </w:pPr>
                  <w:r>
                    <w:rPr>
                      <w:rFonts w:hint="default" w:ascii="Times New Roman" w:hAnsi="Times New Roman" w:cs="Times New Roman"/>
                      <w:b/>
                      <w:color w:val="auto"/>
                      <w:kern w:val="21"/>
                      <w:szCs w:val="21"/>
                      <w:highlight w:val="none"/>
                    </w:rPr>
                    <w:t>编号</w:t>
                  </w:r>
                </w:p>
              </w:tc>
              <w:tc>
                <w:tcPr>
                  <w:tcW w:w="629" w:type="dxa"/>
                  <w:shd w:val="clear" w:color="auto" w:fill="auto"/>
                  <w:vAlign w:val="center"/>
                </w:tcPr>
                <w:p w14:paraId="393F5CD1">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b/>
                      <w:color w:val="auto"/>
                      <w:kern w:val="21"/>
                      <w:szCs w:val="21"/>
                      <w:highlight w:val="none"/>
                    </w:rPr>
                  </w:pPr>
                  <w:r>
                    <w:rPr>
                      <w:rFonts w:hint="default" w:ascii="Times New Roman" w:hAnsi="Times New Roman" w:cs="Times New Roman"/>
                      <w:b/>
                      <w:color w:val="auto"/>
                      <w:kern w:val="21"/>
                      <w:szCs w:val="21"/>
                      <w:highlight w:val="none"/>
                    </w:rPr>
                    <w:t>内容</w:t>
                  </w:r>
                </w:p>
              </w:tc>
              <w:tc>
                <w:tcPr>
                  <w:tcW w:w="3709" w:type="dxa"/>
                  <w:shd w:val="clear" w:color="auto" w:fill="auto"/>
                  <w:vAlign w:val="center"/>
                </w:tcPr>
                <w:p w14:paraId="545D9CFE">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b/>
                      <w:color w:val="auto"/>
                      <w:kern w:val="21"/>
                      <w:szCs w:val="21"/>
                      <w:highlight w:val="none"/>
                    </w:rPr>
                  </w:pPr>
                  <w:r>
                    <w:rPr>
                      <w:rFonts w:hint="default" w:ascii="Times New Roman" w:hAnsi="Times New Roman" w:cs="Times New Roman"/>
                      <w:b/>
                      <w:color w:val="auto"/>
                      <w:szCs w:val="21"/>
                      <w:highlight w:val="none"/>
                    </w:rPr>
                    <w:t>要求</w:t>
                  </w:r>
                </w:p>
              </w:tc>
              <w:tc>
                <w:tcPr>
                  <w:tcW w:w="1855" w:type="dxa"/>
                  <w:shd w:val="clear" w:color="auto" w:fill="auto"/>
                  <w:vAlign w:val="center"/>
                </w:tcPr>
                <w:p w14:paraId="1400D3C7">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b/>
                      <w:color w:val="auto"/>
                      <w:kern w:val="21"/>
                      <w:szCs w:val="21"/>
                      <w:highlight w:val="none"/>
                    </w:rPr>
                  </w:pPr>
                  <w:r>
                    <w:rPr>
                      <w:rFonts w:hint="default" w:ascii="Times New Roman" w:hAnsi="Times New Roman" w:cs="Times New Roman"/>
                      <w:b/>
                      <w:color w:val="auto"/>
                      <w:kern w:val="21"/>
                      <w:szCs w:val="21"/>
                      <w:highlight w:val="none"/>
                    </w:rPr>
                    <w:t>本项目</w:t>
                  </w:r>
                </w:p>
                <w:p w14:paraId="1354B223">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b/>
                      <w:color w:val="auto"/>
                      <w:kern w:val="21"/>
                      <w:szCs w:val="21"/>
                      <w:highlight w:val="none"/>
                    </w:rPr>
                  </w:pPr>
                  <w:r>
                    <w:rPr>
                      <w:rFonts w:hint="default" w:ascii="Times New Roman" w:hAnsi="Times New Roman" w:cs="Times New Roman"/>
                      <w:b/>
                      <w:color w:val="auto"/>
                      <w:kern w:val="21"/>
                      <w:szCs w:val="21"/>
                      <w:highlight w:val="none"/>
                    </w:rPr>
                    <w:t>情况</w:t>
                  </w:r>
                </w:p>
              </w:tc>
              <w:tc>
                <w:tcPr>
                  <w:tcW w:w="580" w:type="dxa"/>
                  <w:shd w:val="clear" w:color="auto" w:fill="auto"/>
                  <w:vAlign w:val="center"/>
                </w:tcPr>
                <w:p w14:paraId="30175D84">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b/>
                      <w:color w:val="auto"/>
                      <w:kern w:val="21"/>
                      <w:szCs w:val="21"/>
                      <w:highlight w:val="none"/>
                    </w:rPr>
                  </w:pPr>
                  <w:r>
                    <w:rPr>
                      <w:rFonts w:hint="default" w:ascii="Times New Roman" w:hAnsi="Times New Roman" w:cs="Times New Roman"/>
                      <w:b/>
                      <w:color w:val="auto"/>
                      <w:kern w:val="21"/>
                      <w:szCs w:val="21"/>
                      <w:highlight w:val="none"/>
                    </w:rPr>
                    <w:t>分析结果</w:t>
                  </w:r>
                </w:p>
              </w:tc>
            </w:tr>
            <w:tr w14:paraId="4ADF0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shd w:val="clear" w:color="auto" w:fill="auto"/>
                  <w:vAlign w:val="center"/>
                </w:tcPr>
                <w:p w14:paraId="02C8976A">
                  <w:pPr>
                    <w:keepNext w:val="0"/>
                    <w:keepLines w:val="0"/>
                    <w:suppressLineNumbers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1</w:t>
                  </w:r>
                </w:p>
              </w:tc>
              <w:tc>
                <w:tcPr>
                  <w:tcW w:w="629" w:type="dxa"/>
                  <w:shd w:val="clear" w:color="auto" w:fill="auto"/>
                  <w:vAlign w:val="center"/>
                </w:tcPr>
                <w:p w14:paraId="1FD3D538">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污染物排放管控</w:t>
                  </w:r>
                </w:p>
              </w:tc>
              <w:tc>
                <w:tcPr>
                  <w:tcW w:w="3709" w:type="dxa"/>
                  <w:shd w:val="clear" w:color="auto" w:fill="auto"/>
                  <w:vAlign w:val="center"/>
                </w:tcPr>
                <w:p w14:paraId="3071FAAC">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1、单位工业增加值SO</w:t>
                  </w:r>
                  <w:r>
                    <w:rPr>
                      <w:rFonts w:hint="default" w:ascii="Times New Roman" w:hAnsi="Times New Roman" w:cs="Times New Roman"/>
                      <w:color w:val="auto"/>
                      <w:kern w:val="21"/>
                      <w:szCs w:val="21"/>
                      <w:highlight w:val="none"/>
                      <w:vertAlign w:val="subscript"/>
                    </w:rPr>
                    <w:t>2</w:t>
                  </w:r>
                  <w:r>
                    <w:rPr>
                      <w:rFonts w:hint="default" w:ascii="Times New Roman" w:hAnsi="Times New Roman" w:cs="Times New Roman"/>
                      <w:color w:val="auto"/>
                      <w:kern w:val="21"/>
                      <w:szCs w:val="21"/>
                      <w:highlight w:val="none"/>
                    </w:rPr>
                    <w:t>排放量≤1kg/万元；</w:t>
                  </w:r>
                </w:p>
                <w:p w14:paraId="7C7578D7">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2、单位工业增加值COD排放量≤1kg/万元</w:t>
                  </w:r>
                </w:p>
              </w:tc>
              <w:tc>
                <w:tcPr>
                  <w:tcW w:w="1855" w:type="dxa"/>
                  <w:shd w:val="clear" w:color="auto" w:fill="auto"/>
                  <w:vAlign w:val="center"/>
                </w:tcPr>
                <w:p w14:paraId="0375DC5F">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1、本项目不排放SO</w:t>
                  </w:r>
                  <w:r>
                    <w:rPr>
                      <w:rFonts w:hint="default" w:ascii="Times New Roman" w:hAnsi="Times New Roman" w:cs="Times New Roman"/>
                      <w:color w:val="auto"/>
                      <w:kern w:val="21"/>
                      <w:szCs w:val="21"/>
                      <w:highlight w:val="none"/>
                      <w:vertAlign w:val="subscript"/>
                    </w:rPr>
                    <w:t>2</w:t>
                  </w:r>
                  <w:r>
                    <w:rPr>
                      <w:rFonts w:hint="default" w:ascii="Times New Roman" w:hAnsi="Times New Roman" w:cs="Times New Roman"/>
                      <w:color w:val="auto"/>
                      <w:kern w:val="21"/>
                      <w:szCs w:val="21"/>
                      <w:highlight w:val="none"/>
                    </w:rPr>
                    <w:t>；</w:t>
                  </w:r>
                </w:p>
                <w:p w14:paraId="557F07AA">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2、本项目年工业增加值</w:t>
                  </w:r>
                  <w:r>
                    <w:rPr>
                      <w:rFonts w:hint="eastAsia" w:cs="Times New Roman"/>
                      <w:color w:val="auto"/>
                      <w:kern w:val="21"/>
                      <w:szCs w:val="21"/>
                      <w:highlight w:val="none"/>
                      <w:lang w:val="en-US" w:eastAsia="zh-CN"/>
                    </w:rPr>
                    <w:t>2000万</w:t>
                  </w:r>
                  <w:r>
                    <w:rPr>
                      <w:rFonts w:hint="default" w:ascii="Times New Roman" w:hAnsi="Times New Roman" w:cs="Times New Roman"/>
                      <w:color w:val="auto"/>
                      <w:kern w:val="21"/>
                      <w:szCs w:val="21"/>
                      <w:highlight w:val="none"/>
                    </w:rPr>
                    <w:t>元，新增COD排放为</w:t>
                  </w:r>
                  <w:r>
                    <w:rPr>
                      <w:rFonts w:hint="default" w:ascii="Times New Roman" w:hAnsi="Times New Roman" w:eastAsia="宋体" w:cs="Times New Roman"/>
                      <w:i w:val="0"/>
                      <w:iCs w:val="0"/>
                      <w:color w:val="auto"/>
                      <w:kern w:val="0"/>
                      <w:sz w:val="21"/>
                      <w:szCs w:val="21"/>
                      <w:u w:val="none"/>
                      <w:lang w:val="en-US" w:eastAsia="zh-CN" w:bidi="ar"/>
                    </w:rPr>
                    <w:t xml:space="preserve">0.589 </w:t>
                  </w:r>
                  <w:r>
                    <w:rPr>
                      <w:rFonts w:hint="default" w:ascii="Times New Roman" w:hAnsi="Times New Roman" w:cs="Times New Roman"/>
                      <w:color w:val="auto"/>
                      <w:kern w:val="21"/>
                      <w:szCs w:val="21"/>
                      <w:highlight w:val="none"/>
                    </w:rPr>
                    <w:t>t/a，单位工业增加值COD排放量为</w:t>
                  </w:r>
                  <w:r>
                    <w:rPr>
                      <w:rFonts w:hint="eastAsia" w:cs="Times New Roman"/>
                      <w:color w:val="auto"/>
                      <w:kern w:val="21"/>
                      <w:szCs w:val="21"/>
                      <w:highlight w:val="none"/>
                      <w:lang w:val="en-US" w:eastAsia="zh-CN"/>
                    </w:rPr>
                    <w:t>0.295</w:t>
                  </w:r>
                  <w:r>
                    <w:rPr>
                      <w:rFonts w:hint="default" w:ascii="Times New Roman" w:hAnsi="Times New Roman" w:cs="Times New Roman"/>
                      <w:color w:val="auto"/>
                      <w:kern w:val="21"/>
                      <w:szCs w:val="21"/>
                      <w:highlight w:val="none"/>
                    </w:rPr>
                    <w:t>kg/万元≤1kg/万元</w:t>
                  </w:r>
                </w:p>
              </w:tc>
              <w:tc>
                <w:tcPr>
                  <w:tcW w:w="580" w:type="dxa"/>
                  <w:shd w:val="clear" w:color="auto" w:fill="auto"/>
                  <w:vAlign w:val="center"/>
                </w:tcPr>
                <w:p w14:paraId="72BAC395">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符合</w:t>
                  </w:r>
                </w:p>
              </w:tc>
            </w:tr>
            <w:tr w14:paraId="3D986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vAlign w:val="center"/>
                </w:tcPr>
                <w:p w14:paraId="484419FA">
                  <w:pPr>
                    <w:keepNext w:val="0"/>
                    <w:keepLines w:val="0"/>
                    <w:suppressLineNumbers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2</w:t>
                  </w:r>
                </w:p>
              </w:tc>
              <w:tc>
                <w:tcPr>
                  <w:tcW w:w="629" w:type="dxa"/>
                  <w:vAlign w:val="center"/>
                </w:tcPr>
                <w:p w14:paraId="3DF73500">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szCs w:val="21"/>
                      <w:highlight w:val="none"/>
                    </w:rPr>
                    <w:t>环境风险防控</w:t>
                  </w:r>
                </w:p>
              </w:tc>
              <w:tc>
                <w:tcPr>
                  <w:tcW w:w="3709" w:type="dxa"/>
                  <w:vAlign w:val="center"/>
                </w:tcPr>
                <w:p w14:paraId="1682558F">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1、建立健全开发区环境管理体系，提高环境风险管理水平。</w:t>
                  </w:r>
                </w:p>
                <w:p w14:paraId="7275B7F2">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2、完善开发区环境管理机构、管理目标和环境监测、档案管理等，完善项目环境管理和重点污染源、环境风险源管理台账，加大环境风险源的监管力度。</w:t>
                  </w:r>
                </w:p>
                <w:p w14:paraId="37553F07">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3、加强危险化学品管理，落实危险废物收集、储存、处置等全过程管理，严禁企业随意弃置固体废物。</w:t>
                  </w:r>
                </w:p>
                <w:p w14:paraId="429BE58E">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4、提升环境应急应对能力，建立开发区与区域生态环境风险联控机制，完善开发区环境风险防范和应急响应硬件建设，提高突发环境事件应急应对能力。</w:t>
                  </w:r>
                </w:p>
              </w:tc>
              <w:tc>
                <w:tcPr>
                  <w:tcW w:w="1855" w:type="dxa"/>
                  <w:vAlign w:val="center"/>
                </w:tcPr>
                <w:p w14:paraId="795606FA">
                  <w:pPr>
                    <w:keepNext w:val="0"/>
                    <w:keepLines w:val="0"/>
                    <w:suppressLineNumbers w:val="0"/>
                    <w:spacing w:before="0" w:beforeAutospacing="0" w:after="0" w:afterAutospacing="0"/>
                    <w:ind w:left="0" w:right="0"/>
                    <w:jc w:val="left"/>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1、园区已制定并落实园区综合环境风险防范、预警和应急体系；</w:t>
                  </w:r>
                </w:p>
                <w:p w14:paraId="1C3BB3B9">
                  <w:pPr>
                    <w:keepNext w:val="0"/>
                    <w:keepLines w:val="0"/>
                    <w:suppressLineNumbers w:val="0"/>
                    <w:spacing w:before="0" w:beforeAutospacing="0" w:after="0" w:afterAutospacing="0"/>
                    <w:ind w:left="0" w:right="0"/>
                    <w:jc w:val="left"/>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2、本项目后期建设中将配备应急物资，并定期演练；项目将严格落实建设项目“三同时”制度。</w:t>
                  </w:r>
                </w:p>
              </w:tc>
              <w:tc>
                <w:tcPr>
                  <w:tcW w:w="580" w:type="dxa"/>
                  <w:vAlign w:val="center"/>
                </w:tcPr>
                <w:p w14:paraId="713A88A3">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符合</w:t>
                  </w:r>
                </w:p>
              </w:tc>
            </w:tr>
            <w:tr w14:paraId="52D50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vAlign w:val="center"/>
                </w:tcPr>
                <w:p w14:paraId="23FCBE3E">
                  <w:pPr>
                    <w:keepNext w:val="0"/>
                    <w:keepLines w:val="0"/>
                    <w:suppressLineNumbers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3</w:t>
                  </w:r>
                </w:p>
              </w:tc>
              <w:tc>
                <w:tcPr>
                  <w:tcW w:w="629" w:type="dxa"/>
                  <w:vAlign w:val="center"/>
                </w:tcPr>
                <w:p w14:paraId="510050A4">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资源开发利用效率要求</w:t>
                  </w:r>
                </w:p>
              </w:tc>
              <w:tc>
                <w:tcPr>
                  <w:tcW w:w="3709" w:type="dxa"/>
                  <w:vAlign w:val="center"/>
                </w:tcPr>
                <w:p w14:paraId="2DDE0B08">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单位工业增加值新鲜水耗≤9m³/万元</w:t>
                  </w:r>
                </w:p>
              </w:tc>
              <w:tc>
                <w:tcPr>
                  <w:tcW w:w="1855" w:type="dxa"/>
                  <w:vAlign w:val="center"/>
                </w:tcPr>
                <w:p w14:paraId="2B45E997">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kern w:val="21"/>
                      <w:szCs w:val="21"/>
                      <w:highlight w:val="none"/>
                    </w:rPr>
                    <w:t>本项目年工业增加值</w:t>
                  </w:r>
                  <w:r>
                    <w:rPr>
                      <w:rFonts w:hint="eastAsia" w:cs="Times New Roman"/>
                      <w:color w:val="auto"/>
                      <w:kern w:val="21"/>
                      <w:szCs w:val="21"/>
                      <w:highlight w:val="none"/>
                      <w:lang w:val="en-US" w:eastAsia="zh-CN"/>
                    </w:rPr>
                    <w:t>2000万</w:t>
                  </w:r>
                  <w:r>
                    <w:rPr>
                      <w:rFonts w:hint="default" w:ascii="Times New Roman" w:hAnsi="Times New Roman" w:cs="Times New Roman"/>
                      <w:color w:val="auto"/>
                      <w:kern w:val="21"/>
                      <w:szCs w:val="21"/>
                      <w:highlight w:val="none"/>
                    </w:rPr>
                    <w:t>元，新鲜用水量为</w:t>
                  </w:r>
                  <w:r>
                    <w:rPr>
                      <w:rFonts w:hint="eastAsia" w:cs="Times New Roman"/>
                      <w:color w:val="auto"/>
                      <w:kern w:val="2"/>
                      <w:sz w:val="21"/>
                      <w:szCs w:val="21"/>
                      <w:lang w:val="en-US" w:eastAsia="zh-CN" w:bidi="ar-SA"/>
                    </w:rPr>
                    <w:t>3259.57</w:t>
                  </w:r>
                  <w:r>
                    <w:rPr>
                      <w:rFonts w:hint="default" w:ascii="Times New Roman" w:hAnsi="Times New Roman" w:cs="Times New Roman"/>
                      <w:color w:val="auto"/>
                      <w:kern w:val="21"/>
                      <w:szCs w:val="21"/>
                      <w:highlight w:val="none"/>
                    </w:rPr>
                    <w:t>m</w:t>
                  </w:r>
                  <w:r>
                    <w:rPr>
                      <w:rFonts w:hint="default" w:ascii="Times New Roman" w:hAnsi="Times New Roman" w:cs="Times New Roman"/>
                      <w:color w:val="auto"/>
                      <w:kern w:val="21"/>
                      <w:szCs w:val="21"/>
                      <w:highlight w:val="none"/>
                      <w:vertAlign w:val="superscript"/>
                    </w:rPr>
                    <w:t>3</w:t>
                  </w:r>
                  <w:r>
                    <w:rPr>
                      <w:rFonts w:hint="default" w:ascii="Times New Roman" w:hAnsi="Times New Roman" w:cs="Times New Roman"/>
                      <w:color w:val="auto"/>
                      <w:kern w:val="21"/>
                      <w:szCs w:val="21"/>
                      <w:highlight w:val="none"/>
                    </w:rPr>
                    <w:t>/a，则单位工业增加值新鲜水耗</w:t>
                  </w:r>
                  <w:r>
                    <w:rPr>
                      <w:rFonts w:hint="eastAsia" w:cs="Times New Roman"/>
                      <w:color w:val="auto"/>
                      <w:kern w:val="21"/>
                      <w:szCs w:val="21"/>
                      <w:highlight w:val="none"/>
                      <w:lang w:val="en-US" w:eastAsia="zh-CN"/>
                    </w:rPr>
                    <w:t>1.63</w:t>
                  </w:r>
                  <w:r>
                    <w:rPr>
                      <w:rFonts w:hint="default" w:ascii="Times New Roman" w:hAnsi="Times New Roman" w:cs="Times New Roman"/>
                      <w:color w:val="auto"/>
                      <w:kern w:val="21"/>
                      <w:szCs w:val="21"/>
                      <w:highlight w:val="none"/>
                    </w:rPr>
                    <w:t>m</w:t>
                  </w:r>
                  <w:r>
                    <w:rPr>
                      <w:rFonts w:hint="default" w:ascii="Times New Roman" w:hAnsi="Times New Roman" w:cs="Times New Roman"/>
                      <w:color w:val="auto"/>
                      <w:kern w:val="21"/>
                      <w:szCs w:val="21"/>
                      <w:highlight w:val="none"/>
                      <w:vertAlign w:val="superscript"/>
                    </w:rPr>
                    <w:t>3</w:t>
                  </w:r>
                  <w:r>
                    <w:rPr>
                      <w:rFonts w:hint="default" w:ascii="Times New Roman" w:hAnsi="Times New Roman" w:cs="Times New Roman"/>
                      <w:color w:val="auto"/>
                      <w:kern w:val="21"/>
                      <w:szCs w:val="21"/>
                      <w:highlight w:val="none"/>
                    </w:rPr>
                    <w:t>/万元≤9m³/万元</w:t>
                  </w:r>
                </w:p>
              </w:tc>
              <w:tc>
                <w:tcPr>
                  <w:tcW w:w="580" w:type="dxa"/>
                  <w:vAlign w:val="center"/>
                </w:tcPr>
                <w:p w14:paraId="662B23EA">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符合</w:t>
                  </w:r>
                </w:p>
              </w:tc>
            </w:tr>
            <w:tr w14:paraId="323D2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vAlign w:val="center"/>
                </w:tcPr>
                <w:p w14:paraId="742E9B85">
                  <w:pPr>
                    <w:keepNext w:val="0"/>
                    <w:keepLines w:val="0"/>
                    <w:suppressLineNumbers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4</w:t>
                  </w:r>
                </w:p>
              </w:tc>
              <w:tc>
                <w:tcPr>
                  <w:tcW w:w="629" w:type="dxa"/>
                  <w:vAlign w:val="center"/>
                </w:tcPr>
                <w:p w14:paraId="5A08A760">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产业准入要求</w:t>
                  </w:r>
                </w:p>
              </w:tc>
              <w:tc>
                <w:tcPr>
                  <w:tcW w:w="3709" w:type="dxa"/>
                  <w:vAlign w:val="center"/>
                </w:tcPr>
                <w:p w14:paraId="05A8C6F0">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1、优先鼓励项目：以规划主导产业为核心，产业结构调整指导目录（2019年本）中鼓励类项目； </w:t>
                  </w:r>
                </w:p>
                <w:p w14:paraId="696CD933">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2、限制发展项目：限制现有化工企业、食品企业扩大生产规模，限制引进排放毒性大的特征大气污染物项目或高VOCs污染类的项目，限制引进废水排放量大的项目，产业结构调整指导目录（2019年本）中限制类项目， 芜湖市环境准入要求中限制类项目； </w:t>
                  </w:r>
                </w:p>
                <w:p w14:paraId="67B5BE56">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禁止发展项目：禁止引入国家禁止以及明令淘汰的项目，禁止引入与开发区主导产业定位不一致的高污染、高能耗、高水耗行业及环境安全风险隐患较大项目，产业结构调整指导目录（2019年本）中淘汰类项目，芜湖市环境准入要求中禁止类项目，新芜经济开车零部件及高端装备制造类项目、新能源新材料类项目、电子电器类项目发区负面清单项目。</w:t>
                  </w:r>
                </w:p>
              </w:tc>
              <w:tc>
                <w:tcPr>
                  <w:tcW w:w="1855" w:type="dxa"/>
                  <w:vAlign w:val="center"/>
                </w:tcPr>
                <w:p w14:paraId="1F1F0A3B">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lang w:bidi="ar"/>
                    </w:rPr>
                    <w:t>本项目与开发区资源环境相适应，VOCs 排放量少，且不属于国家发展和改革委员会第 9 号令《产业结构调整指导目录（2024本）》 中淘汰类、限制类，也不属于鼓励类，可视为允许类，符合国家产业政策需求以及园区规划产业定位。</w:t>
                  </w:r>
                </w:p>
              </w:tc>
              <w:tc>
                <w:tcPr>
                  <w:tcW w:w="580" w:type="dxa"/>
                  <w:vAlign w:val="center"/>
                </w:tcPr>
                <w:p w14:paraId="40228E7E">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cs="Times New Roman"/>
                      <w:color w:val="auto"/>
                      <w:kern w:val="21"/>
                      <w:szCs w:val="21"/>
                      <w:highlight w:val="none"/>
                    </w:rPr>
                  </w:pPr>
                  <w:r>
                    <w:rPr>
                      <w:rFonts w:hint="default" w:ascii="Times New Roman" w:hAnsi="Times New Roman" w:cs="Times New Roman"/>
                      <w:color w:val="auto"/>
                      <w:kern w:val="21"/>
                      <w:szCs w:val="21"/>
                      <w:highlight w:val="none"/>
                    </w:rPr>
                    <w:t>符合</w:t>
                  </w:r>
                </w:p>
              </w:tc>
            </w:tr>
          </w:tbl>
          <w:p w14:paraId="7857AD4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由上表可知，本项目建设符合《芜湖市生态环境分区管控生态环境准入清单》文件中的相关要求。</w:t>
            </w:r>
          </w:p>
          <w:p w14:paraId="3D1C85C4">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kern w:val="1"/>
                <w:sz w:val="24"/>
                <w:highlight w:val="none"/>
              </w:rPr>
            </w:pPr>
            <w:r>
              <w:rPr>
                <w:rFonts w:hint="default" w:ascii="Times New Roman" w:hAnsi="Times New Roman" w:cs="Times New Roman"/>
                <w:b/>
                <w:bCs/>
                <w:color w:val="auto"/>
                <w:kern w:val="1"/>
                <w:sz w:val="24"/>
                <w:highlight w:val="none"/>
              </w:rPr>
              <w:t>6、与“三区三线”符合性分析</w:t>
            </w:r>
          </w:p>
          <w:p w14:paraId="78EB01F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中共中央国务院关于建立国土空间规划体系并监督实施的若干意见》（中发〔2019〕18号）、自然资源部关于在全国开展“三区三线”划定工作的函（自然资函〔2022〕47号），“三区三线”是根据农业空间、生态空间、城镇空间三个区域，分别对应划定的耕地和永久基本农田保护红线、城镇开发边界、生态保护红线三条控制线。农业空间是以农业生产、农村生活为主体的区域，生态空间是指具有自然属性、以提供生态服务或生态产品为主的区域，城镇区间是以承载城镇经济、社会、政治、文化、生态等要素为主的功能空间。生态保护红线是指在生态空间范围内具有特殊重要生态功能必须强制性严格保护的陆域、水域等区域，永久基本农田是指不能擅自占用或改变用途的长期稳定耕地，城镇开发边界是指在一定时期内因城镇发展需要，可以集中进行城镇开发建设，重点完善城镇功能的区域边界。</w:t>
            </w:r>
          </w:p>
          <w:p w14:paraId="79AA391E">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cs="Times New Roman"/>
                <w:color w:val="auto"/>
                <w:sz w:val="24"/>
                <w:highlight w:val="none"/>
              </w:rPr>
              <w:t>本项目位于</w:t>
            </w:r>
            <w:r>
              <w:rPr>
                <w:rFonts w:hint="eastAsia" w:cs="Times New Roman"/>
                <w:color w:val="auto"/>
                <w:sz w:val="24"/>
                <w:highlight w:val="none"/>
                <w:lang w:eastAsia="zh-CN"/>
              </w:rPr>
              <w:t>安徽省芜湖市湾沚区新芜经济开发区芜屯快速通道3699号02幢2号厂房</w:t>
            </w:r>
            <w:r>
              <w:rPr>
                <w:rFonts w:hint="default" w:ascii="Times New Roman" w:hAnsi="Times New Roman" w:cs="Times New Roman"/>
                <w:color w:val="auto"/>
                <w:sz w:val="24"/>
                <w:highlight w:val="none"/>
              </w:rPr>
              <w:t>，</w:t>
            </w:r>
            <w:r>
              <w:rPr>
                <w:rFonts w:hint="eastAsia" w:ascii="Times New Roman" w:hAnsi="Times New Roman" w:eastAsia="宋体" w:cs="Times New Roman"/>
                <w:color w:val="auto"/>
                <w:sz w:val="24"/>
              </w:rPr>
              <w:t>属于新芜经济开发区范围，</w:t>
            </w:r>
            <w:r>
              <w:rPr>
                <w:rFonts w:hint="eastAsia" w:ascii="Times New Roman" w:hAnsi="Times New Roman" w:eastAsia="宋体" w:cs="Times New Roman"/>
                <w:color w:val="auto"/>
                <w:sz w:val="24"/>
                <w:lang w:val="en-US" w:eastAsia="zh-CN"/>
              </w:rPr>
              <w:t>因此本</w:t>
            </w:r>
            <w:r>
              <w:rPr>
                <w:rFonts w:hint="eastAsia" w:ascii="Times New Roman" w:hAnsi="Times New Roman" w:eastAsia="宋体" w:cs="Times New Roman"/>
                <w:color w:val="auto"/>
                <w:sz w:val="24"/>
              </w:rPr>
              <w:t>项目用地</w:t>
            </w:r>
            <w:r>
              <w:rPr>
                <w:rFonts w:hint="eastAsia" w:ascii="Times New Roman" w:hAnsi="Times New Roman" w:eastAsia="宋体" w:cs="Times New Roman"/>
                <w:color w:val="auto"/>
                <w:sz w:val="24"/>
                <w:lang w:val="en-US" w:eastAsia="zh-CN"/>
              </w:rPr>
              <w:t>性质</w:t>
            </w:r>
            <w:r>
              <w:rPr>
                <w:rFonts w:hint="eastAsia" w:ascii="Times New Roman" w:hAnsi="Times New Roman" w:eastAsia="宋体" w:cs="Times New Roman"/>
                <w:color w:val="auto"/>
                <w:sz w:val="24"/>
              </w:rPr>
              <w:t>属于工业用地</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根据现状调查，</w:t>
            </w:r>
            <w:r>
              <w:rPr>
                <w:rFonts w:hint="default" w:ascii="Times New Roman" w:hAnsi="Times New Roman" w:eastAsia="宋体" w:cs="Times New Roman"/>
                <w:color w:val="auto"/>
                <w:sz w:val="24"/>
              </w:rPr>
              <w:t>本项目不在生态保护红线范围内，不属于永久基本农田保护红线，在城镇开发边界内</w:t>
            </w:r>
            <w:ins w:id="0" w:author="yll" w:date="2025-08-28T13:55:00Z">
              <w:r>
                <w:rPr>
                  <w:rFonts w:hint="eastAsia" w:ascii="Times New Roman" w:hAnsi="Times New Roman" w:eastAsia="宋体" w:cs="Times New Roman"/>
                  <w:color w:val="auto"/>
                  <w:sz w:val="24"/>
                </w:rPr>
                <w:t>，</w:t>
              </w:r>
            </w:ins>
            <w:r>
              <w:rPr>
                <w:rFonts w:hint="default" w:ascii="Times New Roman" w:hAnsi="Times New Roman" w:eastAsia="宋体" w:cs="Times New Roman"/>
                <w:color w:val="auto"/>
                <w:sz w:val="24"/>
              </w:rPr>
              <w:t>本项目不占用农业空间、生态空间，占用城镇空间。</w:t>
            </w:r>
          </w:p>
          <w:p w14:paraId="3CC5DBA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因此，项目符合“三区三线”要求。</w:t>
            </w:r>
          </w:p>
          <w:p w14:paraId="2E426171">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7、</w:t>
            </w:r>
            <w:r>
              <w:rPr>
                <w:rFonts w:hint="default" w:ascii="Times New Roman" w:hAnsi="Times New Roman" w:cs="Times New Roman"/>
                <w:b/>
                <w:color w:val="auto"/>
                <w:sz w:val="24"/>
                <w:highlight w:val="none"/>
              </w:rPr>
              <w:t>与《关于全面打造水清岸绿产业优美丽长江（安徽）经济带的实施意见（升级版）》</w:t>
            </w:r>
            <w:r>
              <w:rPr>
                <w:rFonts w:hint="default" w:ascii="Times New Roman" w:hAnsi="Times New Roman" w:cs="Times New Roman"/>
                <w:b/>
                <w:bCs/>
                <w:color w:val="auto"/>
                <w:sz w:val="24"/>
                <w:highlight w:val="none"/>
              </w:rPr>
              <w:t>（皖发[2021]19号）、《</w:t>
            </w:r>
            <w:r>
              <w:rPr>
                <w:rFonts w:hint="default" w:ascii="Times New Roman" w:hAnsi="Times New Roman" w:cs="Times New Roman"/>
                <w:b/>
                <w:color w:val="auto"/>
                <w:sz w:val="24"/>
                <w:highlight w:val="none"/>
              </w:rPr>
              <w:t>关于全面打造水清岸绿产业优美丽长江（芜湖）经济带的实施方案（升级版）</w:t>
            </w:r>
            <w:r>
              <w:rPr>
                <w:rFonts w:hint="default" w:ascii="Times New Roman" w:hAnsi="Times New Roman" w:cs="Times New Roman"/>
                <w:b/>
                <w:bCs/>
                <w:color w:val="auto"/>
                <w:sz w:val="24"/>
                <w:highlight w:val="none"/>
              </w:rPr>
              <w:t>》（芜市办[2021]28号）</w:t>
            </w:r>
            <w:r>
              <w:rPr>
                <w:rFonts w:hint="default" w:ascii="Times New Roman" w:hAnsi="Times New Roman" w:cs="Times New Roman"/>
                <w:b/>
                <w:color w:val="auto"/>
                <w:sz w:val="24"/>
                <w:highlight w:val="none"/>
              </w:rPr>
              <w:t>相符性</w:t>
            </w:r>
          </w:p>
          <w:p w14:paraId="37E978ED">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rPr>
              <w:t>表1-</w:t>
            </w:r>
            <w:r>
              <w:rPr>
                <w:rFonts w:hint="eastAsia" w:cs="Times New Roman"/>
                <w:b/>
                <w:color w:val="auto"/>
                <w:kern w:val="0"/>
                <w:sz w:val="24"/>
                <w:szCs w:val="20"/>
                <w:highlight w:val="none"/>
                <w:lang w:val="en-US" w:eastAsia="zh-CN"/>
              </w:rPr>
              <w:t>7</w:t>
            </w:r>
            <w:r>
              <w:rPr>
                <w:rFonts w:hint="default" w:ascii="Times New Roman" w:hAnsi="Times New Roman" w:cs="Times New Roman"/>
                <w:b/>
                <w:color w:val="auto"/>
                <w:kern w:val="0"/>
                <w:sz w:val="24"/>
                <w:szCs w:val="20"/>
                <w:highlight w:val="none"/>
              </w:rPr>
              <w:t xml:space="preserve">  </w:t>
            </w:r>
            <w:r>
              <w:rPr>
                <w:rFonts w:hint="default" w:ascii="Times New Roman" w:hAnsi="Times New Roman" w:cs="Times New Roman"/>
                <w:b/>
                <w:color w:val="auto"/>
                <w:kern w:val="0"/>
                <w:sz w:val="24"/>
                <w:szCs w:val="20"/>
                <w:highlight w:val="none"/>
                <w:lang w:val="zh-CN"/>
              </w:rPr>
              <w:t>项目与“皖发[2021]19号”、“芜市办[2021]28号”文件相符性</w:t>
            </w:r>
          </w:p>
          <w:tbl>
            <w:tblPr>
              <w:tblStyle w:val="61"/>
              <w:tblW w:w="7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3748"/>
              <w:gridCol w:w="2072"/>
            </w:tblGrid>
            <w:tr w14:paraId="08672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152A44CF">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文件内容</w:t>
                  </w:r>
                </w:p>
              </w:tc>
              <w:tc>
                <w:tcPr>
                  <w:tcW w:w="3748" w:type="dxa"/>
                  <w:tcBorders>
                    <w:tl2br w:val="nil"/>
                    <w:tr2bl w:val="nil"/>
                  </w:tcBorders>
                  <w:vAlign w:val="center"/>
                </w:tcPr>
                <w:p w14:paraId="2C502394">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具体要求</w:t>
                  </w:r>
                </w:p>
              </w:tc>
              <w:tc>
                <w:tcPr>
                  <w:tcW w:w="2072" w:type="dxa"/>
                  <w:tcBorders>
                    <w:tl2br w:val="nil"/>
                    <w:tr2bl w:val="nil"/>
                  </w:tcBorders>
                  <w:vAlign w:val="center"/>
                </w:tcPr>
                <w:p w14:paraId="4E4571B5">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相符性分析</w:t>
                  </w:r>
                </w:p>
              </w:tc>
            </w:tr>
            <w:tr w14:paraId="2077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5E77180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严禁1公里范围内新建化工项目</w:t>
                  </w:r>
                </w:p>
              </w:tc>
              <w:tc>
                <w:tcPr>
                  <w:tcW w:w="3748" w:type="dxa"/>
                  <w:tcBorders>
                    <w:tl2br w:val="nil"/>
                    <w:tr2bl w:val="nil"/>
                  </w:tcBorders>
                  <w:vAlign w:val="center"/>
                </w:tcPr>
                <w:p w14:paraId="22DAC56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c>
                <w:tcPr>
                  <w:tcW w:w="2072" w:type="dxa"/>
                  <w:tcBorders>
                    <w:tl2br w:val="nil"/>
                    <w:tr2bl w:val="nil"/>
                  </w:tcBorders>
                  <w:vAlign w:val="center"/>
                </w:tcPr>
                <w:p w14:paraId="0BABA12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本项目不属于化工项目。本项目距离长江干流岸线约</w:t>
                  </w:r>
                  <w:r>
                    <w:rPr>
                      <w:rFonts w:hint="eastAsia" w:cs="Times New Roman"/>
                      <w:color w:val="auto"/>
                      <w:szCs w:val="21"/>
                      <w:highlight w:val="none"/>
                      <w:lang w:eastAsia="zh-CN"/>
                    </w:rPr>
                    <w:t>25.73km</w:t>
                  </w:r>
                  <w:r>
                    <w:rPr>
                      <w:rFonts w:hint="default" w:ascii="Times New Roman" w:hAnsi="Times New Roman" w:cs="Times New Roman"/>
                      <w:color w:val="auto"/>
                      <w:szCs w:val="21"/>
                      <w:highlight w:val="none"/>
                    </w:rPr>
                    <w:t>，距离青弋江最近距离为</w:t>
                  </w:r>
                  <w:r>
                    <w:rPr>
                      <w:rFonts w:hint="default"/>
                      <w:color w:val="auto"/>
                    </w:rPr>
                    <w:commentReference w:id="7"/>
                  </w:r>
                  <w:r>
                    <w:rPr>
                      <w:rFonts w:hint="eastAsia" w:cs="Times New Roman"/>
                      <w:color w:val="auto"/>
                      <w:szCs w:val="21"/>
                      <w:highlight w:val="none"/>
                      <w:lang w:eastAsia="zh-CN"/>
                    </w:rPr>
                    <w:t>3.3km</w:t>
                  </w:r>
                  <w:r>
                    <w:rPr>
                      <w:rFonts w:hint="default" w:ascii="Times New Roman" w:hAnsi="Times New Roman" w:cs="Times New Roman"/>
                      <w:color w:val="auto"/>
                      <w:szCs w:val="21"/>
                      <w:highlight w:val="none"/>
                    </w:rPr>
                    <w:t>，项目选址不在长江干流及主要支流岸线1公里范围内。</w:t>
                  </w:r>
                </w:p>
              </w:tc>
            </w:tr>
            <w:tr w14:paraId="4FCDD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1B800C9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严控5公里范围内新建重化工重污染项目</w:t>
                  </w:r>
                </w:p>
              </w:tc>
              <w:tc>
                <w:tcPr>
                  <w:tcW w:w="3748" w:type="dxa"/>
                  <w:tcBorders>
                    <w:tl2br w:val="nil"/>
                    <w:tr2bl w:val="nil"/>
                  </w:tcBorders>
                  <w:vAlign w:val="center"/>
                </w:tcPr>
                <w:p w14:paraId="08B30DA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2072" w:type="dxa"/>
                  <w:tcBorders>
                    <w:tl2br w:val="nil"/>
                    <w:tr2bl w:val="nil"/>
                  </w:tcBorders>
                  <w:vAlign w:val="center"/>
                </w:tcPr>
                <w:p w14:paraId="3904F8F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本项目距离长江干流岸线约</w:t>
                  </w:r>
                  <w:r>
                    <w:rPr>
                      <w:rFonts w:hint="eastAsia" w:cs="Times New Roman"/>
                      <w:color w:val="auto"/>
                      <w:szCs w:val="21"/>
                      <w:highlight w:val="none"/>
                      <w:lang w:eastAsia="zh-CN"/>
                    </w:rPr>
                    <w:t>25.73km</w:t>
                  </w:r>
                  <w:r>
                    <w:rPr>
                      <w:rFonts w:hint="default" w:ascii="Times New Roman" w:hAnsi="Times New Roman" w:cs="Times New Roman"/>
                      <w:color w:val="auto"/>
                      <w:szCs w:val="21"/>
                      <w:highlight w:val="none"/>
                    </w:rPr>
                    <w:t>，项目选址不在长江干流岸线5公里范围内，项目不属于石油化工和煤化工等重化工、重污染项目。</w:t>
                  </w:r>
                </w:p>
              </w:tc>
            </w:tr>
            <w:tr w14:paraId="79206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7BC6A56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严管15公里范围内新建项目</w:t>
                  </w:r>
                </w:p>
              </w:tc>
              <w:tc>
                <w:tcPr>
                  <w:tcW w:w="3748" w:type="dxa"/>
                  <w:tcBorders>
                    <w:tl2br w:val="nil"/>
                    <w:tr2bl w:val="nil"/>
                  </w:tcBorders>
                  <w:vAlign w:val="center"/>
                </w:tcPr>
                <w:p w14:paraId="609C90B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长江干流岸线15公里范围内，严把各类项目准入门槛，严格执行环境保护标准，把主要污染物和重点重金属排放总量控制目标作为新（改、扩）建项目环评审批的前置条件，禁止建设没有环境容量和减排总量项目。</w:t>
                  </w:r>
                </w:p>
              </w:tc>
              <w:tc>
                <w:tcPr>
                  <w:tcW w:w="2072" w:type="dxa"/>
                  <w:tcBorders>
                    <w:tl2br w:val="nil"/>
                    <w:tr2bl w:val="nil"/>
                  </w:tcBorders>
                  <w:vAlign w:val="center"/>
                </w:tcPr>
                <w:p w14:paraId="70BF3E6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本项目距离</w:t>
                  </w:r>
                  <w:r>
                    <w:rPr>
                      <w:rFonts w:hint="default" w:ascii="Times New Roman" w:hAnsi="Times New Roman" w:cs="Times New Roman"/>
                      <w:color w:val="auto"/>
                      <w:szCs w:val="21"/>
                      <w:highlight w:val="none"/>
                    </w:rPr>
                    <w:t>长江干流岸线约</w:t>
                  </w:r>
                  <w:r>
                    <w:rPr>
                      <w:rFonts w:hint="eastAsia" w:cs="Times New Roman"/>
                      <w:color w:val="auto"/>
                      <w:szCs w:val="21"/>
                      <w:highlight w:val="none"/>
                      <w:lang w:eastAsia="zh-CN"/>
                    </w:rPr>
                    <w:t>25.73km</w:t>
                  </w:r>
                  <w:r>
                    <w:rPr>
                      <w:rFonts w:hint="default" w:ascii="Times New Roman" w:hAnsi="Times New Roman" w:cs="Times New Roman"/>
                      <w:color w:val="auto"/>
                      <w:kern w:val="0"/>
                      <w:szCs w:val="21"/>
                      <w:highlight w:val="none"/>
                    </w:rPr>
                    <w:t>，不在长江干流岸线15公里范围内，本项目各污染物全部合规达标，为准许建设类项目。</w:t>
                  </w:r>
                </w:p>
              </w:tc>
            </w:tr>
          </w:tbl>
          <w:p w14:paraId="784D98C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综上所述，本项目建设符合《关于全面打造水清岸绿产业优美丽长江（安徽）经济带的实施意见（升级版）》、《关于全面打造水清岸绿产业优美丽长江（芜湖）经济带的实施方案（升级版）》中相关要求。</w:t>
            </w:r>
          </w:p>
          <w:p w14:paraId="6C6145B7">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8、与《长江经济带发展负面清单指南（试行，2022年版）》（长江办[2022]7号）、《关于印发安徽省长江经济带发展负面清单实施细则（试行，2022年版）的通知》（皖长江办[2022]10号）相符性分析</w:t>
            </w:r>
          </w:p>
          <w:p w14:paraId="2BB030A1">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rPr>
              <w:t>表1-</w:t>
            </w:r>
            <w:r>
              <w:rPr>
                <w:rFonts w:hint="eastAsia" w:cs="Times New Roman"/>
                <w:b/>
                <w:color w:val="auto"/>
                <w:kern w:val="0"/>
                <w:sz w:val="24"/>
                <w:szCs w:val="20"/>
                <w:highlight w:val="none"/>
                <w:lang w:val="en-US" w:eastAsia="zh-CN"/>
              </w:rPr>
              <w:t>8</w:t>
            </w:r>
            <w:r>
              <w:rPr>
                <w:rFonts w:hint="default" w:ascii="Times New Roman" w:hAnsi="Times New Roman" w:cs="Times New Roman"/>
                <w:b/>
                <w:color w:val="auto"/>
                <w:kern w:val="0"/>
                <w:sz w:val="24"/>
                <w:szCs w:val="20"/>
                <w:highlight w:val="none"/>
              </w:rPr>
              <w:t xml:space="preserve">  </w:t>
            </w:r>
            <w:r>
              <w:rPr>
                <w:rFonts w:hint="default" w:ascii="Times New Roman" w:hAnsi="Times New Roman" w:cs="Times New Roman"/>
                <w:b/>
                <w:color w:val="auto"/>
                <w:kern w:val="0"/>
                <w:sz w:val="24"/>
                <w:szCs w:val="20"/>
                <w:highlight w:val="none"/>
                <w:lang w:val="zh-CN"/>
              </w:rPr>
              <w:t>项目与“长江办[2022]7号”</w:t>
            </w:r>
            <w:r>
              <w:rPr>
                <w:rFonts w:hint="default" w:ascii="Times New Roman" w:hAnsi="Times New Roman" w:cs="Times New Roman"/>
                <w:b/>
                <w:color w:val="auto"/>
                <w:kern w:val="0"/>
                <w:sz w:val="24"/>
                <w:szCs w:val="20"/>
                <w:highlight w:val="none"/>
              </w:rPr>
              <w:t>和“</w:t>
            </w:r>
            <w:r>
              <w:rPr>
                <w:rFonts w:hint="default" w:ascii="Times New Roman" w:hAnsi="Times New Roman" w:cs="Times New Roman"/>
                <w:b/>
                <w:color w:val="auto"/>
                <w:kern w:val="0"/>
                <w:sz w:val="24"/>
                <w:szCs w:val="20"/>
                <w:highlight w:val="none"/>
                <w:lang w:val="zh-CN"/>
              </w:rPr>
              <w:t>皖长江办[2022]10号</w:t>
            </w:r>
            <w:r>
              <w:rPr>
                <w:rFonts w:hint="default" w:ascii="Times New Roman" w:hAnsi="Times New Roman" w:cs="Times New Roman"/>
                <w:b/>
                <w:color w:val="auto"/>
                <w:kern w:val="0"/>
                <w:sz w:val="24"/>
                <w:szCs w:val="20"/>
                <w:highlight w:val="none"/>
              </w:rPr>
              <w:t>”</w:t>
            </w:r>
            <w:r>
              <w:rPr>
                <w:rFonts w:hint="default" w:ascii="Times New Roman" w:hAnsi="Times New Roman" w:cs="Times New Roman"/>
                <w:b/>
                <w:color w:val="auto"/>
                <w:kern w:val="0"/>
                <w:sz w:val="24"/>
                <w:szCs w:val="20"/>
                <w:highlight w:val="none"/>
                <w:lang w:val="zh-CN"/>
              </w:rPr>
              <w:t>文件相符性分析</w:t>
            </w:r>
          </w:p>
          <w:tbl>
            <w:tblPr>
              <w:tblStyle w:val="61"/>
              <w:tblW w:w="7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3426"/>
              <w:gridCol w:w="2634"/>
              <w:gridCol w:w="589"/>
            </w:tblGrid>
            <w:tr w14:paraId="0C5FA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B115F8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序号</w:t>
                  </w:r>
                </w:p>
              </w:tc>
              <w:tc>
                <w:tcPr>
                  <w:tcW w:w="3426" w:type="dxa"/>
                  <w:tcBorders>
                    <w:tl2br w:val="nil"/>
                    <w:tr2bl w:val="nil"/>
                  </w:tcBorders>
                  <w:vAlign w:val="center"/>
                </w:tcPr>
                <w:p w14:paraId="21100473">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文件要求</w:t>
                  </w:r>
                </w:p>
              </w:tc>
              <w:tc>
                <w:tcPr>
                  <w:tcW w:w="2634" w:type="dxa"/>
                  <w:tcBorders>
                    <w:tl2br w:val="nil"/>
                    <w:tr2bl w:val="nil"/>
                  </w:tcBorders>
                  <w:vAlign w:val="center"/>
                </w:tcPr>
                <w:p w14:paraId="65F4DAAE">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本项目情况</w:t>
                  </w:r>
                </w:p>
              </w:tc>
              <w:tc>
                <w:tcPr>
                  <w:tcW w:w="589" w:type="dxa"/>
                  <w:tcBorders>
                    <w:tl2br w:val="nil"/>
                    <w:tr2bl w:val="nil"/>
                  </w:tcBorders>
                  <w:vAlign w:val="center"/>
                </w:tcPr>
                <w:p w14:paraId="43372B9D">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相符性</w:t>
                  </w:r>
                </w:p>
              </w:tc>
            </w:tr>
            <w:tr w14:paraId="14AA6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2" w:type="dxa"/>
                  <w:gridSpan w:val="4"/>
                  <w:tcBorders>
                    <w:tl2br w:val="nil"/>
                    <w:tr2bl w:val="nil"/>
                  </w:tcBorders>
                  <w:vAlign w:val="center"/>
                </w:tcPr>
                <w:p w14:paraId="797C26B6">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一、《长江经济带发展负面清单指南（试行，2022年版）》</w:t>
                  </w:r>
                  <w:r>
                    <w:rPr>
                      <w:rFonts w:hint="default" w:ascii="Times New Roman" w:hAnsi="Times New Roman" w:cs="Times New Roman"/>
                      <w:b/>
                      <w:bCs/>
                      <w:color w:val="auto"/>
                      <w:szCs w:val="21"/>
                      <w:highlight w:val="none"/>
                    </w:rPr>
                    <w:t>（长江办[2022]7号）</w:t>
                  </w:r>
                </w:p>
              </w:tc>
            </w:tr>
            <w:tr w14:paraId="3623C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5EEB364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1</w:t>
                  </w:r>
                </w:p>
              </w:tc>
              <w:tc>
                <w:tcPr>
                  <w:tcW w:w="3426" w:type="dxa"/>
                  <w:tcBorders>
                    <w:tl2br w:val="nil"/>
                    <w:tr2bl w:val="nil"/>
                  </w:tcBorders>
                  <w:vAlign w:val="center"/>
                </w:tcPr>
                <w:p w14:paraId="0DFA90D8">
                  <w:pPr>
                    <w:keepNext w:val="0"/>
                    <w:keepLines w:val="0"/>
                    <w:suppressLineNumbers w:val="0"/>
                    <w:spacing w:before="0" w:beforeAutospacing="0" w:after="0" w:afterAutospacing="0"/>
                    <w:ind w:left="0" w:right="0"/>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禁止在长江干支流、重要湖泊岸线一公里范围内新建、扩建化工园区和化工项目。禁止在长江岸线三公里范围内和重要支流岸线一公里范围内新建、改建、扩建尾矿库、冶炼渣库和磷石膏库，以提升安全、生态环境保护水平为目的的改建除外。</w:t>
                  </w:r>
                </w:p>
              </w:tc>
              <w:tc>
                <w:tcPr>
                  <w:tcW w:w="2634" w:type="dxa"/>
                  <w:tcBorders>
                    <w:tl2br w:val="nil"/>
                    <w:tr2bl w:val="nil"/>
                  </w:tcBorders>
                  <w:vAlign w:val="center"/>
                </w:tcPr>
                <w:p w14:paraId="1D77CBB7">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本项目距离长江干流岸线约</w:t>
                  </w:r>
                  <w:r>
                    <w:rPr>
                      <w:rFonts w:hint="eastAsia" w:cs="Times New Roman"/>
                      <w:color w:val="auto"/>
                      <w:szCs w:val="21"/>
                      <w:highlight w:val="none"/>
                      <w:lang w:eastAsia="zh-CN"/>
                    </w:rPr>
                    <w:t>25.73km</w:t>
                  </w:r>
                  <w:r>
                    <w:rPr>
                      <w:rFonts w:hint="default" w:ascii="Times New Roman" w:hAnsi="Times New Roman" w:cs="Times New Roman"/>
                      <w:color w:val="auto"/>
                      <w:szCs w:val="21"/>
                      <w:highlight w:val="none"/>
                    </w:rPr>
                    <w:t>，距离青弋江最近距离为</w:t>
                  </w:r>
                  <w:r>
                    <w:rPr>
                      <w:rFonts w:hint="eastAsia" w:cs="Times New Roman"/>
                      <w:color w:val="auto"/>
                      <w:szCs w:val="21"/>
                      <w:highlight w:val="none"/>
                      <w:lang w:eastAsia="zh-CN"/>
                    </w:rPr>
                    <w:t>3.3km</w:t>
                  </w:r>
                  <w:r>
                    <w:rPr>
                      <w:rFonts w:hint="default" w:ascii="Times New Roman" w:hAnsi="Times New Roman" w:cs="Times New Roman"/>
                      <w:color w:val="auto"/>
                      <w:szCs w:val="21"/>
                      <w:highlight w:val="none"/>
                    </w:rPr>
                    <w:t>，</w:t>
                  </w:r>
                  <w:r>
                    <w:rPr>
                      <w:rFonts w:hint="default" w:ascii="Times New Roman" w:hAnsi="Times New Roman" w:cs="Times New Roman"/>
                      <w:bCs/>
                      <w:color w:val="auto"/>
                      <w:szCs w:val="21"/>
                      <w:highlight w:val="none"/>
                    </w:rPr>
                    <w:t>不</w:t>
                  </w:r>
                  <w:r>
                    <w:rPr>
                      <w:rFonts w:hint="default" w:ascii="Times New Roman" w:hAnsi="Times New Roman" w:cs="Times New Roman"/>
                      <w:color w:val="auto"/>
                      <w:szCs w:val="21"/>
                      <w:highlight w:val="none"/>
                    </w:rPr>
                    <w:t>在长江干支流、重要湖泊岸线一公里范围内</w:t>
                  </w:r>
                  <w:r>
                    <w:rPr>
                      <w:rFonts w:hint="default" w:ascii="Times New Roman" w:hAnsi="Times New Roman" w:cs="Times New Roman"/>
                      <w:bCs/>
                      <w:color w:val="auto"/>
                      <w:szCs w:val="21"/>
                      <w:highlight w:val="none"/>
                    </w:rPr>
                    <w:t>。</w:t>
                  </w:r>
                </w:p>
              </w:tc>
              <w:tc>
                <w:tcPr>
                  <w:tcW w:w="589" w:type="dxa"/>
                  <w:tcBorders>
                    <w:tl2br w:val="nil"/>
                    <w:tr2bl w:val="nil"/>
                  </w:tcBorders>
                  <w:vAlign w:val="center"/>
                </w:tcPr>
                <w:p w14:paraId="1042533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相符</w:t>
                  </w:r>
                </w:p>
              </w:tc>
            </w:tr>
            <w:tr w14:paraId="0781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5D304BB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2</w:t>
                  </w:r>
                </w:p>
              </w:tc>
              <w:tc>
                <w:tcPr>
                  <w:tcW w:w="3426" w:type="dxa"/>
                  <w:tcBorders>
                    <w:tl2br w:val="nil"/>
                    <w:tr2bl w:val="nil"/>
                  </w:tcBorders>
                  <w:vAlign w:val="center"/>
                </w:tcPr>
                <w:p w14:paraId="43AA6228">
                  <w:pPr>
                    <w:keepNext w:val="0"/>
                    <w:keepLines w:val="0"/>
                    <w:suppressLineNumbers w:val="0"/>
                    <w:spacing w:before="0" w:beforeAutospacing="0" w:after="0" w:afterAutospacing="0"/>
                    <w:ind w:left="0" w:right="0"/>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禁止在合规园区外新建、扩建钢铁、石化、化工、焦化、建材、有色等高污染项目。</w:t>
                  </w:r>
                </w:p>
              </w:tc>
              <w:tc>
                <w:tcPr>
                  <w:tcW w:w="2634" w:type="dxa"/>
                  <w:tcBorders>
                    <w:tl2br w:val="nil"/>
                    <w:tr2bl w:val="nil"/>
                  </w:tcBorders>
                  <w:vAlign w:val="center"/>
                </w:tcPr>
                <w:p w14:paraId="14C2A300">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本项目位于安徽新芜经济开发区内，属于合规的工业园区，且本项目不属于钢铁、石化、化工、焦化、建材、有色、制浆造纸等高污染项目。</w:t>
                  </w:r>
                </w:p>
              </w:tc>
              <w:tc>
                <w:tcPr>
                  <w:tcW w:w="589" w:type="dxa"/>
                  <w:tcBorders>
                    <w:tl2br w:val="nil"/>
                    <w:tr2bl w:val="nil"/>
                  </w:tcBorders>
                  <w:vAlign w:val="center"/>
                </w:tcPr>
                <w:p w14:paraId="6BBDF01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1EABE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51A29A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w:t>
                  </w:r>
                </w:p>
              </w:tc>
              <w:tc>
                <w:tcPr>
                  <w:tcW w:w="3426" w:type="dxa"/>
                  <w:tcBorders>
                    <w:tl2br w:val="nil"/>
                    <w:tr2bl w:val="nil"/>
                  </w:tcBorders>
                  <w:vAlign w:val="center"/>
                </w:tcPr>
                <w:p w14:paraId="1253D56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禁止新建、扩建不符合国家石化、现代煤化工等产业布局规划的项目。</w:t>
                  </w:r>
                </w:p>
              </w:tc>
              <w:tc>
                <w:tcPr>
                  <w:tcW w:w="2634" w:type="dxa"/>
                  <w:tcBorders>
                    <w:tl2br w:val="nil"/>
                    <w:tr2bl w:val="nil"/>
                  </w:tcBorders>
                  <w:vAlign w:val="center"/>
                </w:tcPr>
                <w:p w14:paraId="6E8A1EE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本项目不属于石化、现代煤化工等不符合国家产业布局规划的项目。</w:t>
                  </w:r>
                </w:p>
              </w:tc>
              <w:tc>
                <w:tcPr>
                  <w:tcW w:w="589" w:type="dxa"/>
                  <w:tcBorders>
                    <w:tl2br w:val="nil"/>
                    <w:tr2bl w:val="nil"/>
                  </w:tcBorders>
                  <w:vAlign w:val="center"/>
                </w:tcPr>
                <w:p w14:paraId="4D165921">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相符</w:t>
                  </w:r>
                </w:p>
              </w:tc>
            </w:tr>
            <w:tr w14:paraId="262A5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1B4DB86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4</w:t>
                  </w:r>
                </w:p>
              </w:tc>
              <w:tc>
                <w:tcPr>
                  <w:tcW w:w="3426" w:type="dxa"/>
                  <w:tcBorders>
                    <w:tl2br w:val="nil"/>
                    <w:tr2bl w:val="nil"/>
                  </w:tcBorders>
                  <w:vAlign w:val="center"/>
                </w:tcPr>
                <w:p w14:paraId="015835E3">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禁止新建、扩建法律法规和相关政策明令禁止的落后产能项目。禁止新建、扩建不符合国家产能置换要求的严重过剩产能行业的项目。禁止新建、扩建不符合要求的高耗能高排放项目。</w:t>
                  </w:r>
                </w:p>
              </w:tc>
              <w:tc>
                <w:tcPr>
                  <w:tcW w:w="2634" w:type="dxa"/>
                  <w:tcBorders>
                    <w:tl2br w:val="nil"/>
                    <w:tr2bl w:val="nil"/>
                  </w:tcBorders>
                  <w:vAlign w:val="center"/>
                </w:tcPr>
                <w:p w14:paraId="2B9342A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本项目属于《产业结构调整指导目录（2024年本）》中允许类，项目符合国家产业政策。不属于落后产能项目，不属于过剩产能行业项目，不属于高耗能高排放项目。</w:t>
                  </w:r>
                </w:p>
              </w:tc>
              <w:tc>
                <w:tcPr>
                  <w:tcW w:w="589" w:type="dxa"/>
                  <w:tcBorders>
                    <w:tl2br w:val="nil"/>
                    <w:tr2bl w:val="nil"/>
                  </w:tcBorders>
                  <w:vAlign w:val="center"/>
                </w:tcPr>
                <w:p w14:paraId="7D59BE7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相符</w:t>
                  </w:r>
                </w:p>
              </w:tc>
            </w:tr>
            <w:tr w14:paraId="286C4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2" w:type="dxa"/>
                  <w:gridSpan w:val="4"/>
                  <w:tcBorders>
                    <w:tl2br w:val="nil"/>
                    <w:tr2bl w:val="nil"/>
                  </w:tcBorders>
                  <w:vAlign w:val="center"/>
                </w:tcPr>
                <w:p w14:paraId="294CFFC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
                      <w:bCs/>
                      <w:color w:val="auto"/>
                      <w:szCs w:val="21"/>
                      <w:highlight w:val="none"/>
                    </w:rPr>
                    <w:t>二、《关于印发安徽省长江经济带发展负面清单实施细则（试行，2022年版）的通知》（皖长江办[2022]10号）</w:t>
                  </w:r>
                </w:p>
              </w:tc>
            </w:tr>
            <w:tr w14:paraId="685D2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0D16555A">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1</w:t>
                  </w:r>
                </w:p>
              </w:tc>
              <w:tc>
                <w:tcPr>
                  <w:tcW w:w="3426" w:type="dxa"/>
                  <w:tcBorders>
                    <w:tl2br w:val="nil"/>
                    <w:tr2bl w:val="nil"/>
                  </w:tcBorders>
                  <w:vAlign w:val="center"/>
                </w:tcPr>
                <w:p w14:paraId="26904A4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禁止建设不符合全国和省级港口布局规划以及港口总体规划的码头项目，禁止建设不符合《长江干线过江通道布局规划》的过长江通道项目。</w:t>
                  </w:r>
                </w:p>
              </w:tc>
              <w:tc>
                <w:tcPr>
                  <w:tcW w:w="2634" w:type="dxa"/>
                  <w:tcBorders>
                    <w:tl2br w:val="nil"/>
                    <w:tr2bl w:val="nil"/>
                  </w:tcBorders>
                  <w:vAlign w:val="center"/>
                </w:tcPr>
                <w:p w14:paraId="241934E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本项目为</w:t>
                  </w:r>
                  <w:r>
                    <w:rPr>
                      <w:rFonts w:hint="eastAsia" w:cs="Times New Roman"/>
                      <w:color w:val="auto"/>
                      <w:kern w:val="0"/>
                      <w:szCs w:val="21"/>
                      <w:highlight w:val="none"/>
                      <w:lang w:eastAsia="zh-CN"/>
                    </w:rPr>
                    <w:t>C3311金属结构制造</w:t>
                  </w:r>
                  <w:r>
                    <w:rPr>
                      <w:rFonts w:hint="default" w:ascii="Times New Roman" w:hAnsi="Times New Roman" w:cs="Times New Roman"/>
                      <w:color w:val="auto"/>
                      <w:kern w:val="0"/>
                      <w:szCs w:val="21"/>
                      <w:highlight w:val="none"/>
                      <w:lang w:eastAsia="zh-CN"/>
                    </w:rPr>
                    <w:t>、C3670汽车零部件及配件制造</w:t>
                  </w:r>
                  <w:r>
                    <w:rPr>
                      <w:rFonts w:hint="default" w:ascii="Times New Roman" w:hAnsi="Times New Roman" w:cs="Times New Roman"/>
                      <w:color w:val="auto"/>
                      <w:kern w:val="0"/>
                      <w:szCs w:val="21"/>
                      <w:highlight w:val="none"/>
                    </w:rPr>
                    <w:t>，不属于码头和过长江通道项目。</w:t>
                  </w:r>
                </w:p>
              </w:tc>
              <w:tc>
                <w:tcPr>
                  <w:tcW w:w="589" w:type="dxa"/>
                  <w:tcBorders>
                    <w:tl2br w:val="nil"/>
                    <w:tr2bl w:val="nil"/>
                  </w:tcBorders>
                  <w:vAlign w:val="center"/>
                </w:tcPr>
                <w:p w14:paraId="6938099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18D24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49CE10D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2</w:t>
                  </w:r>
                </w:p>
              </w:tc>
              <w:tc>
                <w:tcPr>
                  <w:tcW w:w="3426" w:type="dxa"/>
                  <w:tcBorders>
                    <w:tl2br w:val="nil"/>
                    <w:tr2bl w:val="nil"/>
                  </w:tcBorders>
                  <w:vAlign w:val="center"/>
                </w:tcPr>
                <w:p w14:paraId="2373D9A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禁止在自然保护区核心区、缓冲区的岸线和河段范围内投资建设旅游和生产经营项目。禁止违反风景名胜区规划，在核心景区的岸线和河段范围内建设与风景名胜资源保护无关的项目。</w:t>
                  </w:r>
                </w:p>
              </w:tc>
              <w:tc>
                <w:tcPr>
                  <w:tcW w:w="2634" w:type="dxa"/>
                  <w:tcBorders>
                    <w:tl2br w:val="nil"/>
                    <w:tr2bl w:val="nil"/>
                  </w:tcBorders>
                  <w:vAlign w:val="center"/>
                </w:tcPr>
                <w:p w14:paraId="710264E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本项目不在自然保护区核心区、缓冲区的岸线和河段范围内，也不在风景名胜区核心景区的岸线和河段范围内。</w:t>
                  </w:r>
                </w:p>
              </w:tc>
              <w:tc>
                <w:tcPr>
                  <w:tcW w:w="589" w:type="dxa"/>
                  <w:tcBorders>
                    <w:tl2br w:val="nil"/>
                    <w:tr2bl w:val="nil"/>
                  </w:tcBorders>
                  <w:vAlign w:val="center"/>
                </w:tcPr>
                <w:p w14:paraId="04CC96D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4A0A9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3B8AD75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w:t>
                  </w:r>
                </w:p>
              </w:tc>
              <w:tc>
                <w:tcPr>
                  <w:tcW w:w="3426" w:type="dxa"/>
                  <w:tcBorders>
                    <w:tl2br w:val="nil"/>
                    <w:tr2bl w:val="nil"/>
                  </w:tcBorders>
                  <w:vAlign w:val="center"/>
                </w:tcPr>
                <w:p w14:paraId="0883686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在饮用水水源一级保护区的岸线和河段范围内新建、改建、扩建与供水设施和保护水源无关的项目，以及网箱养殖、畜禽养殖、施用化肥农药的种植以及旅游等可能污染饮用水水体的投资建设项目。禁止在饮用水水源二级保护区的岸线和河段范围内新建、改建、扩建排放污染物的项目。</w:t>
                  </w:r>
                </w:p>
              </w:tc>
              <w:tc>
                <w:tcPr>
                  <w:tcW w:w="2634" w:type="dxa"/>
                  <w:tcBorders>
                    <w:tl2br w:val="nil"/>
                    <w:tr2bl w:val="nil"/>
                  </w:tcBorders>
                  <w:vAlign w:val="center"/>
                </w:tcPr>
                <w:p w14:paraId="2963B0D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本项目不在饮用水水源一级保护区的岸线和河段范围内，不在饮用水水源二级保护区的岸线和河段范围内。</w:t>
                  </w:r>
                </w:p>
              </w:tc>
              <w:tc>
                <w:tcPr>
                  <w:tcW w:w="589" w:type="dxa"/>
                  <w:tcBorders>
                    <w:tl2br w:val="nil"/>
                    <w:tr2bl w:val="nil"/>
                  </w:tcBorders>
                  <w:vAlign w:val="center"/>
                </w:tcPr>
                <w:p w14:paraId="0CEE415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424AE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0AA2FE34">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4</w:t>
                  </w:r>
                </w:p>
              </w:tc>
              <w:tc>
                <w:tcPr>
                  <w:tcW w:w="3426" w:type="dxa"/>
                  <w:tcBorders>
                    <w:tl2br w:val="nil"/>
                    <w:tr2bl w:val="nil"/>
                  </w:tcBorders>
                  <w:vAlign w:val="center"/>
                </w:tcPr>
                <w:p w14:paraId="385E7B3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禁止在水产种质资源保护区的岸线和河段范围内新建围湖（河）造田（地）等项目。禁止在国家湿地公园的岸线和河段范围内挖沙、采矿，以及任何不符合主体功能定位的投资建设项目。</w:t>
                  </w:r>
                </w:p>
              </w:tc>
              <w:tc>
                <w:tcPr>
                  <w:tcW w:w="2634" w:type="dxa"/>
                  <w:tcBorders>
                    <w:tl2br w:val="nil"/>
                    <w:tr2bl w:val="nil"/>
                  </w:tcBorders>
                  <w:vAlign w:val="center"/>
                </w:tcPr>
                <w:p w14:paraId="146DAB3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本项目不在水产种质资源保护区的岸线和河段范围内、不在国家湿地公园的岸线和河段范围内。</w:t>
                  </w:r>
                </w:p>
              </w:tc>
              <w:tc>
                <w:tcPr>
                  <w:tcW w:w="589" w:type="dxa"/>
                  <w:tcBorders>
                    <w:tl2br w:val="nil"/>
                    <w:tr2bl w:val="nil"/>
                  </w:tcBorders>
                  <w:vAlign w:val="center"/>
                </w:tcPr>
                <w:p w14:paraId="340F290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35D4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3085408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5</w:t>
                  </w:r>
                </w:p>
              </w:tc>
              <w:tc>
                <w:tcPr>
                  <w:tcW w:w="3426" w:type="dxa"/>
                  <w:tcBorders>
                    <w:tl2br w:val="nil"/>
                    <w:tr2bl w:val="nil"/>
                  </w:tcBorders>
                  <w:vAlign w:val="center"/>
                </w:tcPr>
                <w:p w14:paraId="35110480">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634" w:type="dxa"/>
                  <w:tcBorders>
                    <w:tl2br w:val="nil"/>
                    <w:tr2bl w:val="nil"/>
                  </w:tcBorders>
                  <w:vAlign w:val="center"/>
                </w:tcPr>
                <w:p w14:paraId="4B0C408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本项目建设不涉及利用、占用长江流域河湖岸线，本项目不在《长江岸线保护和开发利用总体规划》划定的岸线保护区内和《全国重要江河湖泊水功能区划》划定的河段保护区、保留区内。</w:t>
                  </w:r>
                </w:p>
              </w:tc>
              <w:tc>
                <w:tcPr>
                  <w:tcW w:w="589" w:type="dxa"/>
                  <w:tcBorders>
                    <w:tl2br w:val="nil"/>
                    <w:tr2bl w:val="nil"/>
                  </w:tcBorders>
                  <w:vAlign w:val="center"/>
                </w:tcPr>
                <w:p w14:paraId="4B501EB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081A1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B8E955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6</w:t>
                  </w:r>
                </w:p>
              </w:tc>
              <w:tc>
                <w:tcPr>
                  <w:tcW w:w="3426" w:type="dxa"/>
                  <w:tcBorders>
                    <w:tl2br w:val="nil"/>
                    <w:tr2bl w:val="nil"/>
                  </w:tcBorders>
                  <w:vAlign w:val="center"/>
                </w:tcPr>
                <w:p w14:paraId="73FD2B44">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禁止未经许可在长江干支流及湖泊新设、改设或扩大排污口。</w:t>
                  </w:r>
                </w:p>
              </w:tc>
              <w:tc>
                <w:tcPr>
                  <w:tcW w:w="2634" w:type="dxa"/>
                  <w:tcBorders>
                    <w:tl2br w:val="nil"/>
                    <w:tr2bl w:val="nil"/>
                  </w:tcBorders>
                  <w:vAlign w:val="center"/>
                </w:tcPr>
                <w:p w14:paraId="3B9AE4B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本项目不在长江干支流及湖泊新设、改设或扩大排污口。</w:t>
                  </w:r>
                </w:p>
              </w:tc>
              <w:tc>
                <w:tcPr>
                  <w:tcW w:w="589" w:type="dxa"/>
                  <w:tcBorders>
                    <w:tl2br w:val="nil"/>
                    <w:tr2bl w:val="nil"/>
                  </w:tcBorders>
                  <w:vAlign w:val="center"/>
                </w:tcPr>
                <w:p w14:paraId="6F85DAB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3811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335ADD0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7</w:t>
                  </w:r>
                </w:p>
              </w:tc>
              <w:tc>
                <w:tcPr>
                  <w:tcW w:w="3426" w:type="dxa"/>
                  <w:tcBorders>
                    <w:tl2br w:val="nil"/>
                    <w:tr2bl w:val="nil"/>
                  </w:tcBorders>
                  <w:vAlign w:val="center"/>
                </w:tcPr>
                <w:p w14:paraId="64A1706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在长江干支流、巢湖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634" w:type="dxa"/>
                  <w:tcBorders>
                    <w:tl2br w:val="nil"/>
                    <w:tr2bl w:val="nil"/>
                  </w:tcBorders>
                  <w:vAlign w:val="center"/>
                </w:tcPr>
                <w:p w14:paraId="7D8F188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本项目距离长江干流岸线约</w:t>
                  </w:r>
                  <w:r>
                    <w:rPr>
                      <w:rFonts w:hint="eastAsia" w:cs="Times New Roman"/>
                      <w:color w:val="auto"/>
                      <w:szCs w:val="21"/>
                      <w:highlight w:val="none"/>
                      <w:lang w:eastAsia="zh-CN"/>
                    </w:rPr>
                    <w:t>25.73km</w:t>
                  </w:r>
                  <w:r>
                    <w:rPr>
                      <w:rFonts w:hint="default" w:ascii="Times New Roman" w:hAnsi="Times New Roman" w:cs="Times New Roman"/>
                      <w:color w:val="auto"/>
                      <w:szCs w:val="21"/>
                      <w:highlight w:val="none"/>
                    </w:rPr>
                    <w:t>，距离青弋江最近距离为</w:t>
                  </w:r>
                  <w:r>
                    <w:rPr>
                      <w:rFonts w:hint="eastAsia" w:cs="Times New Roman"/>
                      <w:color w:val="auto"/>
                      <w:szCs w:val="21"/>
                      <w:highlight w:val="none"/>
                      <w:lang w:eastAsia="zh-CN"/>
                    </w:rPr>
                    <w:t>3.3km</w:t>
                  </w:r>
                  <w:r>
                    <w:rPr>
                      <w:rFonts w:hint="default" w:ascii="Times New Roman" w:hAnsi="Times New Roman" w:cs="Times New Roman"/>
                      <w:color w:val="auto"/>
                      <w:szCs w:val="21"/>
                      <w:highlight w:val="none"/>
                    </w:rPr>
                    <w:t>，</w:t>
                  </w:r>
                  <w:r>
                    <w:rPr>
                      <w:rFonts w:hint="default" w:ascii="Times New Roman" w:hAnsi="Times New Roman" w:cs="Times New Roman"/>
                      <w:bCs/>
                      <w:color w:val="auto"/>
                      <w:szCs w:val="21"/>
                      <w:highlight w:val="none"/>
                    </w:rPr>
                    <w:t>不</w:t>
                  </w:r>
                  <w:r>
                    <w:rPr>
                      <w:rFonts w:hint="default" w:ascii="Times New Roman" w:hAnsi="Times New Roman" w:cs="Times New Roman"/>
                      <w:color w:val="auto"/>
                      <w:szCs w:val="21"/>
                      <w:highlight w:val="none"/>
                    </w:rPr>
                    <w:t>在长江干支流、重要湖泊岸线一公里范围内</w:t>
                  </w:r>
                  <w:r>
                    <w:rPr>
                      <w:rFonts w:hint="default" w:ascii="Times New Roman" w:hAnsi="Times New Roman" w:cs="Times New Roman"/>
                      <w:bCs/>
                      <w:color w:val="auto"/>
                      <w:szCs w:val="21"/>
                      <w:highlight w:val="none"/>
                    </w:rPr>
                    <w:t>。</w:t>
                  </w:r>
                </w:p>
              </w:tc>
              <w:tc>
                <w:tcPr>
                  <w:tcW w:w="589" w:type="dxa"/>
                  <w:tcBorders>
                    <w:tl2br w:val="nil"/>
                    <w:tr2bl w:val="nil"/>
                  </w:tcBorders>
                  <w:vAlign w:val="center"/>
                </w:tcPr>
                <w:p w14:paraId="5083E53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54957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9AE474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8</w:t>
                  </w:r>
                </w:p>
              </w:tc>
              <w:tc>
                <w:tcPr>
                  <w:tcW w:w="3426" w:type="dxa"/>
                  <w:tcBorders>
                    <w:tl2br w:val="nil"/>
                    <w:tr2bl w:val="nil"/>
                  </w:tcBorders>
                  <w:vAlign w:val="center"/>
                </w:tcPr>
                <w:p w14:paraId="42F3533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禁止在合规园区外新建、扩建钢铁、石化、化工、焦化、建材、有色、制浆造纸等高污染项目。</w:t>
                  </w:r>
                </w:p>
              </w:tc>
              <w:tc>
                <w:tcPr>
                  <w:tcW w:w="2634" w:type="dxa"/>
                  <w:tcBorders>
                    <w:tl2br w:val="nil"/>
                    <w:tr2bl w:val="nil"/>
                  </w:tcBorders>
                  <w:vAlign w:val="center"/>
                </w:tcPr>
                <w:p w14:paraId="3527899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本项目位于</w:t>
                  </w:r>
                  <w:r>
                    <w:rPr>
                      <w:rFonts w:hint="default" w:ascii="Times New Roman" w:hAnsi="Times New Roman" w:cs="Times New Roman"/>
                      <w:color w:val="auto"/>
                      <w:kern w:val="0"/>
                      <w:szCs w:val="21"/>
                      <w:highlight w:val="none"/>
                    </w:rPr>
                    <w:t>安徽新芜经济开发区内</w:t>
                  </w:r>
                  <w:r>
                    <w:rPr>
                      <w:rFonts w:hint="default" w:ascii="Times New Roman" w:hAnsi="Times New Roman" w:cs="Times New Roman"/>
                      <w:color w:val="auto"/>
                      <w:szCs w:val="21"/>
                      <w:highlight w:val="none"/>
                    </w:rPr>
                    <w:t>，不属于</w:t>
                  </w:r>
                  <w:r>
                    <w:rPr>
                      <w:rFonts w:hint="default" w:ascii="Times New Roman" w:hAnsi="Times New Roman" w:cs="Times New Roman"/>
                      <w:color w:val="auto"/>
                      <w:kern w:val="0"/>
                      <w:szCs w:val="21"/>
                      <w:highlight w:val="none"/>
                    </w:rPr>
                    <w:t>钢铁、石化、化工、焦化、建材、有色、制浆造纸等</w:t>
                  </w:r>
                  <w:r>
                    <w:rPr>
                      <w:rFonts w:hint="default" w:ascii="Times New Roman" w:hAnsi="Times New Roman" w:cs="Times New Roman"/>
                      <w:color w:val="auto"/>
                      <w:szCs w:val="21"/>
                      <w:highlight w:val="none"/>
                    </w:rPr>
                    <w:t>高污染项目。</w:t>
                  </w:r>
                </w:p>
              </w:tc>
              <w:tc>
                <w:tcPr>
                  <w:tcW w:w="589" w:type="dxa"/>
                  <w:tcBorders>
                    <w:tl2br w:val="nil"/>
                    <w:tr2bl w:val="nil"/>
                  </w:tcBorders>
                  <w:vAlign w:val="center"/>
                </w:tcPr>
                <w:p w14:paraId="4AB8827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r w14:paraId="2B3D4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478380F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9</w:t>
                  </w:r>
                </w:p>
              </w:tc>
              <w:tc>
                <w:tcPr>
                  <w:tcW w:w="3426" w:type="dxa"/>
                  <w:tcBorders>
                    <w:tl2br w:val="nil"/>
                    <w:tr2bl w:val="nil"/>
                  </w:tcBorders>
                  <w:vAlign w:val="center"/>
                </w:tcPr>
                <w:p w14:paraId="66B37AC0">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禁止新建、扩建法律法规和相关政策明令禁止的落后产能项目。禁止新建、扩建不符合国家产能置换要求的严重过剩产能行业的项目。禁止新建、扩建不符合要求的高耗能高排放项目。</w:t>
                  </w:r>
                </w:p>
              </w:tc>
              <w:tc>
                <w:tcPr>
                  <w:tcW w:w="2634" w:type="dxa"/>
                  <w:tcBorders>
                    <w:tl2br w:val="nil"/>
                    <w:tr2bl w:val="nil"/>
                  </w:tcBorders>
                  <w:vAlign w:val="center"/>
                </w:tcPr>
                <w:p w14:paraId="62AEFEF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项目符合国家产业政策，不属于落后产能项目，不属于过剩产能行业项目，不属于高耗能高排放项目。</w:t>
                  </w:r>
                </w:p>
              </w:tc>
              <w:tc>
                <w:tcPr>
                  <w:tcW w:w="589" w:type="dxa"/>
                  <w:tcBorders>
                    <w:tl2br w:val="nil"/>
                    <w:tr2bl w:val="nil"/>
                  </w:tcBorders>
                  <w:vAlign w:val="center"/>
                </w:tcPr>
                <w:p w14:paraId="63C4EB5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相符</w:t>
                  </w:r>
                </w:p>
              </w:tc>
            </w:tr>
          </w:tbl>
          <w:p w14:paraId="2CCFC2E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bCs/>
                <w:color w:val="auto"/>
                <w:sz w:val="24"/>
                <w:highlight w:val="none"/>
              </w:rPr>
            </w:pPr>
            <w:r>
              <w:rPr>
                <w:rFonts w:hint="default" w:ascii="Times New Roman" w:hAnsi="Times New Roman" w:cs="Times New Roman"/>
                <w:color w:val="auto"/>
                <w:sz w:val="24"/>
                <w:highlight w:val="none"/>
              </w:rPr>
              <w:t>因此，本项目的建设符合《长江经济带发展负面清单指南（试行，2022年版）》及《关于印发安徽省长江经济带发展负面清单实施细则（试行，2022年版）的通知》（皖长江办[2022]10号）的要求。</w:t>
            </w:r>
            <w:r>
              <w:rPr>
                <w:rFonts w:hint="default"/>
                <w:color w:val="auto"/>
              </w:rPr>
              <w:commentReference w:id="8"/>
            </w:r>
          </w:p>
          <w:p w14:paraId="528D3E62">
            <w:pPr>
              <w:keepNext w:val="0"/>
              <w:keepLines w:val="0"/>
              <w:suppressLineNumbers w:val="0"/>
              <w:tabs>
                <w:tab w:val="left" w:pos="8658"/>
              </w:tabs>
              <w:spacing w:before="0" w:beforeAutospacing="0" w:after="0" w:afterAutospacing="0" w:line="360" w:lineRule="auto"/>
              <w:ind w:left="0" w:right="0" w:firstLine="482" w:firstLineChars="200"/>
              <w:rPr>
                <w:rFonts w:hint="default" w:ascii="Times New Roman" w:hAnsi="Times New Roman" w:cs="Times New Roman"/>
                <w:b/>
                <w:bCs/>
                <w:color w:val="auto"/>
                <w:szCs w:val="21"/>
                <w:highlight w:val="none"/>
              </w:rPr>
            </w:pPr>
            <w:r>
              <w:rPr>
                <w:rFonts w:hint="eastAsia" w:cs="Times New Roman"/>
                <w:b/>
                <w:bCs/>
                <w:color w:val="auto"/>
                <w:kern w:val="0"/>
                <w:sz w:val="24"/>
                <w:highlight w:val="none"/>
                <w:lang w:val="en-US" w:eastAsia="zh-CN"/>
              </w:rPr>
              <w:t>9</w:t>
            </w:r>
            <w:r>
              <w:rPr>
                <w:rFonts w:hint="default" w:ascii="Times New Roman" w:hAnsi="Times New Roman" w:cs="Times New Roman"/>
                <w:b/>
                <w:bCs/>
                <w:color w:val="auto"/>
                <w:kern w:val="0"/>
                <w:sz w:val="24"/>
                <w:highlight w:val="none"/>
              </w:rPr>
              <w:t>、</w:t>
            </w:r>
            <w:r>
              <w:rPr>
                <w:rStyle w:val="75"/>
                <w:rFonts w:hint="default" w:ascii="Times New Roman" w:hAnsi="Times New Roman" w:cs="Times New Roman"/>
                <w:b/>
                <w:bCs/>
                <w:color w:val="auto"/>
                <w:kern w:val="0"/>
                <w:sz w:val="24"/>
                <w:highlight w:val="none"/>
              </w:rPr>
              <w:t>与《安徽省空气质</w:t>
            </w:r>
            <w:r>
              <w:rPr>
                <w:rFonts w:hint="default"/>
                <w:color w:val="auto"/>
              </w:rPr>
              <w:commentReference w:id="9"/>
            </w:r>
            <w:r>
              <w:rPr>
                <w:rStyle w:val="75"/>
                <w:rFonts w:hint="default" w:ascii="Times New Roman" w:hAnsi="Times New Roman" w:cs="Times New Roman"/>
                <w:b/>
                <w:bCs/>
                <w:color w:val="auto"/>
                <w:kern w:val="0"/>
                <w:sz w:val="24"/>
                <w:highlight w:val="none"/>
              </w:rPr>
              <w:t>量持续改善行动方案》（皖政</w:t>
            </w:r>
            <w:r>
              <w:rPr>
                <w:rFonts w:hint="default" w:ascii="Times New Roman" w:hAnsi="Times New Roman" w:cs="Times New Roman"/>
                <w:b/>
                <w:bCs/>
                <w:color w:val="auto"/>
                <w:sz w:val="24"/>
                <w:highlight w:val="none"/>
              </w:rPr>
              <w:t>[2024]</w:t>
            </w:r>
            <w:r>
              <w:rPr>
                <w:rStyle w:val="75"/>
                <w:rFonts w:hint="default" w:ascii="Times New Roman" w:hAnsi="Times New Roman" w:cs="Times New Roman"/>
                <w:b/>
                <w:bCs/>
                <w:color w:val="auto"/>
                <w:kern w:val="0"/>
                <w:sz w:val="24"/>
                <w:highlight w:val="none"/>
              </w:rPr>
              <w:t>36号）相符性分析</w:t>
            </w:r>
          </w:p>
          <w:p w14:paraId="2D3AF596">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rPr>
              <w:t>表1-</w:t>
            </w:r>
            <w:r>
              <w:rPr>
                <w:rFonts w:hint="eastAsia" w:cs="Times New Roman"/>
                <w:b/>
                <w:color w:val="auto"/>
                <w:kern w:val="0"/>
                <w:sz w:val="24"/>
                <w:szCs w:val="20"/>
                <w:highlight w:val="none"/>
                <w:lang w:val="en-US" w:eastAsia="zh-CN"/>
              </w:rPr>
              <w:t>9</w:t>
            </w:r>
            <w:r>
              <w:rPr>
                <w:rFonts w:hint="default" w:ascii="Times New Roman" w:hAnsi="Times New Roman" w:cs="Times New Roman"/>
                <w:b/>
                <w:color w:val="auto"/>
                <w:kern w:val="0"/>
                <w:sz w:val="24"/>
                <w:szCs w:val="20"/>
                <w:highlight w:val="none"/>
              </w:rPr>
              <w:t xml:space="preserve">  </w:t>
            </w:r>
            <w:r>
              <w:rPr>
                <w:rFonts w:hint="default" w:ascii="Times New Roman" w:hAnsi="Times New Roman" w:cs="Times New Roman"/>
                <w:b/>
                <w:color w:val="auto"/>
                <w:kern w:val="0"/>
                <w:sz w:val="24"/>
                <w:szCs w:val="20"/>
                <w:highlight w:val="none"/>
                <w:lang w:val="zh-CN"/>
              </w:rPr>
              <w:t>项目与《</w:t>
            </w:r>
            <w:r>
              <w:rPr>
                <w:rFonts w:hint="default" w:ascii="Times New Roman" w:hAnsi="Times New Roman" w:cs="Times New Roman"/>
                <w:b/>
                <w:color w:val="auto"/>
                <w:kern w:val="0"/>
                <w:sz w:val="24"/>
                <w:szCs w:val="20"/>
                <w:highlight w:val="none"/>
              </w:rPr>
              <w:t>安徽省</w:t>
            </w:r>
            <w:r>
              <w:rPr>
                <w:rFonts w:hint="default" w:ascii="Times New Roman" w:hAnsi="Times New Roman" w:cs="Times New Roman"/>
                <w:b/>
                <w:color w:val="auto"/>
                <w:kern w:val="0"/>
                <w:sz w:val="24"/>
                <w:szCs w:val="20"/>
                <w:highlight w:val="none"/>
                <w:lang w:val="zh-CN"/>
              </w:rPr>
              <w:t>空气质量持续改善行动</w:t>
            </w:r>
            <w:r>
              <w:rPr>
                <w:rFonts w:hint="default" w:ascii="Times New Roman" w:hAnsi="Times New Roman" w:cs="Times New Roman"/>
                <w:b/>
                <w:color w:val="auto"/>
                <w:kern w:val="0"/>
                <w:sz w:val="24"/>
                <w:szCs w:val="20"/>
                <w:highlight w:val="none"/>
              </w:rPr>
              <w:t>方案</w:t>
            </w:r>
            <w:r>
              <w:rPr>
                <w:rFonts w:hint="default" w:ascii="Times New Roman" w:hAnsi="Times New Roman" w:cs="Times New Roman"/>
                <w:b/>
                <w:color w:val="auto"/>
                <w:kern w:val="0"/>
                <w:sz w:val="24"/>
                <w:szCs w:val="20"/>
                <w:highlight w:val="none"/>
                <w:lang w:val="zh-CN"/>
              </w:rPr>
              <w:t>》相符性分析一览表</w:t>
            </w:r>
          </w:p>
          <w:tbl>
            <w:tblPr>
              <w:tblStyle w:val="61"/>
              <w:tblW w:w="7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3416"/>
              <w:gridCol w:w="2371"/>
              <w:gridCol w:w="779"/>
            </w:tblGrid>
            <w:tr w14:paraId="0AE7B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237A74B5">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3416" w:type="dxa"/>
                  <w:tcBorders>
                    <w:tl2br w:val="nil"/>
                    <w:tr2bl w:val="nil"/>
                  </w:tcBorders>
                  <w:vAlign w:val="center"/>
                </w:tcPr>
                <w:p w14:paraId="48A84317">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内容要求</w:t>
                  </w:r>
                </w:p>
              </w:tc>
              <w:tc>
                <w:tcPr>
                  <w:tcW w:w="2371" w:type="dxa"/>
                  <w:tcBorders>
                    <w:tl2br w:val="nil"/>
                    <w:tr2bl w:val="nil"/>
                  </w:tcBorders>
                  <w:vAlign w:val="center"/>
                </w:tcPr>
                <w:p w14:paraId="388C09EB">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项目拟建设情况</w:t>
                  </w:r>
                </w:p>
              </w:tc>
              <w:tc>
                <w:tcPr>
                  <w:tcW w:w="779" w:type="dxa"/>
                  <w:tcBorders>
                    <w:tl2br w:val="nil"/>
                    <w:tr2bl w:val="nil"/>
                  </w:tcBorders>
                  <w:vAlign w:val="center"/>
                </w:tcPr>
                <w:p w14:paraId="7A85F664">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相符性</w:t>
                  </w:r>
                </w:p>
              </w:tc>
            </w:tr>
            <w:tr w14:paraId="23950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339027D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3416" w:type="dxa"/>
                  <w:tcBorders>
                    <w:tl2br w:val="nil"/>
                    <w:tr2bl w:val="nil"/>
                  </w:tcBorders>
                  <w:vAlign w:val="center"/>
                </w:tcPr>
                <w:p w14:paraId="69B6FAE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实施“高污染、高耗能”项目部门联审，源头管控低水平项目上马。制定实施安徽省加强生态环境分区管控方案。严格落实产能置换要求，不以任何名义、任何方式核准、备案产能严重过剩行业新增产能项目，被置换产能及其配套设施关停后，新建项目方可投产。</w:t>
                  </w:r>
                </w:p>
              </w:tc>
              <w:tc>
                <w:tcPr>
                  <w:tcW w:w="2371" w:type="dxa"/>
                  <w:tcBorders>
                    <w:tl2br w:val="nil"/>
                    <w:tr2bl w:val="nil"/>
                  </w:tcBorders>
                  <w:vAlign w:val="center"/>
                </w:tcPr>
                <w:p w14:paraId="5E55C30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本项目不属于高能耗、高排放、低水平项目，符合产业政策和规划；不涉及产能置换，不属于钢铁、焦化等产业。</w:t>
                  </w:r>
                </w:p>
              </w:tc>
              <w:tc>
                <w:tcPr>
                  <w:tcW w:w="779" w:type="dxa"/>
                  <w:tcBorders>
                    <w:tl2br w:val="nil"/>
                    <w:tr2bl w:val="nil"/>
                  </w:tcBorders>
                  <w:vAlign w:val="center"/>
                </w:tcPr>
                <w:p w14:paraId="0DE0B6D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16E76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7581EFA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3416" w:type="dxa"/>
                  <w:tcBorders>
                    <w:tl2br w:val="nil"/>
                    <w:tr2bl w:val="nil"/>
                  </w:tcBorders>
                  <w:vAlign w:val="center"/>
                </w:tcPr>
                <w:p w14:paraId="5AB812F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有序推动落后产能淘汰。严格执行《产业结构调整指导目录》。综合运用能耗、环保、质量、安全、技术等要求，依法依规推动落后产能退出，逐步退出限制类涉气行业工艺和装备。有序推动生产设施老旧、工艺水平落后、环境管理水平低下的独立焦化、烧结、球团、热轧企业和落后煤炭洗选企业退出市场。逐步淘汰步进式烧结机和球团竖炉以及半封闭式硅锰合金、镍铁、高碳铬铁、高碳锰铁电炉。严禁违规新增钢铁、水泥（熟料）、焦化、电解铝、平板玻璃（不含光伏压延玻璃）产能。鼓励钢铁行业龙头企业实施兼并重组，到2025年，短流程炼钢产量占比达15%。</w:t>
                  </w:r>
                </w:p>
              </w:tc>
              <w:tc>
                <w:tcPr>
                  <w:tcW w:w="2371" w:type="dxa"/>
                  <w:tcBorders>
                    <w:tl2br w:val="nil"/>
                    <w:tr2bl w:val="nil"/>
                  </w:tcBorders>
                  <w:vAlign w:val="center"/>
                </w:tcPr>
                <w:p w14:paraId="0BAD21C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本项目不属于钢铁、水泥、焦化、电解铝等产业。</w:t>
                  </w:r>
                </w:p>
              </w:tc>
              <w:tc>
                <w:tcPr>
                  <w:tcW w:w="779" w:type="dxa"/>
                  <w:tcBorders>
                    <w:tl2br w:val="nil"/>
                    <w:tr2bl w:val="nil"/>
                  </w:tcBorders>
                  <w:vAlign w:val="center"/>
                </w:tcPr>
                <w:p w14:paraId="4621A57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2A59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242528D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3416" w:type="dxa"/>
                  <w:tcBorders>
                    <w:tl2br w:val="nil"/>
                    <w:tr2bl w:val="nil"/>
                  </w:tcBorders>
                  <w:vAlign w:val="center"/>
                </w:tcPr>
                <w:p w14:paraId="1AC73FA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展传统产业集群排查整治。中小型传统制造企业集中的涉气产业集群要制定发展规划。开展石灰岩、陶瓷等涉气产业集群排查及分类治理，“一群一策”制定整治提升方案，实施拉单挂账式管理，依法淘汰关停一批、搬迁入园一批、就地改造一批、做优做强一批。高水平打造皖北等承接产业转移集聚区，持续加强产业集群环境治理。结合“绿岛”项目等因地制宜建设集中供热中心、集中涂装中心、有机溶剂集中回收中心、活性炭再生中心；推进建设钣喷共享中心，配套建设适宜高效VOCs治理设施。</w:t>
                  </w:r>
                </w:p>
              </w:tc>
              <w:tc>
                <w:tcPr>
                  <w:tcW w:w="2371" w:type="dxa"/>
                  <w:tcBorders>
                    <w:tl2br w:val="nil"/>
                    <w:tr2bl w:val="nil"/>
                  </w:tcBorders>
                  <w:vAlign w:val="center"/>
                </w:tcPr>
                <w:p w14:paraId="43D75A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本项目</w:t>
                  </w:r>
                  <w:r>
                    <w:rPr>
                      <w:rFonts w:hint="eastAsia" w:cs="Times New Roman"/>
                      <w:color w:val="auto"/>
                      <w:kern w:val="0"/>
                      <w:szCs w:val="21"/>
                      <w:highlight w:val="none"/>
                      <w:lang w:val="en-US" w:eastAsia="zh-CN"/>
                    </w:rPr>
                    <w:t>喷漆烘干</w:t>
                  </w:r>
                  <w:r>
                    <w:rPr>
                      <w:rFonts w:hint="default" w:ascii="Times New Roman" w:hAnsi="Times New Roman" w:cs="Times New Roman"/>
                      <w:color w:val="auto"/>
                      <w:szCs w:val="21"/>
                      <w:highlight w:val="none"/>
                    </w:rPr>
                    <w:t>、</w:t>
                  </w:r>
                  <w:r>
                    <w:rPr>
                      <w:rFonts w:hint="eastAsia" w:cs="Times New Roman"/>
                      <w:color w:val="auto"/>
                      <w:kern w:val="0"/>
                      <w:szCs w:val="21"/>
                      <w:highlight w:val="none"/>
                      <w:lang w:val="en-US" w:eastAsia="zh-CN"/>
                    </w:rPr>
                    <w:t>喷粉固化</w:t>
                  </w:r>
                  <w:r>
                    <w:rPr>
                      <w:rFonts w:hint="default" w:ascii="Times New Roman" w:hAnsi="Times New Roman" w:cs="Times New Roman"/>
                      <w:color w:val="auto"/>
                      <w:kern w:val="0"/>
                      <w:szCs w:val="21"/>
                      <w:highlight w:val="none"/>
                    </w:rPr>
                    <w:t>工序</w:t>
                  </w:r>
                  <w:r>
                    <w:rPr>
                      <w:rFonts w:hint="default" w:ascii="Times New Roman" w:hAnsi="Times New Roman" w:cs="Times New Roman"/>
                      <w:color w:val="auto"/>
                      <w:szCs w:val="21"/>
                      <w:highlight w:val="none"/>
                    </w:rPr>
                    <w:t>废气收集后+两级活性炭装置处理后一并通过一根15m高的排气筒（DA00</w:t>
                  </w:r>
                  <w:r>
                    <w:rPr>
                      <w:rFonts w:hint="eastAsia" w:cs="Times New Roman"/>
                      <w:color w:val="auto"/>
                      <w:szCs w:val="21"/>
                      <w:highlight w:val="none"/>
                      <w:lang w:val="en-US" w:eastAsia="zh-CN"/>
                    </w:rPr>
                    <w:t>2</w:t>
                  </w:r>
                  <w:r>
                    <w:rPr>
                      <w:rFonts w:hint="default" w:ascii="Times New Roman" w:hAnsi="Times New Roman" w:cs="Times New Roman"/>
                      <w:color w:val="auto"/>
                      <w:szCs w:val="21"/>
                      <w:highlight w:val="none"/>
                    </w:rPr>
                    <w:t>）排放</w:t>
                  </w:r>
                  <w:r>
                    <w:rPr>
                      <w:rFonts w:hint="eastAsia" w:cs="Times New Roman"/>
                      <w:color w:val="auto"/>
                      <w:szCs w:val="21"/>
                      <w:highlight w:val="none"/>
                      <w:lang w:eastAsia="zh-CN"/>
                    </w:rPr>
                    <w:t>；</w:t>
                  </w:r>
                  <w:r>
                    <w:rPr>
                      <w:rFonts w:hint="eastAsia" w:cs="Times New Roman"/>
                      <w:color w:val="auto"/>
                      <w:szCs w:val="21"/>
                      <w:highlight w:val="none"/>
                      <w:lang w:val="en-US" w:eastAsia="zh-CN"/>
                    </w:rPr>
                    <w:t>调漆</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喷漆</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喷枪清洗工序废气收集后+</w:t>
                  </w:r>
                  <w:r>
                    <w:rPr>
                      <w:rFonts w:hint="default" w:ascii="Times New Roman" w:hAnsi="Times New Roman" w:cs="Times New Roman"/>
                      <w:color w:val="auto"/>
                      <w:szCs w:val="21"/>
                      <w:highlight w:val="none"/>
                    </w:rPr>
                    <w:t>两级活性炭装置处理后一并通过一根15m高的排气筒（DA00</w:t>
                  </w:r>
                  <w:r>
                    <w:rPr>
                      <w:rFonts w:hint="eastAsia" w:cs="Times New Roman"/>
                      <w:color w:val="auto"/>
                      <w:szCs w:val="21"/>
                      <w:highlight w:val="none"/>
                      <w:lang w:val="en-US" w:eastAsia="zh-CN"/>
                    </w:rPr>
                    <w:t>4</w:t>
                  </w:r>
                  <w:r>
                    <w:rPr>
                      <w:rFonts w:hint="default" w:ascii="Times New Roman" w:hAnsi="Times New Roman" w:cs="Times New Roman"/>
                      <w:color w:val="auto"/>
                      <w:szCs w:val="21"/>
                      <w:highlight w:val="none"/>
                    </w:rPr>
                    <w:t>）排放</w:t>
                  </w:r>
                </w:p>
              </w:tc>
              <w:tc>
                <w:tcPr>
                  <w:tcW w:w="779" w:type="dxa"/>
                  <w:tcBorders>
                    <w:tl2br w:val="nil"/>
                    <w:tr2bl w:val="nil"/>
                  </w:tcBorders>
                  <w:vAlign w:val="center"/>
                </w:tcPr>
                <w:p w14:paraId="12D01834">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color w:val="auto"/>
                      <w:szCs w:val="21"/>
                      <w:highlight w:val="none"/>
                    </w:rPr>
                    <w:t>符合</w:t>
                  </w:r>
                </w:p>
              </w:tc>
            </w:tr>
            <w:tr w14:paraId="6CF1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5163EEB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3416" w:type="dxa"/>
                  <w:tcBorders>
                    <w:tl2br w:val="nil"/>
                    <w:tr2bl w:val="nil"/>
                  </w:tcBorders>
                  <w:vAlign w:val="center"/>
                </w:tcPr>
                <w:p w14:paraId="60A0566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推动新能源和节能环保等产业健康发展。深化新能源和节能环保产业“双招双引”，在低（无）VOCs含量原辅材料生产和使用、VOCs污染治理、超低排放、环境和大气成分监测等领域支持培育一批技术水平高、市场竞争力强的龙头企业。加快发展新能源汽车和智能网联汽车等战略性新兴产业。开展招标投标领域优化营商环境对标提升行动，系统治理环保领域低价低质中标乱象，营造公平竞争环境，推动产业健康有序发展。</w:t>
                  </w:r>
                </w:p>
              </w:tc>
              <w:tc>
                <w:tcPr>
                  <w:tcW w:w="2371" w:type="dxa"/>
                  <w:tcBorders>
                    <w:tl2br w:val="nil"/>
                    <w:tr2bl w:val="nil"/>
                  </w:tcBorders>
                  <w:vAlign w:val="center"/>
                </w:tcPr>
                <w:p w14:paraId="23129E0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本项目使用的</w:t>
                  </w:r>
                  <w:r>
                    <w:rPr>
                      <w:rFonts w:hint="eastAsia" w:ascii="Times New Roman" w:hAnsi="Times New Roman" w:eastAsia="宋体" w:cs="Times New Roman"/>
                      <w:color w:val="auto"/>
                      <w:szCs w:val="21"/>
                      <w:highlight w:val="none"/>
                      <w:lang w:val="en-US" w:eastAsia="zh-CN"/>
                    </w:rPr>
                    <w:t>水性底漆</w:t>
                  </w:r>
                  <w:r>
                    <w:rPr>
                      <w:rFonts w:hint="default" w:ascii="Times New Roman" w:hAnsi="Times New Roman" w:eastAsia="宋体" w:cs="Times New Roman"/>
                      <w:color w:val="auto"/>
                      <w:szCs w:val="21"/>
                      <w:highlight w:val="none"/>
                    </w:rPr>
                    <w:t>满足《低挥发性有机化合物含量涂料产品技术要求》（GB/T38597-2020）表1规定的车辆涂料-汽车原厂涂料〔客车（机动车）〕VOCs含量限值要求（VOCs含量≤250g/L）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工程机械和农业机械涂料（含零部件涂料）</w:t>
                  </w:r>
                  <w:r>
                    <w:rPr>
                      <w:rFonts w:hint="default" w:ascii="Times New Roman" w:hAnsi="Times New Roman" w:eastAsia="宋体" w:cs="Times New Roman"/>
                      <w:color w:val="auto"/>
                      <w:szCs w:val="21"/>
                      <w:highlight w:val="none"/>
                    </w:rPr>
                    <w:t>VOCs含量限值要求（VOCs含量≤</w:t>
                  </w:r>
                  <w:r>
                    <w:rPr>
                      <w:rFonts w:hint="eastAsia" w:ascii="Times New Roman" w:hAnsi="Times New Roman" w:eastAsia="宋体" w:cs="Times New Roman"/>
                      <w:color w:val="auto"/>
                      <w:szCs w:val="21"/>
                      <w:highlight w:val="none"/>
                      <w:lang w:val="en-US" w:eastAsia="zh-CN"/>
                    </w:rPr>
                    <w:t>250</w:t>
                  </w:r>
                  <w:r>
                    <w:rPr>
                      <w:rFonts w:hint="default" w:ascii="Times New Roman" w:hAnsi="Times New Roman" w:eastAsia="宋体" w:cs="Times New Roman"/>
                      <w:color w:val="auto"/>
                      <w:szCs w:val="21"/>
                      <w:highlight w:val="none"/>
                    </w:rPr>
                    <w:t>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同时满足《车辆涂料中有害物质限量GB24409-2020》表1规定的水性涂料中VOC含量的限量值要求-汽车原厂涂料〔客车（机动车）〕-其他底漆VOCs含量限值要求（VOCs含量≤420g/L）、《工业防护涂料中有害物质限量》（GB 30981-2020）表1规定的</w:t>
                  </w:r>
                  <w:r>
                    <w:rPr>
                      <w:rFonts w:hint="default" w:ascii="Times New Roman" w:hAnsi="Times New Roman" w:eastAsia="宋体" w:cs="Times New Roman"/>
                      <w:color w:val="auto"/>
                      <w:szCs w:val="21"/>
                      <w:highlight w:val="none"/>
                    </w:rPr>
                    <w:t>机械设备涂料-工程机械和农业机械涂料（含零部件涂料）中底漆VOCs含量限值要求（VOCs含量≤</w:t>
                  </w:r>
                  <w:r>
                    <w:rPr>
                      <w:rFonts w:hint="eastAsia" w:ascii="Times New Roman" w:hAnsi="Times New Roman" w:eastAsia="宋体" w:cs="Times New Roman"/>
                      <w:color w:val="auto"/>
                      <w:szCs w:val="21"/>
                      <w:highlight w:val="none"/>
                      <w:lang w:val="en-US" w:eastAsia="zh-CN"/>
                    </w:rPr>
                    <w:t>300</w:t>
                  </w:r>
                  <w:r>
                    <w:rPr>
                      <w:rFonts w:hint="default" w:ascii="Times New Roman" w:hAnsi="Times New Roman" w:eastAsia="宋体" w:cs="Times New Roman"/>
                      <w:color w:val="auto"/>
                      <w:szCs w:val="21"/>
                      <w:highlight w:val="none"/>
                    </w:rPr>
                    <w:t>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塑粉</w:t>
                  </w:r>
                  <w:r>
                    <w:rPr>
                      <w:rFonts w:hint="default" w:ascii="Times New Roman" w:hAnsi="Times New Roman" w:eastAsia="宋体" w:cs="Times New Roman"/>
                      <w:color w:val="auto"/>
                      <w:szCs w:val="21"/>
                      <w:highlight w:val="none"/>
                    </w:rPr>
                    <w:t>属于低挥发性有机化合物含量涂料产品，因此符合《低挥发性有机化合物含量涂料产品技术要求》（GB/T 38597-2020）的要求。本项目</w:t>
                  </w:r>
                  <w:r>
                    <w:rPr>
                      <w:rFonts w:hint="eastAsia" w:ascii="Times New Roman" w:hAnsi="Times New Roman" w:eastAsia="宋体" w:cs="Times New Roman"/>
                      <w:color w:val="auto"/>
                      <w:szCs w:val="21"/>
                      <w:highlight w:val="none"/>
                      <w:lang w:val="en-US" w:eastAsia="zh-CN"/>
                    </w:rPr>
                    <w:t>喷漆烘</w:t>
                  </w:r>
                  <w:r>
                    <w:rPr>
                      <w:rFonts w:hint="eastAsia" w:cs="Times New Roman"/>
                      <w:color w:val="auto"/>
                      <w:kern w:val="0"/>
                      <w:szCs w:val="21"/>
                      <w:highlight w:val="none"/>
                      <w:lang w:val="en-US" w:eastAsia="zh-CN"/>
                    </w:rPr>
                    <w:t>干</w:t>
                  </w:r>
                  <w:r>
                    <w:rPr>
                      <w:rFonts w:hint="default" w:ascii="Times New Roman" w:hAnsi="Times New Roman" w:cs="Times New Roman"/>
                      <w:color w:val="auto"/>
                      <w:szCs w:val="21"/>
                      <w:highlight w:val="none"/>
                    </w:rPr>
                    <w:t>、</w:t>
                  </w:r>
                  <w:r>
                    <w:rPr>
                      <w:rFonts w:hint="eastAsia" w:cs="Times New Roman"/>
                      <w:color w:val="auto"/>
                      <w:kern w:val="0"/>
                      <w:szCs w:val="21"/>
                      <w:highlight w:val="none"/>
                      <w:lang w:val="en-US" w:eastAsia="zh-CN"/>
                    </w:rPr>
                    <w:t>喷粉固化</w:t>
                  </w:r>
                  <w:r>
                    <w:rPr>
                      <w:rFonts w:hint="default" w:ascii="Times New Roman" w:hAnsi="Times New Roman" w:cs="Times New Roman"/>
                      <w:color w:val="auto"/>
                      <w:kern w:val="0"/>
                      <w:szCs w:val="21"/>
                      <w:highlight w:val="none"/>
                    </w:rPr>
                    <w:t>工序</w:t>
                  </w:r>
                  <w:r>
                    <w:rPr>
                      <w:rFonts w:hint="default" w:ascii="Times New Roman" w:hAnsi="Times New Roman" w:cs="Times New Roman"/>
                      <w:color w:val="auto"/>
                      <w:szCs w:val="21"/>
                      <w:highlight w:val="none"/>
                    </w:rPr>
                    <w:t>废气收集后+两级活性炭装置处理后一并通过一根15m高的排气筒（DA00</w:t>
                  </w:r>
                  <w:r>
                    <w:rPr>
                      <w:rFonts w:hint="eastAsia" w:cs="Times New Roman"/>
                      <w:color w:val="auto"/>
                      <w:szCs w:val="21"/>
                      <w:highlight w:val="none"/>
                      <w:lang w:val="en-US" w:eastAsia="zh-CN"/>
                    </w:rPr>
                    <w:t>2</w:t>
                  </w:r>
                  <w:r>
                    <w:rPr>
                      <w:rFonts w:hint="default" w:ascii="Times New Roman" w:hAnsi="Times New Roman" w:cs="Times New Roman"/>
                      <w:color w:val="auto"/>
                      <w:szCs w:val="21"/>
                      <w:highlight w:val="none"/>
                    </w:rPr>
                    <w:t>）排放</w:t>
                  </w:r>
                  <w:r>
                    <w:rPr>
                      <w:rFonts w:hint="eastAsia" w:cs="Times New Roman"/>
                      <w:color w:val="auto"/>
                      <w:szCs w:val="21"/>
                      <w:highlight w:val="none"/>
                      <w:lang w:eastAsia="zh-CN"/>
                    </w:rPr>
                    <w:t>；</w:t>
                  </w:r>
                  <w:r>
                    <w:rPr>
                      <w:rFonts w:hint="eastAsia" w:cs="Times New Roman"/>
                      <w:color w:val="auto"/>
                      <w:szCs w:val="21"/>
                      <w:highlight w:val="none"/>
                      <w:lang w:val="en-US" w:eastAsia="zh-CN"/>
                    </w:rPr>
                    <w:t>调漆</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喷漆</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喷枪清洗工序废气收集后+</w:t>
                  </w:r>
                  <w:r>
                    <w:rPr>
                      <w:rFonts w:hint="default" w:ascii="Times New Roman" w:hAnsi="Times New Roman" w:cs="Times New Roman"/>
                      <w:color w:val="auto"/>
                      <w:szCs w:val="21"/>
                      <w:highlight w:val="none"/>
                    </w:rPr>
                    <w:t>两级活性炭装置处理后一并通过一根15m高的排气筒（DA00</w:t>
                  </w:r>
                  <w:r>
                    <w:rPr>
                      <w:rFonts w:hint="eastAsia" w:cs="Times New Roman"/>
                      <w:color w:val="auto"/>
                      <w:szCs w:val="21"/>
                      <w:highlight w:val="none"/>
                      <w:lang w:val="en-US" w:eastAsia="zh-CN"/>
                    </w:rPr>
                    <w:t>4</w:t>
                  </w:r>
                  <w:r>
                    <w:rPr>
                      <w:rFonts w:hint="default" w:ascii="Times New Roman" w:hAnsi="Times New Roman" w:cs="Times New Roman"/>
                      <w:color w:val="auto"/>
                      <w:szCs w:val="21"/>
                      <w:highlight w:val="none"/>
                    </w:rPr>
                    <w:t>）排放</w:t>
                  </w:r>
                </w:p>
              </w:tc>
              <w:tc>
                <w:tcPr>
                  <w:tcW w:w="779" w:type="dxa"/>
                  <w:tcBorders>
                    <w:tl2br w:val="nil"/>
                    <w:tr2bl w:val="nil"/>
                  </w:tcBorders>
                  <w:vAlign w:val="center"/>
                </w:tcPr>
                <w:p w14:paraId="3BD96E7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0CF04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6EFA084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w:t>
                  </w:r>
                </w:p>
              </w:tc>
              <w:tc>
                <w:tcPr>
                  <w:tcW w:w="3416" w:type="dxa"/>
                  <w:tcBorders>
                    <w:tl2br w:val="nil"/>
                    <w:tr2bl w:val="nil"/>
                  </w:tcBorders>
                  <w:vAlign w:val="center"/>
                </w:tcPr>
                <w:p w14:paraId="07E7DB4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推动工业炉窑清洁能源替代。有序推进工业领域电能替代，提高电气化水平，推动大用户直供气，降低供气成本。重点区域不再新增燃料类煤气发生炉，新改扩建</w:t>
                  </w:r>
                  <w:r>
                    <w:rPr>
                      <w:rFonts w:hint="eastAsia" w:ascii="Times New Roman" w:hAnsi="Times New Roman" w:cs="Times New Roman"/>
                      <w:color w:val="auto"/>
                      <w:szCs w:val="21"/>
                      <w:highlight w:val="none"/>
                      <w:lang w:val="en-US" w:eastAsia="zh-CN"/>
                    </w:rPr>
                    <w:t>加热炉</w:t>
                  </w:r>
                  <w:r>
                    <w:rPr>
                      <w:rFonts w:hint="default" w:ascii="Times New Roman" w:hAnsi="Times New Roman" w:cs="Times New Roman"/>
                      <w:color w:val="auto"/>
                      <w:szCs w:val="21"/>
                      <w:highlight w:val="none"/>
                    </w:rPr>
                    <w:t>、热处理炉、干燥炉、熔化炉原则上采用清洁低碳能源。燃料类煤气发生炉实施清洁能源替代，或因地制宜采取园区（集群）集中供气、分散使用方式。逐步淘汰固定床间歇式煤气发生炉，鼓励现有煤气发生炉“小改大”。安全稳妥推进使用高污染燃料的工业炉窑改用工业余热、电能、天然气等，推动石油焦、重油等高污染燃料逐步替代。</w:t>
                  </w:r>
                </w:p>
              </w:tc>
              <w:tc>
                <w:tcPr>
                  <w:tcW w:w="2371" w:type="dxa"/>
                  <w:tcBorders>
                    <w:tl2br w:val="nil"/>
                    <w:tr2bl w:val="nil"/>
                  </w:tcBorders>
                  <w:vAlign w:val="center"/>
                </w:tcPr>
                <w:p w14:paraId="3190EE8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本项目涉及</w:t>
                  </w:r>
                  <w:r>
                    <w:rPr>
                      <w:rFonts w:hint="eastAsia" w:cs="Times New Roman"/>
                      <w:color w:val="auto"/>
                      <w:szCs w:val="21"/>
                      <w:highlight w:val="none"/>
                      <w:lang w:val="en-US" w:eastAsia="zh-CN"/>
                    </w:rPr>
                    <w:t>的</w:t>
                  </w:r>
                  <w:r>
                    <w:rPr>
                      <w:rFonts w:hint="default" w:ascii="Times New Roman" w:hAnsi="Times New Roman" w:cs="Times New Roman"/>
                      <w:color w:val="auto"/>
                      <w:szCs w:val="21"/>
                      <w:highlight w:val="none"/>
                    </w:rPr>
                    <w:t>工业炉窑</w:t>
                  </w:r>
                  <w:r>
                    <w:rPr>
                      <w:rFonts w:hint="eastAsia" w:cs="Times New Roman"/>
                      <w:color w:val="auto"/>
                      <w:szCs w:val="21"/>
                      <w:highlight w:val="none"/>
                      <w:lang w:val="en-US" w:eastAsia="zh-CN"/>
                    </w:rPr>
                    <w:t>采用天然气加热，属于清洁能源</w:t>
                  </w:r>
                  <w:r>
                    <w:rPr>
                      <w:rFonts w:hint="default" w:ascii="Times New Roman" w:hAnsi="Times New Roman" w:cs="Times New Roman"/>
                      <w:color w:val="auto"/>
                      <w:szCs w:val="21"/>
                      <w:highlight w:val="none"/>
                    </w:rPr>
                    <w:t>。</w:t>
                  </w:r>
                </w:p>
              </w:tc>
              <w:tc>
                <w:tcPr>
                  <w:tcW w:w="779" w:type="dxa"/>
                  <w:tcBorders>
                    <w:tl2br w:val="nil"/>
                    <w:tr2bl w:val="nil"/>
                  </w:tcBorders>
                  <w:vAlign w:val="center"/>
                </w:tcPr>
                <w:p w14:paraId="6D2D1CF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bl>
          <w:p w14:paraId="4B0BD601">
            <w:pPr>
              <w:keepNext w:val="0"/>
              <w:keepLines w:val="0"/>
              <w:suppressLineNumbers w:val="0"/>
              <w:spacing w:before="0" w:beforeAutospacing="0" w:after="0" w:afterAutospacing="0" w:line="360" w:lineRule="auto"/>
              <w:ind w:left="0" w:right="0" w:firstLine="482" w:firstLineChars="200"/>
              <w:rPr>
                <w:rStyle w:val="75"/>
                <w:rFonts w:hint="default" w:ascii="Times New Roman" w:hAnsi="Times New Roman" w:cs="Times New Roman"/>
                <w:b/>
                <w:bCs/>
                <w:color w:val="auto"/>
                <w:kern w:val="0"/>
                <w:sz w:val="24"/>
                <w:highlight w:val="none"/>
              </w:rPr>
            </w:pPr>
            <w:r>
              <w:rPr>
                <w:rFonts w:hint="default" w:ascii="Times New Roman" w:hAnsi="Times New Roman" w:cs="Times New Roman"/>
                <w:b/>
                <w:bCs/>
                <w:color w:val="auto"/>
                <w:sz w:val="24"/>
                <w:highlight w:val="none"/>
              </w:rPr>
              <w:t>1</w:t>
            </w:r>
            <w:r>
              <w:rPr>
                <w:rFonts w:hint="eastAsia" w:cs="Times New Roman"/>
                <w:b/>
                <w:bCs/>
                <w:color w:val="auto"/>
                <w:sz w:val="24"/>
                <w:highlight w:val="none"/>
                <w:lang w:val="en-US" w:eastAsia="zh-CN"/>
              </w:rPr>
              <w:t>0</w:t>
            </w:r>
            <w:r>
              <w:rPr>
                <w:rFonts w:hint="default" w:ascii="Times New Roman" w:hAnsi="Times New Roman" w:cs="Times New Roman"/>
                <w:b/>
                <w:bCs/>
                <w:color w:val="auto"/>
                <w:sz w:val="24"/>
                <w:highlight w:val="none"/>
              </w:rPr>
              <w:t>、</w:t>
            </w:r>
            <w:r>
              <w:rPr>
                <w:rFonts w:hint="default" w:ascii="Times New Roman" w:hAnsi="Times New Roman" w:cs="Times New Roman"/>
                <w:b/>
                <w:color w:val="auto"/>
                <w:kern w:val="0"/>
                <w:sz w:val="24"/>
                <w:szCs w:val="20"/>
                <w:highlight w:val="none"/>
                <w:lang w:val="zh-CN"/>
              </w:rPr>
              <w:t>与</w:t>
            </w:r>
            <w:r>
              <w:rPr>
                <w:rFonts w:hint="default" w:ascii="Times New Roman" w:hAnsi="Times New Roman" w:cs="Times New Roman"/>
                <w:b/>
                <w:color w:val="auto"/>
                <w:kern w:val="0"/>
                <w:sz w:val="24"/>
                <w:szCs w:val="20"/>
                <w:highlight w:val="none"/>
              </w:rPr>
              <w:t>芜湖市</w:t>
            </w:r>
            <w:r>
              <w:rPr>
                <w:rFonts w:hint="default" w:ascii="Times New Roman" w:hAnsi="Times New Roman" w:cs="Times New Roman"/>
                <w:b/>
                <w:color w:val="auto"/>
                <w:kern w:val="0"/>
                <w:sz w:val="24"/>
                <w:szCs w:val="20"/>
                <w:highlight w:val="none"/>
                <w:lang w:val="zh-CN"/>
              </w:rPr>
              <w:t>生态环境保护委员会办公室关于印发《</w:t>
            </w:r>
            <w:r>
              <w:rPr>
                <w:rFonts w:hint="default" w:ascii="Times New Roman" w:hAnsi="Times New Roman" w:cs="Times New Roman"/>
                <w:b/>
                <w:color w:val="auto"/>
                <w:kern w:val="0"/>
                <w:sz w:val="24"/>
                <w:szCs w:val="20"/>
                <w:highlight w:val="none"/>
              </w:rPr>
              <w:t>芜湖市2024-2025年大气污染防治重点任务攻坚工作方案</w:t>
            </w:r>
            <w:r>
              <w:rPr>
                <w:rFonts w:hint="default" w:ascii="Times New Roman" w:hAnsi="Times New Roman" w:cs="Times New Roman"/>
                <w:b/>
                <w:color w:val="auto"/>
                <w:kern w:val="0"/>
                <w:sz w:val="24"/>
                <w:szCs w:val="20"/>
                <w:highlight w:val="none"/>
                <w:lang w:val="zh-CN"/>
              </w:rPr>
              <w:t>》的通知（</w:t>
            </w:r>
            <w:r>
              <w:rPr>
                <w:rFonts w:hint="default" w:ascii="Times New Roman" w:hAnsi="Times New Roman" w:cs="Times New Roman"/>
                <w:b/>
                <w:color w:val="auto"/>
                <w:kern w:val="0"/>
                <w:sz w:val="24"/>
                <w:szCs w:val="20"/>
                <w:highlight w:val="none"/>
              </w:rPr>
              <w:t>芜</w:t>
            </w:r>
            <w:r>
              <w:rPr>
                <w:rFonts w:hint="default" w:ascii="Times New Roman" w:hAnsi="Times New Roman" w:cs="Times New Roman"/>
                <w:b/>
                <w:color w:val="auto"/>
                <w:kern w:val="0"/>
                <w:sz w:val="24"/>
                <w:szCs w:val="20"/>
                <w:highlight w:val="none"/>
                <w:lang w:val="zh-CN"/>
              </w:rPr>
              <w:t>环委办[202</w:t>
            </w:r>
            <w:r>
              <w:rPr>
                <w:rFonts w:hint="default" w:ascii="Times New Roman" w:hAnsi="Times New Roman" w:cs="Times New Roman"/>
                <w:b/>
                <w:color w:val="auto"/>
                <w:kern w:val="0"/>
                <w:sz w:val="24"/>
                <w:szCs w:val="20"/>
                <w:highlight w:val="none"/>
              </w:rPr>
              <w:t>4</w:t>
            </w:r>
            <w:r>
              <w:rPr>
                <w:rFonts w:hint="default" w:ascii="Times New Roman" w:hAnsi="Times New Roman" w:cs="Times New Roman"/>
                <w:b/>
                <w:color w:val="auto"/>
                <w:kern w:val="0"/>
                <w:sz w:val="24"/>
                <w:szCs w:val="20"/>
                <w:highlight w:val="none"/>
                <w:lang w:val="zh-CN"/>
              </w:rPr>
              <w:t>]</w:t>
            </w:r>
            <w:r>
              <w:rPr>
                <w:rFonts w:hint="default" w:ascii="Times New Roman" w:hAnsi="Times New Roman" w:cs="Times New Roman"/>
                <w:b/>
                <w:color w:val="auto"/>
                <w:kern w:val="0"/>
                <w:sz w:val="24"/>
                <w:szCs w:val="20"/>
                <w:highlight w:val="none"/>
              </w:rPr>
              <w:t>12</w:t>
            </w:r>
            <w:r>
              <w:rPr>
                <w:rFonts w:hint="default" w:ascii="Times New Roman" w:hAnsi="Times New Roman" w:cs="Times New Roman"/>
                <w:b/>
                <w:color w:val="auto"/>
                <w:kern w:val="0"/>
                <w:sz w:val="24"/>
                <w:szCs w:val="20"/>
                <w:highlight w:val="none"/>
                <w:lang w:val="zh-CN"/>
              </w:rPr>
              <w:t>号）相符性</w:t>
            </w:r>
          </w:p>
          <w:p w14:paraId="36F97BF6">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rPr>
              <w:t>表1-1</w:t>
            </w:r>
            <w:r>
              <w:rPr>
                <w:rFonts w:hint="eastAsia" w:cs="Times New Roman"/>
                <w:b/>
                <w:color w:val="auto"/>
                <w:kern w:val="0"/>
                <w:sz w:val="24"/>
                <w:szCs w:val="20"/>
                <w:highlight w:val="none"/>
                <w:lang w:val="en-US" w:eastAsia="zh-CN"/>
              </w:rPr>
              <w:t>0</w:t>
            </w:r>
            <w:r>
              <w:rPr>
                <w:rFonts w:hint="default" w:ascii="Times New Roman" w:hAnsi="Times New Roman" w:cs="Times New Roman"/>
                <w:b/>
                <w:color w:val="auto"/>
                <w:kern w:val="0"/>
                <w:sz w:val="24"/>
                <w:szCs w:val="20"/>
                <w:highlight w:val="none"/>
              </w:rPr>
              <w:t xml:space="preserve">  </w:t>
            </w:r>
            <w:r>
              <w:rPr>
                <w:rFonts w:hint="default" w:ascii="Times New Roman" w:hAnsi="Times New Roman" w:cs="Times New Roman"/>
                <w:b/>
                <w:color w:val="auto"/>
                <w:kern w:val="0"/>
                <w:sz w:val="24"/>
                <w:szCs w:val="20"/>
                <w:highlight w:val="none"/>
                <w:lang w:val="zh-CN"/>
              </w:rPr>
              <w:t>与《</w:t>
            </w:r>
            <w:r>
              <w:rPr>
                <w:rFonts w:hint="default" w:ascii="Times New Roman" w:hAnsi="Times New Roman" w:cs="Times New Roman"/>
                <w:b/>
                <w:color w:val="auto"/>
                <w:kern w:val="0"/>
                <w:sz w:val="24"/>
                <w:szCs w:val="20"/>
                <w:highlight w:val="none"/>
              </w:rPr>
              <w:t>芜湖市2024-2025年大气污染防治重点任务攻坚工作方案</w:t>
            </w:r>
            <w:r>
              <w:rPr>
                <w:rFonts w:hint="default" w:ascii="Times New Roman" w:hAnsi="Times New Roman" w:cs="Times New Roman"/>
                <w:b/>
                <w:color w:val="auto"/>
                <w:kern w:val="0"/>
                <w:sz w:val="24"/>
                <w:szCs w:val="20"/>
                <w:highlight w:val="none"/>
                <w:lang w:val="zh-CN"/>
              </w:rPr>
              <w:t>》相符性分析</w:t>
            </w:r>
          </w:p>
          <w:tbl>
            <w:tblPr>
              <w:tblStyle w:val="1095"/>
              <w:tblW w:w="71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817"/>
              <w:gridCol w:w="3474"/>
              <w:gridCol w:w="2155"/>
              <w:gridCol w:w="686"/>
            </w:tblGrid>
            <w:tr w14:paraId="276941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17" w:type="dxa"/>
                  <w:tcBorders>
                    <w:tl2br w:val="nil"/>
                    <w:tr2bl w:val="nil"/>
                  </w:tcBorders>
                  <w:vAlign w:val="center"/>
                </w:tcPr>
                <w:p w14:paraId="2278258E">
                  <w:pPr>
                    <w:autoSpaceDE w:val="0"/>
                    <w:autoSpaceDN w:val="0"/>
                    <w:snapToGrid w:val="0"/>
                    <w:jc w:val="center"/>
                    <w:rPr>
                      <w:rFonts w:hint="default" w:ascii="Times New Roman" w:hAnsi="Times New Roman" w:cs="Times New Roman"/>
                      <w:b/>
                      <w:bCs/>
                      <w:color w:val="auto"/>
                      <w:kern w:val="0"/>
                      <w:szCs w:val="20"/>
                      <w:highlight w:val="none"/>
                    </w:rPr>
                  </w:pPr>
                  <w:r>
                    <w:rPr>
                      <w:rFonts w:hint="default" w:ascii="Times New Roman" w:hAnsi="Times New Roman" w:cs="Times New Roman"/>
                      <w:b/>
                      <w:bCs/>
                      <w:color w:val="auto"/>
                      <w:kern w:val="0"/>
                      <w:szCs w:val="20"/>
                      <w:highlight w:val="none"/>
                    </w:rPr>
                    <w:t>序号</w:t>
                  </w:r>
                </w:p>
              </w:tc>
              <w:tc>
                <w:tcPr>
                  <w:tcW w:w="3474" w:type="dxa"/>
                  <w:tcBorders>
                    <w:tl2br w:val="nil"/>
                    <w:tr2bl w:val="nil"/>
                  </w:tcBorders>
                  <w:vAlign w:val="center"/>
                </w:tcPr>
                <w:p w14:paraId="083ED5D9">
                  <w:pPr>
                    <w:autoSpaceDE w:val="0"/>
                    <w:autoSpaceDN w:val="0"/>
                    <w:snapToGrid w:val="0"/>
                    <w:jc w:val="center"/>
                    <w:rPr>
                      <w:rFonts w:hint="default" w:ascii="Times New Roman" w:hAnsi="Times New Roman" w:cs="Times New Roman"/>
                      <w:b/>
                      <w:bCs/>
                      <w:color w:val="auto"/>
                      <w:kern w:val="0"/>
                      <w:szCs w:val="20"/>
                      <w:highlight w:val="none"/>
                    </w:rPr>
                  </w:pPr>
                  <w:r>
                    <w:rPr>
                      <w:rFonts w:hint="default" w:ascii="Times New Roman" w:hAnsi="Times New Roman" w:cs="Times New Roman"/>
                      <w:b/>
                      <w:bCs/>
                      <w:color w:val="auto"/>
                      <w:kern w:val="0"/>
                      <w:szCs w:val="20"/>
                      <w:highlight w:val="none"/>
                    </w:rPr>
                    <w:t>文件内容</w:t>
                  </w:r>
                </w:p>
              </w:tc>
              <w:tc>
                <w:tcPr>
                  <w:tcW w:w="2155" w:type="dxa"/>
                  <w:tcBorders>
                    <w:tl2br w:val="nil"/>
                    <w:tr2bl w:val="nil"/>
                  </w:tcBorders>
                  <w:vAlign w:val="center"/>
                </w:tcPr>
                <w:p w14:paraId="5B4855A6">
                  <w:pPr>
                    <w:autoSpaceDE w:val="0"/>
                    <w:autoSpaceDN w:val="0"/>
                    <w:snapToGrid w:val="0"/>
                    <w:jc w:val="center"/>
                    <w:rPr>
                      <w:rFonts w:hint="default" w:ascii="Times New Roman" w:hAnsi="Times New Roman" w:cs="Times New Roman"/>
                      <w:b/>
                      <w:bCs/>
                      <w:color w:val="auto"/>
                      <w:kern w:val="0"/>
                      <w:szCs w:val="20"/>
                      <w:highlight w:val="none"/>
                    </w:rPr>
                  </w:pPr>
                  <w:r>
                    <w:rPr>
                      <w:rFonts w:hint="default" w:ascii="Times New Roman" w:hAnsi="Times New Roman" w:cs="Times New Roman"/>
                      <w:b/>
                      <w:bCs/>
                      <w:color w:val="auto"/>
                      <w:kern w:val="0"/>
                      <w:szCs w:val="20"/>
                      <w:highlight w:val="none"/>
                    </w:rPr>
                    <w:t>本项目建设情况</w:t>
                  </w:r>
                </w:p>
              </w:tc>
              <w:tc>
                <w:tcPr>
                  <w:tcW w:w="686" w:type="dxa"/>
                  <w:tcBorders>
                    <w:tl2br w:val="nil"/>
                    <w:tr2bl w:val="nil"/>
                  </w:tcBorders>
                  <w:vAlign w:val="center"/>
                </w:tcPr>
                <w:p w14:paraId="0D8429EC">
                  <w:pPr>
                    <w:autoSpaceDE w:val="0"/>
                    <w:autoSpaceDN w:val="0"/>
                    <w:snapToGrid w:val="0"/>
                    <w:jc w:val="center"/>
                    <w:rPr>
                      <w:rFonts w:hint="default" w:ascii="Times New Roman" w:hAnsi="Times New Roman" w:cs="Times New Roman"/>
                      <w:b/>
                      <w:bCs/>
                      <w:color w:val="auto"/>
                      <w:kern w:val="0"/>
                      <w:szCs w:val="20"/>
                      <w:highlight w:val="none"/>
                    </w:rPr>
                  </w:pPr>
                  <w:r>
                    <w:rPr>
                      <w:rFonts w:hint="default" w:ascii="Times New Roman" w:hAnsi="Times New Roman" w:cs="Times New Roman"/>
                      <w:b/>
                      <w:bCs/>
                      <w:color w:val="auto"/>
                      <w:kern w:val="0"/>
                      <w:szCs w:val="20"/>
                      <w:highlight w:val="none"/>
                    </w:rPr>
                    <w:t>相符性</w:t>
                  </w:r>
                </w:p>
              </w:tc>
            </w:tr>
            <w:tr w14:paraId="305BD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17" w:type="dxa"/>
                  <w:tcBorders>
                    <w:tl2br w:val="nil"/>
                    <w:tr2bl w:val="nil"/>
                  </w:tcBorders>
                  <w:vAlign w:val="center"/>
                </w:tcPr>
                <w:p w14:paraId="157B405F">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1</w:t>
                  </w:r>
                </w:p>
              </w:tc>
              <w:tc>
                <w:tcPr>
                  <w:tcW w:w="3474" w:type="dxa"/>
                  <w:tcBorders>
                    <w:tl2br w:val="nil"/>
                    <w:tr2bl w:val="nil"/>
                  </w:tcBorders>
                  <w:vAlign w:val="center"/>
                </w:tcPr>
                <w:p w14:paraId="413C4039">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严格项目准入：新改扩建项目严格落实国家产业规划、产业政策、生态环境分区管控等相关要求，源头管控低水平项目上马。</w:t>
                  </w:r>
                </w:p>
                <w:p w14:paraId="168BDE47">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对新改扩建重点行业企业项目，原则上按照重点行业A级绩效或引领性绩效水平建设，控制非绩效先进水平企业新增数量。</w:t>
                  </w:r>
                </w:p>
              </w:tc>
              <w:tc>
                <w:tcPr>
                  <w:tcW w:w="2155" w:type="dxa"/>
                  <w:tcBorders>
                    <w:tl2br w:val="nil"/>
                    <w:tr2bl w:val="nil"/>
                  </w:tcBorders>
                  <w:vAlign w:val="center"/>
                </w:tcPr>
                <w:p w14:paraId="5F434D34">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本</w:t>
                  </w:r>
                  <w:r>
                    <w:rPr>
                      <w:rFonts w:hint="eastAsia" w:cs="Times New Roman"/>
                      <w:color w:val="auto"/>
                      <w:kern w:val="0"/>
                      <w:szCs w:val="20"/>
                      <w:highlight w:val="none"/>
                      <w:lang w:val="en-US" w:eastAsia="zh-CN"/>
                    </w:rPr>
                    <w:t>新建</w:t>
                  </w:r>
                  <w:r>
                    <w:rPr>
                      <w:rFonts w:hint="default" w:ascii="Times New Roman" w:hAnsi="Times New Roman" w:cs="Times New Roman"/>
                      <w:color w:val="auto"/>
                      <w:kern w:val="0"/>
                      <w:szCs w:val="20"/>
                      <w:highlight w:val="none"/>
                    </w:rPr>
                    <w:t>项目符合开发区规划、产业准入、国家产业政策及生态环境分区管控等相关要求。</w:t>
                  </w:r>
                </w:p>
              </w:tc>
              <w:tc>
                <w:tcPr>
                  <w:tcW w:w="686" w:type="dxa"/>
                  <w:tcBorders>
                    <w:tl2br w:val="nil"/>
                    <w:tr2bl w:val="nil"/>
                  </w:tcBorders>
                  <w:vAlign w:val="center"/>
                </w:tcPr>
                <w:p w14:paraId="3A7A25F4">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符合</w:t>
                  </w:r>
                </w:p>
              </w:tc>
            </w:tr>
            <w:tr w14:paraId="0EE228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90" w:hRule="atLeast"/>
                <w:jc w:val="center"/>
              </w:trPr>
              <w:tc>
                <w:tcPr>
                  <w:tcW w:w="817" w:type="dxa"/>
                  <w:tcBorders>
                    <w:tl2br w:val="nil"/>
                    <w:tr2bl w:val="nil"/>
                  </w:tcBorders>
                  <w:vAlign w:val="center"/>
                </w:tcPr>
                <w:p w14:paraId="718DE3A3">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2</w:t>
                  </w:r>
                </w:p>
              </w:tc>
              <w:tc>
                <w:tcPr>
                  <w:tcW w:w="3474" w:type="dxa"/>
                  <w:tcBorders>
                    <w:tl2br w:val="nil"/>
                    <w:tr2bl w:val="nil"/>
                  </w:tcBorders>
                  <w:vAlign w:val="center"/>
                </w:tcPr>
                <w:p w14:paraId="01194FF9">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开展低挥发性有机物含量原辅材料源头替代：加大工业涂装行业、包装印刷行业低（无）VOCs 含量原辅材料的替代工作力度。在建筑房屋和市政工程领域全面推广使用低VOCs含量涂料和胶黏剂，除特殊功能要求外的室内地坪施工、室外构筑物防护和城市道路交通标志基本使用低VOCs含量涂料。严格执行涂料、油墨、胶粘剂、清洗剂VOCs含量限值标准。</w:t>
                  </w:r>
                </w:p>
              </w:tc>
              <w:tc>
                <w:tcPr>
                  <w:tcW w:w="2155" w:type="dxa"/>
                  <w:tcBorders>
                    <w:tl2br w:val="nil"/>
                    <w:tr2bl w:val="nil"/>
                  </w:tcBorders>
                  <w:vAlign w:val="center"/>
                </w:tcPr>
                <w:p w14:paraId="50481645">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eastAsia="宋体" w:cs="Times New Roman"/>
                      <w:color w:val="auto"/>
                      <w:szCs w:val="21"/>
                      <w:highlight w:val="none"/>
                    </w:rPr>
                    <w:t>本项目使用的</w:t>
                  </w:r>
                  <w:r>
                    <w:rPr>
                      <w:rFonts w:hint="eastAsia" w:ascii="Times New Roman" w:hAnsi="Times New Roman" w:eastAsia="宋体" w:cs="Times New Roman"/>
                      <w:color w:val="auto"/>
                      <w:szCs w:val="21"/>
                      <w:highlight w:val="none"/>
                      <w:lang w:val="en-US" w:eastAsia="zh-CN"/>
                    </w:rPr>
                    <w:t>水性底漆</w:t>
                  </w:r>
                  <w:r>
                    <w:rPr>
                      <w:rFonts w:hint="default" w:ascii="Times New Roman" w:hAnsi="Times New Roman" w:eastAsia="宋体" w:cs="Times New Roman"/>
                      <w:color w:val="auto"/>
                      <w:szCs w:val="21"/>
                      <w:highlight w:val="none"/>
                    </w:rPr>
                    <w:t>满足《低挥发性有机化合物含量涂料产品技术要求》（GB/T38597-2020）表1规定的车辆涂料-汽车原厂涂料〔客车（机动车）〕VOCs含量限值要求（VOCs含量≤250g/L）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工程机械和农业机械涂料（含零部件涂料）</w:t>
                  </w:r>
                  <w:r>
                    <w:rPr>
                      <w:rFonts w:hint="default" w:ascii="Times New Roman" w:hAnsi="Times New Roman" w:eastAsia="宋体" w:cs="Times New Roman"/>
                      <w:color w:val="auto"/>
                      <w:szCs w:val="21"/>
                      <w:highlight w:val="none"/>
                    </w:rPr>
                    <w:t>VOCs含量限值要求（VOCs含量≤</w:t>
                  </w:r>
                  <w:r>
                    <w:rPr>
                      <w:rFonts w:hint="eastAsia" w:ascii="Times New Roman" w:hAnsi="Times New Roman" w:eastAsia="宋体" w:cs="Times New Roman"/>
                      <w:color w:val="auto"/>
                      <w:szCs w:val="21"/>
                      <w:highlight w:val="none"/>
                      <w:lang w:val="en-US" w:eastAsia="zh-CN"/>
                    </w:rPr>
                    <w:t>250</w:t>
                  </w:r>
                  <w:r>
                    <w:rPr>
                      <w:rFonts w:hint="default" w:ascii="Times New Roman" w:hAnsi="Times New Roman" w:eastAsia="宋体" w:cs="Times New Roman"/>
                      <w:color w:val="auto"/>
                      <w:szCs w:val="21"/>
                      <w:highlight w:val="none"/>
                    </w:rPr>
                    <w:t>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同时满足《车辆涂料中有害物质限量GB24409-2020》表1规定的水性涂料中VOC含量的限量值要求-汽车原厂涂料〔客车（机动车）〕-其他底漆VOCs含量限值要求（VOCs含量≤420g/L）、《工业防护涂料中有害物质限量》（GB 30981-2020）表1规定的</w:t>
                  </w:r>
                  <w:r>
                    <w:rPr>
                      <w:rFonts w:hint="default" w:ascii="Times New Roman" w:hAnsi="Times New Roman" w:eastAsia="宋体" w:cs="Times New Roman"/>
                      <w:color w:val="auto"/>
                      <w:szCs w:val="21"/>
                      <w:highlight w:val="none"/>
                    </w:rPr>
                    <w:t>机械设备涂料-工程机械和农业机械涂料（含零部件涂料）中底漆VOCs含量限值要求（VOCs含量≤</w:t>
                  </w:r>
                  <w:r>
                    <w:rPr>
                      <w:rFonts w:hint="eastAsia" w:ascii="Times New Roman" w:hAnsi="Times New Roman" w:eastAsia="宋体" w:cs="Times New Roman"/>
                      <w:color w:val="auto"/>
                      <w:szCs w:val="21"/>
                      <w:highlight w:val="none"/>
                      <w:lang w:val="en-US" w:eastAsia="zh-CN"/>
                    </w:rPr>
                    <w:t>300</w:t>
                  </w:r>
                  <w:r>
                    <w:rPr>
                      <w:rFonts w:hint="default" w:ascii="Times New Roman" w:hAnsi="Times New Roman" w:eastAsia="宋体" w:cs="Times New Roman"/>
                      <w:color w:val="auto"/>
                      <w:szCs w:val="21"/>
                      <w:highlight w:val="none"/>
                    </w:rPr>
                    <w:t>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塑粉</w:t>
                  </w:r>
                  <w:r>
                    <w:rPr>
                      <w:rFonts w:hint="default" w:ascii="Times New Roman" w:hAnsi="Times New Roman" w:eastAsia="宋体" w:cs="Times New Roman"/>
                      <w:color w:val="auto"/>
                      <w:szCs w:val="21"/>
                      <w:highlight w:val="none"/>
                    </w:rPr>
                    <w:t>属于低挥发性有机化合物含量涂料产品，因此符合《低挥发性有机化合物含量涂料产品技术要求》（GB/T 38597-2020）的要求</w:t>
                  </w:r>
                  <w:r>
                    <w:rPr>
                      <w:rFonts w:hint="default" w:ascii="Times New Roman" w:hAnsi="Times New Roman" w:cs="Times New Roman"/>
                      <w:color w:val="auto"/>
                      <w:sz w:val="21"/>
                      <w:szCs w:val="21"/>
                      <w:highlight w:val="none"/>
                    </w:rPr>
                    <w:t>。</w:t>
                  </w:r>
                </w:p>
              </w:tc>
              <w:tc>
                <w:tcPr>
                  <w:tcW w:w="686" w:type="dxa"/>
                  <w:tcBorders>
                    <w:tl2br w:val="nil"/>
                    <w:tr2bl w:val="nil"/>
                  </w:tcBorders>
                  <w:vAlign w:val="center"/>
                </w:tcPr>
                <w:p w14:paraId="35605CFC">
                  <w:pPr>
                    <w:autoSpaceDE w:val="0"/>
                    <w:autoSpaceDN w:val="0"/>
                    <w:snapToGrid w:val="0"/>
                    <w:jc w:val="center"/>
                    <w:rPr>
                      <w:rFonts w:hint="default" w:ascii="Times New Roman" w:hAnsi="Times New Roman" w:cs="Times New Roman"/>
                      <w:color w:val="auto"/>
                      <w:kern w:val="0"/>
                      <w:szCs w:val="20"/>
                      <w:highlight w:val="none"/>
                    </w:rPr>
                  </w:pPr>
                  <w:r>
                    <w:rPr>
                      <w:rFonts w:hint="default" w:ascii="Times New Roman" w:hAnsi="Times New Roman" w:cs="Times New Roman"/>
                      <w:color w:val="auto"/>
                      <w:kern w:val="0"/>
                      <w:szCs w:val="20"/>
                      <w:highlight w:val="none"/>
                    </w:rPr>
                    <w:t>符合</w:t>
                  </w:r>
                </w:p>
              </w:tc>
            </w:tr>
          </w:tbl>
          <w:p w14:paraId="4F6FAA47">
            <w:pPr>
              <w:pStyle w:val="375"/>
              <w:keepNext w:val="0"/>
              <w:keepLines w:val="0"/>
              <w:suppressLineNumbers w:val="0"/>
              <w:spacing w:before="0" w:beforeAutospacing="0" w:after="0" w:afterAutospacing="0" w:line="360" w:lineRule="auto"/>
              <w:ind w:left="0" w:right="0" w:firstLine="482"/>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1</w:t>
            </w:r>
            <w:r>
              <w:rPr>
                <w:rFonts w:hint="eastAsia" w:cs="Times New Roman"/>
                <w:b/>
                <w:bCs/>
                <w:color w:val="auto"/>
                <w:highlight w:val="none"/>
                <w:lang w:val="en-US" w:eastAsia="zh-CN"/>
              </w:rPr>
              <w:t>1</w:t>
            </w:r>
            <w:r>
              <w:rPr>
                <w:rFonts w:hint="default" w:ascii="Times New Roman" w:hAnsi="Times New Roman" w:cs="Times New Roman"/>
                <w:b/>
                <w:bCs/>
                <w:color w:val="auto"/>
                <w:highlight w:val="none"/>
              </w:rPr>
              <w:t>、《重点行业挥发性有机物综合治理方案》（环大气〔2019〕53号）符合性分析</w:t>
            </w:r>
          </w:p>
          <w:p w14:paraId="76A2255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根据生态环境部2019年6月26日发布的关于印发《重点行业挥发性有机物综合治理方案》的通知，对照本项目，相符性分析如下表：</w:t>
            </w:r>
          </w:p>
          <w:p w14:paraId="32213272">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lang w:val="zh-CN"/>
              </w:rPr>
            </w:pPr>
            <w:r>
              <w:rPr>
                <w:rFonts w:hint="default" w:ascii="Times New Roman" w:hAnsi="Times New Roman" w:cs="Times New Roman"/>
                <w:b/>
                <w:color w:val="auto"/>
                <w:kern w:val="0"/>
                <w:sz w:val="24"/>
                <w:szCs w:val="20"/>
                <w:highlight w:val="none"/>
                <w:lang w:val="zh-CN"/>
              </w:rPr>
              <w:t>表1-</w:t>
            </w:r>
            <w:r>
              <w:rPr>
                <w:rFonts w:hint="default" w:ascii="Times New Roman" w:hAnsi="Times New Roman" w:cs="Times New Roman"/>
                <w:b/>
                <w:color w:val="auto"/>
                <w:kern w:val="0"/>
                <w:sz w:val="24"/>
                <w:szCs w:val="20"/>
                <w:highlight w:val="none"/>
              </w:rPr>
              <w:t>1</w:t>
            </w:r>
            <w:r>
              <w:rPr>
                <w:rFonts w:hint="eastAsia" w:cs="Times New Roman"/>
                <w:b/>
                <w:color w:val="auto"/>
                <w:kern w:val="0"/>
                <w:sz w:val="24"/>
                <w:szCs w:val="20"/>
                <w:highlight w:val="none"/>
                <w:lang w:val="en-US" w:eastAsia="zh-CN"/>
              </w:rPr>
              <w:t>1</w:t>
            </w:r>
            <w:r>
              <w:rPr>
                <w:rFonts w:hint="default" w:ascii="Times New Roman" w:hAnsi="Times New Roman" w:cs="Times New Roman"/>
                <w:b/>
                <w:color w:val="auto"/>
                <w:kern w:val="0"/>
                <w:sz w:val="24"/>
                <w:szCs w:val="20"/>
                <w:highlight w:val="none"/>
                <w:lang w:val="zh-CN"/>
              </w:rPr>
              <w:t xml:space="preserve"> </w:t>
            </w:r>
            <w:r>
              <w:rPr>
                <w:rFonts w:hint="default" w:ascii="Times New Roman" w:hAnsi="Times New Roman" w:cs="Times New Roman"/>
                <w:b/>
                <w:color w:val="auto"/>
                <w:kern w:val="0"/>
                <w:sz w:val="24"/>
                <w:szCs w:val="20"/>
                <w:highlight w:val="none"/>
              </w:rPr>
              <w:t xml:space="preserve"> </w:t>
            </w:r>
            <w:r>
              <w:rPr>
                <w:rFonts w:hint="default" w:ascii="Times New Roman" w:hAnsi="Times New Roman" w:cs="Times New Roman"/>
                <w:b/>
                <w:color w:val="auto"/>
                <w:kern w:val="0"/>
                <w:sz w:val="24"/>
                <w:szCs w:val="20"/>
                <w:highlight w:val="none"/>
                <w:lang w:val="zh-CN"/>
              </w:rPr>
              <w:t>《重点行业挥发性有机物综合治理方案》符合性分析</w:t>
            </w:r>
          </w:p>
          <w:tbl>
            <w:tblPr>
              <w:tblStyle w:val="61"/>
              <w:tblW w:w="7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8"/>
              <w:gridCol w:w="2337"/>
              <w:gridCol w:w="676"/>
            </w:tblGrid>
            <w:tr w14:paraId="1D46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232C935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文件要求</w:t>
                  </w:r>
                </w:p>
              </w:tc>
              <w:tc>
                <w:tcPr>
                  <w:tcW w:w="2337" w:type="dxa"/>
                  <w:vAlign w:val="center"/>
                </w:tcPr>
                <w:p w14:paraId="4377FD9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相符性</w:t>
                  </w:r>
                </w:p>
              </w:tc>
              <w:tc>
                <w:tcPr>
                  <w:tcW w:w="676" w:type="dxa"/>
                  <w:vAlign w:val="center"/>
                </w:tcPr>
                <w:p w14:paraId="4B788F5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szCs w:val="21"/>
                      <w:highlight w:val="none"/>
                      <w:lang w:bidi="ar"/>
                    </w:rPr>
                    <w:t>符合性</w:t>
                  </w:r>
                </w:p>
              </w:tc>
            </w:tr>
            <w:tr w14:paraId="0F43B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067F640D">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鼓励加快低VOCs 含量涂料、油墨、胶粘剂等研发和生产。</w:t>
                  </w:r>
                </w:p>
              </w:tc>
              <w:tc>
                <w:tcPr>
                  <w:tcW w:w="2337" w:type="dxa"/>
                  <w:vAlign w:val="center"/>
                </w:tcPr>
                <w:p w14:paraId="2DB4CE6C">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kern w:val="0"/>
                      <w:szCs w:val="21"/>
                      <w:highlight w:val="none"/>
                    </w:rPr>
                  </w:pPr>
                  <w:r>
                    <w:rPr>
                      <w:rFonts w:hint="default" w:ascii="Times New Roman" w:hAnsi="Times New Roman" w:eastAsia="宋体" w:cs="Times New Roman"/>
                      <w:color w:val="auto"/>
                      <w:szCs w:val="21"/>
                      <w:highlight w:val="none"/>
                    </w:rPr>
                    <w:t>本项目使用的</w:t>
                  </w:r>
                  <w:r>
                    <w:rPr>
                      <w:rFonts w:hint="eastAsia" w:ascii="Times New Roman" w:hAnsi="Times New Roman" w:eastAsia="宋体" w:cs="Times New Roman"/>
                      <w:color w:val="auto"/>
                      <w:szCs w:val="21"/>
                      <w:highlight w:val="none"/>
                      <w:lang w:val="en-US" w:eastAsia="zh-CN"/>
                    </w:rPr>
                    <w:t>水性底漆</w:t>
                  </w:r>
                  <w:r>
                    <w:rPr>
                      <w:rFonts w:hint="default" w:ascii="Times New Roman" w:hAnsi="Times New Roman" w:eastAsia="宋体" w:cs="Times New Roman"/>
                      <w:color w:val="auto"/>
                      <w:szCs w:val="21"/>
                      <w:highlight w:val="none"/>
                    </w:rPr>
                    <w:t>满足《低挥发性有机化合物含量涂料产品技术要求》（GB/T38597-2020）表1规定的车辆涂料-汽车原厂涂料〔客车（机动车）〕VOCs含量限值要求（VOCs含量≤250g/L）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工程机械和农业机械涂料（含零部件涂料）</w:t>
                  </w:r>
                  <w:r>
                    <w:rPr>
                      <w:rFonts w:hint="default" w:ascii="Times New Roman" w:hAnsi="Times New Roman" w:eastAsia="宋体" w:cs="Times New Roman"/>
                      <w:color w:val="auto"/>
                      <w:szCs w:val="21"/>
                      <w:highlight w:val="none"/>
                    </w:rPr>
                    <w:t>VOCs含量限值要求（VOCs含量≤</w:t>
                  </w:r>
                  <w:r>
                    <w:rPr>
                      <w:rFonts w:hint="eastAsia" w:ascii="Times New Roman" w:hAnsi="Times New Roman" w:eastAsia="宋体" w:cs="Times New Roman"/>
                      <w:color w:val="auto"/>
                      <w:szCs w:val="21"/>
                      <w:highlight w:val="none"/>
                      <w:lang w:val="en-US" w:eastAsia="zh-CN"/>
                    </w:rPr>
                    <w:t>250</w:t>
                  </w:r>
                  <w:r>
                    <w:rPr>
                      <w:rFonts w:hint="default" w:ascii="Times New Roman" w:hAnsi="Times New Roman" w:eastAsia="宋体" w:cs="Times New Roman"/>
                      <w:color w:val="auto"/>
                      <w:szCs w:val="21"/>
                      <w:highlight w:val="none"/>
                    </w:rPr>
                    <w:t>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同时满足《车辆涂料中有害物质限量GB24409-2020》表1规定的水性涂料中VOC含量的限量值要求-汽车原厂涂料〔客车（机动车）〕-其他底漆VOCs含量限值要求（VOCs含量≤420g/L）、《工业防护涂料中有害物质限量》（GB 30981-2020）表1规定的</w:t>
                  </w:r>
                  <w:r>
                    <w:rPr>
                      <w:rFonts w:hint="default" w:ascii="Times New Roman" w:hAnsi="Times New Roman" w:eastAsia="宋体" w:cs="Times New Roman"/>
                      <w:color w:val="auto"/>
                      <w:szCs w:val="21"/>
                      <w:highlight w:val="none"/>
                    </w:rPr>
                    <w:t>机械设备涂料-工程机械和农业机械涂料（含零部件涂料）中底漆VOCs含量限值要求（VOCs含量≤</w:t>
                  </w:r>
                  <w:r>
                    <w:rPr>
                      <w:rFonts w:hint="eastAsia" w:ascii="Times New Roman" w:hAnsi="Times New Roman" w:eastAsia="宋体" w:cs="Times New Roman"/>
                      <w:color w:val="auto"/>
                      <w:szCs w:val="21"/>
                      <w:highlight w:val="none"/>
                      <w:lang w:val="en-US" w:eastAsia="zh-CN"/>
                    </w:rPr>
                    <w:t>300</w:t>
                  </w:r>
                  <w:r>
                    <w:rPr>
                      <w:rFonts w:hint="default" w:ascii="Times New Roman" w:hAnsi="Times New Roman" w:eastAsia="宋体" w:cs="Times New Roman"/>
                      <w:color w:val="auto"/>
                      <w:szCs w:val="21"/>
                      <w:highlight w:val="none"/>
                    </w:rPr>
                    <w:t>g/L）</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塑粉</w:t>
                  </w:r>
                  <w:r>
                    <w:rPr>
                      <w:rFonts w:hint="default" w:ascii="Times New Roman" w:hAnsi="Times New Roman" w:eastAsia="宋体" w:cs="Times New Roman"/>
                      <w:color w:val="auto"/>
                      <w:szCs w:val="21"/>
                      <w:highlight w:val="none"/>
                    </w:rPr>
                    <w:t>属于低挥发性有机化合物含量涂料产品，因此符合《低挥发性有机化合物含量涂料产品技术要求》（GB/T 38597-2020）的要求</w:t>
                  </w:r>
                  <w:r>
                    <w:rPr>
                      <w:rFonts w:hint="default" w:ascii="Times New Roman" w:hAnsi="Times New Roman" w:cs="Times New Roman"/>
                      <w:color w:val="auto"/>
                      <w:szCs w:val="21"/>
                      <w:highlight w:val="none"/>
                    </w:rPr>
                    <w:t>；可从源头减少VOCs产生。</w:t>
                  </w:r>
                </w:p>
              </w:tc>
              <w:tc>
                <w:tcPr>
                  <w:tcW w:w="676" w:type="dxa"/>
                  <w:vAlign w:val="center"/>
                </w:tcPr>
                <w:p w14:paraId="304C181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kern w:val="0"/>
                      <w:szCs w:val="21"/>
                      <w:highlight w:val="none"/>
                      <w:lang w:bidi="ar"/>
                    </w:rPr>
                    <w:t>符合</w:t>
                  </w:r>
                </w:p>
              </w:tc>
            </w:tr>
            <w:tr w14:paraId="0ECE8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31F24753">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tc>
              <w:tc>
                <w:tcPr>
                  <w:tcW w:w="2337" w:type="dxa"/>
                  <w:vAlign w:val="center"/>
                </w:tcPr>
                <w:p w14:paraId="18C51A45">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kern w:val="0"/>
                      <w:szCs w:val="21"/>
                      <w:highlight w:val="none"/>
                      <w:shd w:val="clear" w:color="auto" w:fill="FFFFFF"/>
                      <w:lang w:bidi="ar"/>
                    </w:rPr>
                  </w:pPr>
                  <w:r>
                    <w:rPr>
                      <w:rFonts w:hint="default" w:ascii="Times New Roman" w:hAnsi="Times New Roman" w:cs="Times New Roman"/>
                      <w:color w:val="auto"/>
                      <w:szCs w:val="21"/>
                      <w:highlight w:val="none"/>
                    </w:rPr>
                    <w:t>本项目</w:t>
                  </w:r>
                  <w:r>
                    <w:rPr>
                      <w:rFonts w:hint="eastAsia" w:cs="Times New Roman"/>
                      <w:color w:val="auto"/>
                      <w:kern w:val="0"/>
                      <w:szCs w:val="21"/>
                      <w:highlight w:val="none"/>
                      <w:lang w:val="en-US" w:eastAsia="zh-CN"/>
                    </w:rPr>
                    <w:t>喷漆烘干</w:t>
                  </w:r>
                  <w:r>
                    <w:rPr>
                      <w:rFonts w:hint="default" w:ascii="Times New Roman" w:hAnsi="Times New Roman" w:cs="Times New Roman"/>
                      <w:color w:val="auto"/>
                      <w:szCs w:val="21"/>
                      <w:highlight w:val="none"/>
                    </w:rPr>
                    <w:t>、</w:t>
                  </w:r>
                  <w:r>
                    <w:rPr>
                      <w:rFonts w:hint="eastAsia" w:cs="Times New Roman"/>
                      <w:color w:val="auto"/>
                      <w:kern w:val="0"/>
                      <w:szCs w:val="21"/>
                      <w:highlight w:val="none"/>
                      <w:lang w:val="en-US" w:eastAsia="zh-CN"/>
                    </w:rPr>
                    <w:t>喷粉固化</w:t>
                  </w:r>
                  <w:r>
                    <w:rPr>
                      <w:rFonts w:hint="default" w:ascii="Times New Roman" w:hAnsi="Times New Roman" w:cs="Times New Roman"/>
                      <w:color w:val="auto"/>
                      <w:kern w:val="0"/>
                      <w:szCs w:val="21"/>
                      <w:highlight w:val="none"/>
                    </w:rPr>
                    <w:t>工序</w:t>
                  </w:r>
                  <w:r>
                    <w:rPr>
                      <w:rFonts w:hint="default" w:ascii="Times New Roman" w:hAnsi="Times New Roman" w:cs="Times New Roman"/>
                      <w:color w:val="auto"/>
                      <w:szCs w:val="21"/>
                      <w:highlight w:val="none"/>
                    </w:rPr>
                    <w:t>废气收集后+两级活性炭装置处理后一并通过一根15m高的排气筒（DA00</w:t>
                  </w:r>
                  <w:r>
                    <w:rPr>
                      <w:rFonts w:hint="eastAsia" w:cs="Times New Roman"/>
                      <w:color w:val="auto"/>
                      <w:szCs w:val="21"/>
                      <w:highlight w:val="none"/>
                      <w:lang w:val="en-US" w:eastAsia="zh-CN"/>
                    </w:rPr>
                    <w:t>2</w:t>
                  </w:r>
                  <w:r>
                    <w:rPr>
                      <w:rFonts w:hint="default" w:ascii="Times New Roman" w:hAnsi="Times New Roman" w:cs="Times New Roman"/>
                      <w:color w:val="auto"/>
                      <w:szCs w:val="21"/>
                      <w:highlight w:val="none"/>
                    </w:rPr>
                    <w:t>）排放</w:t>
                  </w:r>
                  <w:r>
                    <w:rPr>
                      <w:rFonts w:hint="eastAsia" w:cs="Times New Roman"/>
                      <w:color w:val="auto"/>
                      <w:szCs w:val="21"/>
                      <w:highlight w:val="none"/>
                      <w:lang w:eastAsia="zh-CN"/>
                    </w:rPr>
                    <w:t>；</w:t>
                  </w:r>
                  <w:r>
                    <w:rPr>
                      <w:rFonts w:hint="eastAsia" w:cs="Times New Roman"/>
                      <w:color w:val="auto"/>
                      <w:szCs w:val="21"/>
                      <w:highlight w:val="none"/>
                      <w:lang w:val="en-US" w:eastAsia="zh-CN"/>
                    </w:rPr>
                    <w:t>调漆</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喷漆</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喷枪清洗工序废气收集后+</w:t>
                  </w:r>
                  <w:r>
                    <w:rPr>
                      <w:rFonts w:hint="default" w:ascii="Times New Roman" w:hAnsi="Times New Roman" w:cs="Times New Roman"/>
                      <w:color w:val="auto"/>
                      <w:szCs w:val="21"/>
                      <w:highlight w:val="none"/>
                    </w:rPr>
                    <w:t>两级活性炭装置处理后一并通过一根15m高的排气筒（DA00</w:t>
                  </w:r>
                  <w:r>
                    <w:rPr>
                      <w:rFonts w:hint="eastAsia" w:cs="Times New Roman"/>
                      <w:color w:val="auto"/>
                      <w:szCs w:val="21"/>
                      <w:highlight w:val="none"/>
                      <w:lang w:val="en-US" w:eastAsia="zh-CN"/>
                    </w:rPr>
                    <w:t>4</w:t>
                  </w:r>
                  <w:r>
                    <w:rPr>
                      <w:rFonts w:hint="default" w:ascii="Times New Roman" w:hAnsi="Times New Roman" w:cs="Times New Roman"/>
                      <w:color w:val="auto"/>
                      <w:szCs w:val="21"/>
                      <w:highlight w:val="none"/>
                    </w:rPr>
                    <w:t>）排放。</w:t>
                  </w:r>
                </w:p>
              </w:tc>
              <w:tc>
                <w:tcPr>
                  <w:tcW w:w="676" w:type="dxa"/>
                  <w:vAlign w:val="center"/>
                </w:tcPr>
                <w:p w14:paraId="45CD821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符合</w:t>
                  </w:r>
                </w:p>
              </w:tc>
            </w:tr>
            <w:tr w14:paraId="0B6E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35920ABB">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规范工程设计。采用吸附处理工艺的，应满足《吸附法工业有机废气治理工程技术规范》要求。</w:t>
                  </w:r>
                </w:p>
              </w:tc>
              <w:tc>
                <w:tcPr>
                  <w:tcW w:w="2337" w:type="dxa"/>
                  <w:vAlign w:val="center"/>
                </w:tcPr>
                <w:p w14:paraId="0F02D7D3">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本项目活性炭吸附装置满足《吸附法工业废气设计规范治理工程技术规范》(HJ2026-2013)中“气体流速宜低于</w:t>
                  </w:r>
                  <w:r>
                    <w:rPr>
                      <w:rFonts w:hint="eastAsia" w:cs="Times New Roman"/>
                      <w:color w:val="auto"/>
                      <w:kern w:val="0"/>
                      <w:szCs w:val="21"/>
                      <w:highlight w:val="none"/>
                      <w:lang w:val="en-US" w:eastAsia="zh-CN" w:bidi="ar"/>
                    </w:rPr>
                    <w:t>0.6</w:t>
                  </w:r>
                  <w:r>
                    <w:rPr>
                      <w:rFonts w:hint="default" w:ascii="Times New Roman" w:hAnsi="Times New Roman" w:cs="Times New Roman"/>
                      <w:color w:val="auto"/>
                      <w:kern w:val="0"/>
                      <w:szCs w:val="21"/>
                      <w:highlight w:val="none"/>
                      <w:lang w:bidi="ar"/>
                    </w:rPr>
                    <w:t>m/s”要求</w:t>
                  </w:r>
                  <w:r>
                    <w:rPr>
                      <w:rFonts w:hint="default" w:ascii="Times New Roman" w:hAnsi="Times New Roman" w:cs="Times New Roman"/>
                      <w:color w:val="auto"/>
                      <w:highlight w:val="none"/>
                    </w:rPr>
                    <w:t>；</w:t>
                  </w:r>
                  <w:r>
                    <w:rPr>
                      <w:rFonts w:hint="default" w:ascii="Times New Roman" w:hAnsi="Times New Roman" w:cs="Times New Roman"/>
                      <w:color w:val="auto"/>
                      <w:szCs w:val="21"/>
                      <w:highlight w:val="none"/>
                    </w:rPr>
                    <w:t>颗粒物浓度超过1mg/m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highlight w:val="none"/>
                    </w:rPr>
                    <w:t>时，采取过滤或洗涤措施进行预处理；进气温度高于40℃时，采取稀释或冷凝降温进行预处理；过滤材料两端设置压差计，对过滤材料及时更换；采用颗粒活性炭作为吸附剂时，其碘值不宜低800mg/g；采用蜂窝活性炭作为吸附剂时，其碘值不宜低于650mg/g；采用活性炭纤维作为吸附剂时，其比表面积不低于1100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/g（BET 法）</w:t>
                  </w:r>
                </w:p>
              </w:tc>
              <w:tc>
                <w:tcPr>
                  <w:tcW w:w="676" w:type="dxa"/>
                  <w:vAlign w:val="center"/>
                </w:tcPr>
                <w:p w14:paraId="45D9B7A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符合</w:t>
                  </w:r>
                </w:p>
              </w:tc>
            </w:tr>
          </w:tbl>
          <w:p w14:paraId="39D772BB">
            <w:pPr>
              <w:pStyle w:val="375"/>
              <w:keepNext w:val="0"/>
              <w:keepLines w:val="0"/>
              <w:suppressLineNumbers w:val="0"/>
              <w:spacing w:before="0" w:beforeAutospacing="0" w:after="0" w:afterAutospacing="0" w:line="360" w:lineRule="auto"/>
              <w:ind w:left="0" w:right="0"/>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综上分析，本项目建设符合《重点行业挥发性有机物综合治理方案》（环大气〔2019〕53号）中相关要求。</w:t>
            </w:r>
          </w:p>
          <w:p w14:paraId="3AC97CDC">
            <w:pPr>
              <w:pStyle w:val="375"/>
              <w:keepNext w:val="0"/>
              <w:keepLines w:val="0"/>
              <w:suppressLineNumbers w:val="0"/>
              <w:adjustRightInd w:val="0"/>
              <w:snapToGrid w:val="0"/>
              <w:spacing w:before="0" w:beforeAutospacing="0" w:after="0" w:afterAutospacing="0" w:line="360" w:lineRule="auto"/>
              <w:ind w:left="0" w:right="0" w:firstLine="482"/>
              <w:rPr>
                <w:rFonts w:hint="default" w:ascii="Times New Roman" w:hAnsi="Times New Roman" w:cs="Times New Roman"/>
                <w:color w:val="auto"/>
                <w:highlight w:val="none"/>
              </w:rPr>
            </w:pPr>
            <w:r>
              <w:rPr>
                <w:rFonts w:hint="default" w:ascii="Times New Roman" w:hAnsi="Times New Roman" w:cs="Times New Roman"/>
                <w:b/>
                <w:bCs/>
                <w:color w:val="auto"/>
                <w:highlight w:val="none"/>
              </w:rPr>
              <w:t>1</w:t>
            </w:r>
            <w:r>
              <w:rPr>
                <w:rFonts w:hint="eastAsia" w:cs="Times New Roman"/>
                <w:b/>
                <w:bCs/>
                <w:color w:val="auto"/>
                <w:highlight w:val="none"/>
                <w:lang w:val="en-US" w:eastAsia="zh-CN"/>
              </w:rPr>
              <w:t>2</w:t>
            </w:r>
            <w:r>
              <w:rPr>
                <w:rFonts w:hint="default" w:ascii="Times New Roman" w:hAnsi="Times New Roman" w:cs="Times New Roman"/>
                <w:b/>
                <w:bCs/>
                <w:color w:val="auto"/>
                <w:highlight w:val="none"/>
              </w:rPr>
              <w:t>、《2020年挥发性有机物治理攻坚方案》符合性分析</w:t>
            </w:r>
          </w:p>
          <w:p w14:paraId="7CD8A9F4">
            <w:pPr>
              <w:pStyle w:val="375"/>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根据生态环境部2020年6月24日发布《2020年挥发性有机物治理攻坚方案》，对照本项目，相符性分析如下表：</w:t>
            </w:r>
          </w:p>
          <w:p w14:paraId="1866A92B">
            <w:pPr>
              <w:keepNext w:val="0"/>
              <w:keepLines w:val="0"/>
              <w:widowControl/>
              <w:suppressLineNumbers w:val="0"/>
              <w:adjustRightInd w:val="0"/>
              <w:spacing w:before="0" w:beforeAutospacing="0" w:after="0" w:afterAutospacing="0"/>
              <w:ind w:left="0" w:right="0"/>
              <w:jc w:val="center"/>
              <w:rPr>
                <w:rFonts w:hint="default" w:ascii="Times New Roman" w:hAnsi="Times New Roman" w:cs="Times New Roman"/>
                <w:b/>
                <w:color w:val="auto"/>
                <w:kern w:val="0"/>
                <w:sz w:val="24"/>
                <w:szCs w:val="20"/>
                <w:highlight w:val="none"/>
              </w:rPr>
            </w:pPr>
            <w:r>
              <w:rPr>
                <w:rFonts w:hint="default" w:ascii="Times New Roman" w:hAnsi="Times New Roman" w:cs="Times New Roman"/>
                <w:b/>
                <w:color w:val="auto"/>
                <w:kern w:val="0"/>
                <w:sz w:val="24"/>
                <w:szCs w:val="20"/>
                <w:highlight w:val="none"/>
              </w:rPr>
              <w:t>表1-1</w:t>
            </w:r>
            <w:r>
              <w:rPr>
                <w:rFonts w:hint="eastAsia" w:cs="Times New Roman"/>
                <w:b/>
                <w:color w:val="auto"/>
                <w:kern w:val="0"/>
                <w:sz w:val="24"/>
                <w:szCs w:val="20"/>
                <w:highlight w:val="none"/>
                <w:lang w:val="en-US" w:eastAsia="zh-CN"/>
              </w:rPr>
              <w:t>2</w:t>
            </w:r>
            <w:r>
              <w:rPr>
                <w:rFonts w:hint="default" w:ascii="Times New Roman" w:hAnsi="Times New Roman" w:cs="Times New Roman"/>
                <w:b/>
                <w:color w:val="auto"/>
                <w:kern w:val="0"/>
                <w:sz w:val="24"/>
                <w:szCs w:val="20"/>
                <w:highlight w:val="none"/>
              </w:rPr>
              <w:t xml:space="preserve">  与《2020年挥发性有机物治理攻坚方案》符合性分析</w:t>
            </w:r>
          </w:p>
          <w:tbl>
            <w:tblPr>
              <w:tblStyle w:val="61"/>
              <w:tblW w:w="7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4"/>
              <w:gridCol w:w="2611"/>
              <w:gridCol w:w="649"/>
            </w:tblGrid>
            <w:tr w14:paraId="3725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874" w:type="dxa"/>
                  <w:vAlign w:val="center"/>
                </w:tcPr>
                <w:p w14:paraId="5AD8B83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文件要求</w:t>
                  </w:r>
                </w:p>
              </w:tc>
              <w:tc>
                <w:tcPr>
                  <w:tcW w:w="2611" w:type="dxa"/>
                  <w:vAlign w:val="center"/>
                </w:tcPr>
                <w:p w14:paraId="007622A0">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相符性</w:t>
                  </w:r>
                </w:p>
              </w:tc>
              <w:tc>
                <w:tcPr>
                  <w:tcW w:w="649" w:type="dxa"/>
                  <w:vAlign w:val="center"/>
                </w:tcPr>
                <w:p w14:paraId="7A53F225">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符合性</w:t>
                  </w:r>
                </w:p>
              </w:tc>
            </w:tr>
            <w:tr w14:paraId="10BE6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74" w:type="dxa"/>
                  <w:vAlign w:val="center"/>
                </w:tcPr>
                <w:p w14:paraId="02EF73CA">
                  <w:pPr>
                    <w:keepNext w:val="0"/>
                    <w:keepLines w:val="0"/>
                    <w:suppressLineNumbers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2611" w:type="dxa"/>
                  <w:vAlign w:val="center"/>
                </w:tcPr>
                <w:p w14:paraId="3B6EE9D6">
                  <w:pPr>
                    <w:keepNext w:val="0"/>
                    <w:keepLines w:val="0"/>
                    <w:suppressLineNumbers w:val="0"/>
                    <w:adjustRightInd w:val="0"/>
                    <w:spacing w:before="0" w:beforeAutospacing="0" w:after="0" w:afterAutospacing="0"/>
                    <w:ind w:left="-42" w:leftChars="-20" w:right="-42" w:rightChars="-20"/>
                    <w:rPr>
                      <w:rFonts w:hint="default" w:ascii="Times New Roman" w:hAnsi="Times New Roman" w:cs="Times New Roman"/>
                      <w:color w:val="auto"/>
                      <w:szCs w:val="21"/>
                      <w:highlight w:val="none"/>
                    </w:rPr>
                  </w:pPr>
                </w:p>
                <w:p w14:paraId="5C032DCB">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企业应按要求建立原辅材料台账。</w:t>
                  </w:r>
                  <w:r>
                    <w:rPr>
                      <w:rFonts w:hint="default" w:ascii="Times New Roman" w:hAnsi="Times New Roman" w:cs="Times New Roman"/>
                      <w:color w:val="auto"/>
                      <w:szCs w:val="21"/>
                      <w:highlight w:val="none"/>
                      <w:lang w:val="en-US" w:eastAsia="zh-CN"/>
                    </w:rPr>
                    <w:t>本项目使用的水性底漆满足《低挥发性有机化合物含量涂料产品技术要求》（GB/T38597-2020）表1规定的车辆涂料-汽车原厂涂料〔客车（机动车）〕VOCs含量限值要求（VOCs含量≤250g/L）、工程机械和农业机械涂料（含零部件涂料）VOCs含量限值要求（VOCs含量≤250g/L）；同时满足《车辆涂料中有害物质限量GB24409-2020》表1规定的水性涂料中VOC含量的限量值要求-汽车原厂涂料〔客车（机动车）〕-其他底漆VOCs含量限值要求（VOCs含量≤420g/L）、《工业防护涂料中有害物质限量》（GB 30981-2020）表1规定的机械设备涂料-工程机械和农业机械涂料（含零部件涂料）中底漆VOCs含量限值要求（VOCs含量≤300g/L）；塑粉属于低挥发性有机化合物含量涂料产品，因此符合《低挥发性有机化合物含量涂料产品技术要求》（GB/T 38597-2020）的要求</w:t>
                  </w:r>
                  <w:r>
                    <w:rPr>
                      <w:rFonts w:hint="default" w:ascii="Times New Roman" w:hAnsi="Times New Roman" w:cs="Times New Roman"/>
                      <w:color w:val="auto"/>
                      <w:szCs w:val="21"/>
                      <w:highlight w:val="none"/>
                    </w:rPr>
                    <w:t>。</w:t>
                  </w:r>
                </w:p>
              </w:tc>
              <w:tc>
                <w:tcPr>
                  <w:tcW w:w="649" w:type="dxa"/>
                  <w:vAlign w:val="center"/>
                </w:tcPr>
                <w:p w14:paraId="454A6C0C">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7D61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74" w:type="dxa"/>
                  <w:vAlign w:val="center"/>
                </w:tcPr>
                <w:p w14:paraId="699AF123">
                  <w:pPr>
                    <w:keepNext w:val="0"/>
                    <w:keepLines w:val="0"/>
                    <w:suppressLineNumbers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储存环节应采用密闭容器、包装袋，高效密封储罐，封闭式储库、料仓等。装卸、转移和输送环节应采用密闭管道或密闭容器、罐车等。生产和使用环节应采用密闭设备，或在密闭空间中操作并有效收集废气，或进行局部气体收集。处置环节应将盛装过VOCs物料的包装容器、含VOCs废料（渣、液）、废吸附剂等通过加盖、封装等方式密闭，妥善存放，不得随意丢弃。</w:t>
                  </w:r>
                </w:p>
              </w:tc>
              <w:tc>
                <w:tcPr>
                  <w:tcW w:w="2611" w:type="dxa"/>
                  <w:vMerge w:val="restart"/>
                  <w:vAlign w:val="center"/>
                </w:tcPr>
                <w:p w14:paraId="3DAA51B0">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本项目喷漆烘干、喷粉固化工序废气收集后+两级活性炭装置处理后一并通过一根15m高的排气筒（DA002）排放；调漆、喷漆、喷枪清洗工序废气收集后+两级活性炭装置处理后一并通过一根15m高的排气筒（DA004）排放</w:t>
                  </w:r>
                  <w:r>
                    <w:rPr>
                      <w:rFonts w:hint="default" w:ascii="Times New Roman" w:hAnsi="Times New Roman" w:cs="Times New Roman"/>
                      <w:color w:val="auto"/>
                      <w:szCs w:val="21"/>
                      <w:highlight w:val="none"/>
                    </w:rPr>
                    <w:t>。</w:t>
                  </w:r>
                </w:p>
              </w:tc>
              <w:tc>
                <w:tcPr>
                  <w:tcW w:w="649" w:type="dxa"/>
                  <w:vAlign w:val="center"/>
                </w:tcPr>
                <w:p w14:paraId="467577CE">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2F670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3874" w:type="dxa"/>
                  <w:vAlign w:val="center"/>
                </w:tcPr>
                <w:p w14:paraId="62123C60">
                  <w:pPr>
                    <w:keepNext w:val="0"/>
                    <w:keepLines w:val="0"/>
                    <w:suppressLineNumbers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对现有VOCs废气收集率、治理设施同步运行率和去除率开展自查，重点关注单一采用光氧化、光催化、低温等离子、一次性活性炭吸附、喷淋吸收等工艺的治理设施。对达不到要求的VOCs收集、治理设施进行更换或升级改造，确保实现达标排放。除恶臭异味治理外，一般不采用低温等离子、光催化、光氧化等技术。</w:t>
                  </w:r>
                </w:p>
              </w:tc>
              <w:tc>
                <w:tcPr>
                  <w:tcW w:w="2611" w:type="dxa"/>
                  <w:vMerge w:val="continue"/>
                  <w:vAlign w:val="center"/>
                </w:tcPr>
                <w:p w14:paraId="107DE285">
                  <w:pPr>
                    <w:keepNext w:val="0"/>
                    <w:keepLines w:val="0"/>
                    <w:suppressLineNumbers w:val="0"/>
                    <w:adjustRightInd w:val="0"/>
                    <w:spacing w:before="0" w:beforeAutospacing="0" w:after="0" w:afterAutospacing="0"/>
                    <w:ind w:left="-42" w:leftChars="-20" w:right="-42" w:rightChars="-20"/>
                    <w:rPr>
                      <w:rFonts w:hint="default" w:ascii="Times New Roman" w:hAnsi="Times New Roman" w:cs="Times New Roman"/>
                      <w:color w:val="auto"/>
                      <w:szCs w:val="21"/>
                      <w:highlight w:val="none"/>
                    </w:rPr>
                  </w:pPr>
                </w:p>
              </w:tc>
              <w:tc>
                <w:tcPr>
                  <w:tcW w:w="649" w:type="dxa"/>
                  <w:vAlign w:val="center"/>
                </w:tcPr>
                <w:p w14:paraId="11E2B02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bl>
          <w:p w14:paraId="225F2BD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bCs/>
                <w:color w:val="auto"/>
                <w:sz w:val="24"/>
                <w:highlight w:val="none"/>
              </w:rPr>
            </w:pPr>
            <w:r>
              <w:rPr>
                <w:rFonts w:hint="default" w:ascii="Times New Roman" w:hAnsi="Times New Roman" w:cs="Times New Roman"/>
                <w:color w:val="auto"/>
                <w:kern w:val="0"/>
                <w:sz w:val="24"/>
                <w:highlight w:val="none"/>
              </w:rPr>
              <w:t>综上分析，本项目建设符合</w:t>
            </w:r>
            <w:r>
              <w:rPr>
                <w:rFonts w:hint="default" w:ascii="Times New Roman" w:hAnsi="Times New Roman" w:cs="Times New Roman"/>
                <w:color w:val="auto"/>
                <w:sz w:val="24"/>
                <w:highlight w:val="none"/>
              </w:rPr>
              <w:t>《2020年挥发性有机物治理攻坚方案》</w:t>
            </w:r>
            <w:r>
              <w:rPr>
                <w:rFonts w:hint="default" w:ascii="Times New Roman" w:hAnsi="Times New Roman" w:cs="Times New Roman"/>
                <w:color w:val="auto"/>
                <w:kern w:val="0"/>
                <w:sz w:val="24"/>
                <w:highlight w:val="none"/>
              </w:rPr>
              <w:t>中相关要求。</w:t>
            </w:r>
          </w:p>
          <w:p w14:paraId="16F29143">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1</w:t>
            </w:r>
            <w:r>
              <w:rPr>
                <w:rFonts w:hint="eastAsia" w:cs="Times New Roman"/>
                <w:b/>
                <w:bCs/>
                <w:color w:val="auto"/>
                <w:sz w:val="24"/>
                <w:highlight w:val="none"/>
                <w:lang w:val="en-US" w:eastAsia="zh-CN"/>
              </w:rPr>
              <w:t>3</w:t>
            </w:r>
            <w:r>
              <w:rPr>
                <w:rFonts w:hint="default" w:ascii="Times New Roman" w:hAnsi="Times New Roman" w:cs="Times New Roman"/>
                <w:b/>
                <w:bCs/>
                <w:color w:val="auto"/>
                <w:sz w:val="24"/>
                <w:highlight w:val="none"/>
              </w:rPr>
              <w:t>、与《挥发性有机物无组织排放控制标准》（GB37822-2019）相符性分析</w:t>
            </w:r>
          </w:p>
          <w:p w14:paraId="68E3D3CB">
            <w:pPr>
              <w:pStyle w:val="5"/>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表1-1</w:t>
            </w:r>
            <w:r>
              <w:rPr>
                <w:rFonts w:hint="eastAsia" w:ascii="Times New Roman" w:hAnsi="Times New Roman" w:eastAsia="宋体" w:cs="Times New Roman"/>
                <w:color w:val="auto"/>
                <w:kern w:val="0"/>
                <w:sz w:val="24"/>
                <w:highlight w:val="none"/>
                <w:lang w:val="en-US" w:eastAsia="zh-CN"/>
              </w:rPr>
              <w:t xml:space="preserve">3 </w:t>
            </w:r>
            <w:r>
              <w:rPr>
                <w:rFonts w:hint="default" w:ascii="Times New Roman" w:hAnsi="Times New Roman" w:eastAsia="宋体" w:cs="Times New Roman"/>
                <w:color w:val="auto"/>
                <w:kern w:val="0"/>
                <w:sz w:val="24"/>
                <w:highlight w:val="none"/>
              </w:rPr>
              <w:t xml:space="preserve"> 《挥发性有机物无组织排放控制标准》相符性分析</w:t>
            </w:r>
          </w:p>
          <w:tbl>
            <w:tblPr>
              <w:tblStyle w:val="61"/>
              <w:tblW w:w="7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6"/>
              <w:gridCol w:w="2244"/>
              <w:gridCol w:w="1035"/>
            </w:tblGrid>
            <w:tr w14:paraId="2FA43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26E0A389">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文件内容</w:t>
                  </w:r>
                </w:p>
              </w:tc>
              <w:tc>
                <w:tcPr>
                  <w:tcW w:w="2244" w:type="dxa"/>
                  <w:vAlign w:val="center"/>
                </w:tcPr>
                <w:p w14:paraId="7912C427">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本项目建设情况</w:t>
                  </w:r>
                </w:p>
              </w:tc>
              <w:tc>
                <w:tcPr>
                  <w:tcW w:w="1035" w:type="dxa"/>
                  <w:vAlign w:val="center"/>
                </w:tcPr>
                <w:p w14:paraId="19E70656">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相符性</w:t>
                  </w:r>
                </w:p>
              </w:tc>
            </w:tr>
            <w:tr w14:paraId="509E5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0DD0DE3C">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1、VOCs 物料应储存于密闭的容器、包装袋、储罐、储库、料仓中。</w:t>
                  </w:r>
                </w:p>
                <w:p w14:paraId="4814C571">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2、盛装VOCs 物料的容器或包装袋应存放于室内，或存放于设置有雨棚、遮阳和防渗设施的专用场地。盛装VOCs 物料的容器或包装袋在非取用状态时应加盖、封口，保持密闭。</w:t>
                  </w:r>
                </w:p>
              </w:tc>
              <w:tc>
                <w:tcPr>
                  <w:tcW w:w="2244" w:type="dxa"/>
                  <w:vAlign w:val="center"/>
                </w:tcPr>
                <w:p w14:paraId="4748DB0C">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本项目</w:t>
                  </w:r>
                  <w:r>
                    <w:rPr>
                      <w:rFonts w:hint="default" w:ascii="Times New Roman" w:hAnsi="Times New Roman" w:cs="Times New Roman"/>
                      <w:bCs/>
                      <w:color w:val="auto"/>
                      <w:szCs w:val="21"/>
                      <w:highlight w:val="none"/>
                    </w:rPr>
                    <w:t>使用的</w:t>
                  </w:r>
                  <w:r>
                    <w:rPr>
                      <w:rFonts w:hint="eastAsia" w:ascii="Times New Roman" w:hAnsi="Times New Roman" w:eastAsia="宋体" w:cs="Times New Roman"/>
                      <w:color w:val="auto"/>
                      <w:sz w:val="21"/>
                      <w:szCs w:val="21"/>
                      <w:lang w:val="en-US" w:eastAsia="zh-CN"/>
                    </w:rPr>
                    <w:t>切削液</w:t>
                  </w:r>
                  <w:r>
                    <w:rPr>
                      <w:rFonts w:hint="default" w:ascii="Times New Roman" w:hAnsi="Times New Roman" w:cs="Times New Roman"/>
                      <w:color w:val="auto"/>
                      <w:kern w:val="0"/>
                      <w:szCs w:val="21"/>
                      <w:highlight w:val="none"/>
                    </w:rPr>
                    <w:t>、</w:t>
                  </w:r>
                  <w:r>
                    <w:rPr>
                      <w:rFonts w:hint="eastAsia" w:cs="Times New Roman"/>
                      <w:color w:val="auto"/>
                      <w:sz w:val="21"/>
                      <w:szCs w:val="21"/>
                      <w:lang w:val="en-US" w:eastAsia="zh-CN"/>
                    </w:rPr>
                    <w:t>水性光亮剂</w:t>
                  </w:r>
                  <w:r>
                    <w:rPr>
                      <w:rFonts w:hint="default" w:ascii="Times New Roman" w:hAnsi="Times New Roman" w:cs="Times New Roman"/>
                      <w:color w:val="auto"/>
                      <w:kern w:val="0"/>
                      <w:szCs w:val="21"/>
                      <w:highlight w:val="none"/>
                    </w:rPr>
                    <w:t>、</w:t>
                  </w:r>
                  <w:r>
                    <w:rPr>
                      <w:rFonts w:hint="eastAsia" w:ascii="Times New Roman" w:hAnsi="Times New Roman" w:eastAsia="宋体" w:cs="Times New Roman"/>
                      <w:color w:val="auto"/>
                      <w:sz w:val="21"/>
                      <w:szCs w:val="21"/>
                      <w:lang w:val="en-US" w:eastAsia="zh-CN"/>
                    </w:rPr>
                    <w:t>中性脱脂剂</w:t>
                  </w:r>
                  <w:r>
                    <w:rPr>
                      <w:rFonts w:hint="default" w:ascii="Times New Roman" w:hAnsi="Times New Roman" w:cs="Times New Roman"/>
                      <w:color w:val="auto"/>
                      <w:kern w:val="0"/>
                      <w:szCs w:val="21"/>
                      <w:highlight w:val="none"/>
                    </w:rPr>
                    <w:t>、</w:t>
                  </w:r>
                  <w:r>
                    <w:rPr>
                      <w:rFonts w:hint="eastAsia" w:ascii="Times New Roman" w:hAnsi="Times New Roman" w:eastAsia="宋体" w:cs="Times New Roman"/>
                      <w:color w:val="auto"/>
                      <w:sz w:val="21"/>
                      <w:szCs w:val="21"/>
                      <w:lang w:val="en-US" w:eastAsia="zh-CN"/>
                    </w:rPr>
                    <w:t>硅烷处理剂</w:t>
                  </w:r>
                  <w:r>
                    <w:rPr>
                      <w:rFonts w:hint="default" w:ascii="Times New Roman" w:hAnsi="Times New Roman" w:cs="Times New Roman"/>
                      <w:color w:val="auto"/>
                      <w:kern w:val="0"/>
                      <w:szCs w:val="21"/>
                      <w:highlight w:val="none"/>
                    </w:rPr>
                    <w:t>、</w:t>
                  </w:r>
                  <w:r>
                    <w:rPr>
                      <w:rFonts w:hint="eastAsia" w:ascii="Times New Roman" w:hAnsi="Times New Roman" w:eastAsia="宋体" w:cs="Times New Roman"/>
                      <w:color w:val="auto"/>
                      <w:sz w:val="21"/>
                      <w:szCs w:val="21"/>
                      <w:lang w:val="en-US" w:eastAsia="zh-CN"/>
                    </w:rPr>
                    <w:t>水性</w:t>
                  </w:r>
                  <w:r>
                    <w:rPr>
                      <w:rFonts w:hint="eastAsia" w:cs="Times New Roman"/>
                      <w:color w:val="auto"/>
                      <w:sz w:val="21"/>
                      <w:szCs w:val="21"/>
                      <w:lang w:val="en-US" w:eastAsia="zh-CN"/>
                    </w:rPr>
                    <w:t>底</w:t>
                  </w:r>
                  <w:r>
                    <w:rPr>
                      <w:rFonts w:hint="eastAsia" w:ascii="Times New Roman" w:hAnsi="Times New Roman" w:eastAsia="宋体" w:cs="Times New Roman"/>
                      <w:color w:val="auto"/>
                      <w:sz w:val="21"/>
                      <w:szCs w:val="21"/>
                      <w:lang w:val="en-US" w:eastAsia="zh-CN"/>
                    </w:rPr>
                    <w:t>漆</w:t>
                  </w:r>
                  <w:r>
                    <w:rPr>
                      <w:rFonts w:hint="default" w:ascii="Times New Roman" w:hAnsi="Times New Roman" w:cs="Times New Roman"/>
                      <w:bCs/>
                      <w:color w:val="auto"/>
                      <w:szCs w:val="21"/>
                      <w:highlight w:val="none"/>
                    </w:rPr>
                    <w:t>等化学品均</w:t>
                  </w:r>
                  <w:r>
                    <w:rPr>
                      <w:rFonts w:hint="default" w:ascii="Times New Roman" w:hAnsi="Times New Roman" w:cs="Times New Roman"/>
                      <w:color w:val="auto"/>
                      <w:kern w:val="0"/>
                      <w:szCs w:val="21"/>
                      <w:highlight w:val="none"/>
                    </w:rPr>
                    <w:t>储存于密封的包装桶、瓶中，在非取用状态时封口，保持密闭。</w:t>
                  </w:r>
                </w:p>
              </w:tc>
              <w:tc>
                <w:tcPr>
                  <w:tcW w:w="1035" w:type="dxa"/>
                  <w:vAlign w:val="center"/>
                </w:tcPr>
                <w:p w14:paraId="45EC61D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符合</w:t>
                  </w:r>
                </w:p>
              </w:tc>
            </w:tr>
            <w:tr w14:paraId="279D7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497C32E4">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highlight w:val="none"/>
                      <w:shd w:val="clear" w:color="auto" w:fill="FFFFFF"/>
                    </w:rPr>
                  </w:pPr>
                  <w:r>
                    <w:rPr>
                      <w:rFonts w:hint="default" w:ascii="Times New Roman" w:hAnsi="Times New Roman" w:cs="Times New Roman"/>
                      <w:color w:val="auto"/>
                      <w:szCs w:val="21"/>
                      <w:highlight w:val="none"/>
                      <w:shd w:val="clear" w:color="auto" w:fill="FFFFFF"/>
                    </w:rPr>
                    <w:t>1、液态VOCs 物料应采用密闭管道输送。采用非管道输送方式转移液态VOCs 物料时，应采用密闭容器、罐车。</w:t>
                  </w:r>
                </w:p>
                <w:p w14:paraId="35BF429A">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highlight w:val="none"/>
                      <w:shd w:val="clear" w:color="auto" w:fill="FFFFFF"/>
                    </w:rPr>
                  </w:pPr>
                  <w:r>
                    <w:rPr>
                      <w:rFonts w:hint="default" w:ascii="Times New Roman" w:hAnsi="Times New Roman" w:cs="Times New Roman"/>
                      <w:color w:val="auto"/>
                      <w:szCs w:val="21"/>
                      <w:highlight w:val="none"/>
                      <w:shd w:val="clear" w:color="auto" w:fill="FFFFFF"/>
                    </w:rPr>
                    <w:t>2、粉状、粒状VOCs 物料应采用气力输送设备、管状带式输送机、螺旋输送机等密闭输送方式，或者采用密闭的包装袋、容器或罐车进行物料转移。</w:t>
                  </w:r>
                </w:p>
              </w:tc>
              <w:tc>
                <w:tcPr>
                  <w:tcW w:w="2244" w:type="dxa"/>
                  <w:vAlign w:val="center"/>
                </w:tcPr>
                <w:p w14:paraId="63EA2BC9">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highlight w:val="none"/>
                      <w:shd w:val="clear" w:color="auto" w:fill="FFFFFF"/>
                    </w:rPr>
                  </w:pPr>
                  <w:r>
                    <w:rPr>
                      <w:rFonts w:hint="default" w:ascii="Times New Roman" w:hAnsi="Times New Roman" w:cs="Times New Roman"/>
                      <w:color w:val="auto"/>
                      <w:szCs w:val="21"/>
                      <w:highlight w:val="none"/>
                      <w:shd w:val="clear" w:color="auto" w:fill="FFFFFF"/>
                    </w:rPr>
                    <w:t>本项目</w:t>
                  </w:r>
                  <w:r>
                    <w:rPr>
                      <w:rFonts w:hint="default" w:ascii="Times New Roman" w:hAnsi="Times New Roman" w:cs="Times New Roman"/>
                      <w:bCs/>
                      <w:color w:val="auto"/>
                      <w:szCs w:val="21"/>
                      <w:highlight w:val="none"/>
                    </w:rPr>
                    <w:t>使用的</w:t>
                  </w:r>
                  <w:r>
                    <w:rPr>
                      <w:rFonts w:hint="eastAsia" w:ascii="Times New Roman" w:hAnsi="Times New Roman" w:eastAsia="宋体" w:cs="Times New Roman"/>
                      <w:color w:val="auto"/>
                      <w:sz w:val="21"/>
                      <w:szCs w:val="21"/>
                      <w:lang w:val="en-US" w:eastAsia="zh-CN"/>
                    </w:rPr>
                    <w:t>切削液</w:t>
                  </w:r>
                  <w:r>
                    <w:rPr>
                      <w:rFonts w:hint="default" w:ascii="Times New Roman" w:hAnsi="Times New Roman" w:cs="Times New Roman"/>
                      <w:color w:val="auto"/>
                      <w:kern w:val="0"/>
                      <w:szCs w:val="21"/>
                      <w:highlight w:val="none"/>
                    </w:rPr>
                    <w:t>、</w:t>
                  </w:r>
                  <w:r>
                    <w:rPr>
                      <w:rFonts w:hint="eastAsia" w:cs="Times New Roman"/>
                      <w:color w:val="auto"/>
                      <w:sz w:val="21"/>
                      <w:szCs w:val="21"/>
                      <w:lang w:val="en-US" w:eastAsia="zh-CN"/>
                    </w:rPr>
                    <w:t>水性光亮剂</w:t>
                  </w:r>
                  <w:r>
                    <w:rPr>
                      <w:rFonts w:hint="default" w:ascii="Times New Roman" w:hAnsi="Times New Roman" w:cs="Times New Roman"/>
                      <w:color w:val="auto"/>
                      <w:kern w:val="0"/>
                      <w:szCs w:val="21"/>
                      <w:highlight w:val="none"/>
                    </w:rPr>
                    <w:t>、</w:t>
                  </w:r>
                  <w:r>
                    <w:rPr>
                      <w:rFonts w:hint="eastAsia" w:ascii="Times New Roman" w:hAnsi="Times New Roman" w:eastAsia="宋体" w:cs="Times New Roman"/>
                      <w:color w:val="auto"/>
                      <w:sz w:val="21"/>
                      <w:szCs w:val="21"/>
                      <w:lang w:val="en-US" w:eastAsia="zh-CN"/>
                    </w:rPr>
                    <w:t>中性脱脂剂</w:t>
                  </w:r>
                  <w:r>
                    <w:rPr>
                      <w:rFonts w:hint="default" w:ascii="Times New Roman" w:hAnsi="Times New Roman" w:cs="Times New Roman"/>
                      <w:color w:val="auto"/>
                      <w:kern w:val="0"/>
                      <w:szCs w:val="21"/>
                      <w:highlight w:val="none"/>
                    </w:rPr>
                    <w:t>、</w:t>
                  </w:r>
                  <w:r>
                    <w:rPr>
                      <w:rFonts w:hint="eastAsia" w:ascii="Times New Roman" w:hAnsi="Times New Roman" w:eastAsia="宋体" w:cs="Times New Roman"/>
                      <w:color w:val="auto"/>
                      <w:sz w:val="21"/>
                      <w:szCs w:val="21"/>
                      <w:lang w:val="en-US" w:eastAsia="zh-CN"/>
                    </w:rPr>
                    <w:t>硅烷处理剂</w:t>
                  </w:r>
                  <w:r>
                    <w:rPr>
                      <w:rFonts w:hint="default" w:ascii="Times New Roman" w:hAnsi="Times New Roman" w:cs="Times New Roman"/>
                      <w:color w:val="auto"/>
                      <w:kern w:val="0"/>
                      <w:szCs w:val="21"/>
                      <w:highlight w:val="none"/>
                    </w:rPr>
                    <w:t>、</w:t>
                  </w:r>
                  <w:r>
                    <w:rPr>
                      <w:rFonts w:hint="eastAsia" w:ascii="Times New Roman" w:hAnsi="Times New Roman" w:eastAsia="宋体" w:cs="Times New Roman"/>
                      <w:color w:val="auto"/>
                      <w:sz w:val="21"/>
                      <w:szCs w:val="21"/>
                      <w:lang w:val="en-US" w:eastAsia="zh-CN"/>
                    </w:rPr>
                    <w:t>水性</w:t>
                  </w:r>
                  <w:r>
                    <w:rPr>
                      <w:rFonts w:hint="eastAsia" w:cs="Times New Roman"/>
                      <w:color w:val="auto"/>
                      <w:sz w:val="21"/>
                      <w:szCs w:val="21"/>
                      <w:lang w:val="en-US" w:eastAsia="zh-CN"/>
                    </w:rPr>
                    <w:t>底</w:t>
                  </w:r>
                  <w:r>
                    <w:rPr>
                      <w:rFonts w:hint="eastAsia" w:ascii="Times New Roman" w:hAnsi="Times New Roman" w:eastAsia="宋体" w:cs="Times New Roman"/>
                      <w:color w:val="auto"/>
                      <w:sz w:val="21"/>
                      <w:szCs w:val="21"/>
                      <w:lang w:val="en-US" w:eastAsia="zh-CN"/>
                    </w:rPr>
                    <w:t>漆</w:t>
                  </w:r>
                  <w:r>
                    <w:rPr>
                      <w:rFonts w:hint="default" w:ascii="Times New Roman" w:hAnsi="Times New Roman" w:cs="Times New Roman"/>
                      <w:bCs/>
                      <w:color w:val="auto"/>
                      <w:szCs w:val="21"/>
                      <w:highlight w:val="none"/>
                    </w:rPr>
                    <w:t>等化学品均</w:t>
                  </w:r>
                  <w:r>
                    <w:rPr>
                      <w:rFonts w:hint="default" w:ascii="Times New Roman" w:hAnsi="Times New Roman" w:cs="Times New Roman"/>
                      <w:color w:val="auto"/>
                      <w:szCs w:val="21"/>
                      <w:highlight w:val="none"/>
                      <w:shd w:val="clear" w:color="auto" w:fill="FFFFFF"/>
                    </w:rPr>
                    <w:t>采用密闭桶装进行物料转移。</w:t>
                  </w:r>
                </w:p>
              </w:tc>
              <w:tc>
                <w:tcPr>
                  <w:tcW w:w="1035" w:type="dxa"/>
                  <w:vAlign w:val="center"/>
                </w:tcPr>
                <w:p w14:paraId="619675A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符合</w:t>
                  </w:r>
                </w:p>
              </w:tc>
            </w:tr>
            <w:tr w14:paraId="06F21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01C9FD97">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highlight w:val="none"/>
                      <w:shd w:val="clear" w:color="auto" w:fill="FFFFFF"/>
                    </w:rPr>
                  </w:pPr>
                  <w:r>
                    <w:rPr>
                      <w:rFonts w:hint="default" w:ascii="Times New Roman" w:hAnsi="Times New Roman" w:cs="Times New Roman"/>
                      <w:color w:val="auto"/>
                      <w:szCs w:val="21"/>
                      <w:highlight w:val="none"/>
                      <w:shd w:val="clear" w:color="auto" w:fill="FFFFFF"/>
                    </w:rPr>
                    <w:t>1、液态VOCs 物料应采用密闭管道输送方式或采用高位槽（罐）、桶泵等给料方式密闭投加。无法密闭投加的，应在密闭空间内操作，或进行局部气体收集，废气应排至VOCs 废气收集处理系统。</w:t>
                  </w:r>
                </w:p>
                <w:p w14:paraId="706881D9">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highlight w:val="none"/>
                      <w:shd w:val="clear" w:color="auto" w:fill="FFFFFF"/>
                    </w:rPr>
                  </w:pPr>
                  <w:r>
                    <w:rPr>
                      <w:rFonts w:hint="default" w:ascii="Times New Roman" w:hAnsi="Times New Roman" w:cs="Times New Roman"/>
                      <w:color w:val="auto"/>
                      <w:szCs w:val="21"/>
                      <w:highlight w:val="none"/>
                      <w:shd w:val="clear" w:color="auto" w:fill="FFFFFF"/>
                    </w:rPr>
                    <w:t>2、粉状、粒状VOCs 物料应采用气力输送方式或采用密闭固体投料器等给料方式密闭投加。无法密闭投加的，应在密闭空间内操作，或进行局部气体收集，废气应排至除尘设施、VOCs 废气收集处理系统。</w:t>
                  </w:r>
                </w:p>
              </w:tc>
              <w:tc>
                <w:tcPr>
                  <w:tcW w:w="2244" w:type="dxa"/>
                  <w:vAlign w:val="center"/>
                </w:tcPr>
                <w:p w14:paraId="7E74B788">
                  <w:pPr>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shd w:val="clear" w:color="auto" w:fill="FFFFFF"/>
                    </w:rPr>
                    <w:t>本项目产生的有机废气通过两级活性炭吸附装置处理后达标排放。</w:t>
                  </w:r>
                </w:p>
              </w:tc>
              <w:tc>
                <w:tcPr>
                  <w:tcW w:w="1035" w:type="dxa"/>
                  <w:vAlign w:val="center"/>
                </w:tcPr>
                <w:p w14:paraId="62E2ECB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符合</w:t>
                  </w:r>
                </w:p>
              </w:tc>
            </w:tr>
          </w:tbl>
          <w:p w14:paraId="1CC91CF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综上所述，项目建设符合《挥发性有机物无组织排放控制标准》（GB37822-2019）的要求。</w:t>
            </w:r>
          </w:p>
          <w:p w14:paraId="597A1C4E">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1</w:t>
            </w:r>
            <w:r>
              <w:rPr>
                <w:rFonts w:hint="eastAsia" w:cs="Times New Roman"/>
                <w:b/>
                <w:bCs/>
                <w:color w:val="auto"/>
                <w:sz w:val="24"/>
                <w:highlight w:val="none"/>
                <w:lang w:val="en-US" w:eastAsia="zh-CN"/>
              </w:rPr>
              <w:t>4</w:t>
            </w:r>
            <w:r>
              <w:rPr>
                <w:rFonts w:hint="default" w:ascii="Times New Roman" w:hAnsi="Times New Roman" w:cs="Times New Roman"/>
                <w:b/>
                <w:bCs/>
                <w:color w:val="auto"/>
                <w:sz w:val="24"/>
                <w:highlight w:val="none"/>
              </w:rPr>
              <w:t>、与《安徽省低挥发性有机物含量原辅材料替代工作方案》（皖环发[2024]1号）的符合性</w:t>
            </w:r>
          </w:p>
          <w:p w14:paraId="4E9CE193">
            <w:pPr>
              <w:pStyle w:val="5"/>
              <w:suppressLineNumbers w:val="0"/>
              <w:spacing w:before="0" w:beforeAutospacing="0" w:after="0" w:afterAutospacing="0" w:line="240" w:lineRule="auto"/>
              <w:ind w:left="0" w:right="0" w:firstLine="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表1-1</w:t>
            </w:r>
            <w:r>
              <w:rPr>
                <w:rFonts w:hint="eastAsia" w:ascii="Times New Roman" w:hAnsi="Times New Roman" w:eastAsia="宋体" w:cs="Times New Roman"/>
                <w:color w:val="auto"/>
                <w:kern w:val="0"/>
                <w:sz w:val="24"/>
                <w:highlight w:val="none"/>
                <w:lang w:val="en-US" w:eastAsia="zh-CN"/>
              </w:rPr>
              <w:t>4</w:t>
            </w:r>
            <w:r>
              <w:rPr>
                <w:rFonts w:hint="default" w:ascii="Times New Roman" w:hAnsi="Times New Roman" w:eastAsia="宋体" w:cs="Times New Roman"/>
                <w:color w:val="auto"/>
                <w:kern w:val="0"/>
                <w:sz w:val="24"/>
                <w:highlight w:val="none"/>
              </w:rPr>
              <w:t xml:space="preserve">  与《安徽省低挥发性有机物含量原辅材料替代工作方案》符合性分析一览表</w:t>
            </w:r>
          </w:p>
          <w:tbl>
            <w:tblPr>
              <w:tblStyle w:val="61"/>
              <w:tblW w:w="7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02"/>
              <w:gridCol w:w="2180"/>
              <w:gridCol w:w="847"/>
            </w:tblGrid>
            <w:tr w14:paraId="482A5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102" w:type="dxa"/>
                  <w:vAlign w:val="center"/>
                </w:tcPr>
                <w:p w14:paraId="200D4576">
                  <w:pPr>
                    <w:pStyle w:val="189"/>
                    <w:keepNext w:val="0"/>
                    <w:keepLines w:val="0"/>
                    <w:suppressLineNumbers w:val="0"/>
                    <w:spacing w:before="0" w:beforeAutospacing="0" w:after="0" w:afterAutospacing="0" w:line="240" w:lineRule="auto"/>
                    <w:ind w:left="0" w:right="0" w:firstLine="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要求</w:t>
                  </w:r>
                </w:p>
              </w:tc>
              <w:tc>
                <w:tcPr>
                  <w:tcW w:w="2180" w:type="dxa"/>
                  <w:vAlign w:val="center"/>
                </w:tcPr>
                <w:p w14:paraId="70C92A35">
                  <w:pPr>
                    <w:pStyle w:val="189"/>
                    <w:keepNext w:val="0"/>
                    <w:keepLines w:val="0"/>
                    <w:suppressLineNumbers w:val="0"/>
                    <w:spacing w:before="0" w:beforeAutospacing="0" w:after="0" w:afterAutospacing="0" w:line="240" w:lineRule="auto"/>
                    <w:ind w:left="0" w:right="0" w:firstLine="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本项目</w:t>
                  </w:r>
                </w:p>
              </w:tc>
              <w:tc>
                <w:tcPr>
                  <w:tcW w:w="847" w:type="dxa"/>
                  <w:vAlign w:val="center"/>
                </w:tcPr>
                <w:p w14:paraId="03DF36ED">
                  <w:pPr>
                    <w:pStyle w:val="189"/>
                    <w:keepNext w:val="0"/>
                    <w:keepLines w:val="0"/>
                    <w:suppressLineNumbers w:val="0"/>
                    <w:spacing w:before="0" w:beforeAutospacing="0" w:after="0" w:afterAutospacing="0" w:line="240" w:lineRule="auto"/>
                    <w:ind w:left="0" w:right="0" w:firstLine="0"/>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符合性</w:t>
                  </w:r>
                </w:p>
              </w:tc>
            </w:tr>
            <w:tr w14:paraId="3B568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4102" w:type="dxa"/>
                  <w:vAlign w:val="center"/>
                </w:tcPr>
                <w:p w14:paraId="6D10F049">
                  <w:pPr>
                    <w:pStyle w:val="189"/>
                    <w:keepNext w:val="0"/>
                    <w:keepLines w:val="0"/>
                    <w:suppressLineNumbers w:val="0"/>
                    <w:spacing w:before="0" w:beforeAutospacing="0" w:after="0" w:afterAutospacing="0" w:line="240" w:lineRule="auto"/>
                    <w:ind w:left="0" w:right="0" w:firstLine="0"/>
                    <w:jc w:val="both"/>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加强替代管理。</w:t>
                  </w:r>
                  <w:r>
                    <w:rPr>
                      <w:rFonts w:hint="default" w:ascii="Times New Roman" w:hAnsi="Times New Roman" w:cs="Times New Roman"/>
                      <w:color w:val="auto"/>
                      <w:kern w:val="2"/>
                      <w:sz w:val="21"/>
                      <w:szCs w:val="21"/>
                      <w:highlight w:val="none"/>
                    </w:rPr>
                    <w:t>工业涂装、包装印刷、竹木加工、家具制造、汽车修理与维护、鞋和皮革制品制造等重点行业企业，要按照《低挥发性有机物含量原辅材料源头替代技术指引(试行)》(附件3)要求，开展低VOCs原辅材料和生产方式替代，优化管控台账及档案管理，持续提升环境管理水平。各地要根据《关于深入开展挥发性有机物污染治理工作的通知》(皖大气办[2021]4号)要求，在认真梳理2021至2023年度VOCs源头削减治理项目清单基础上，对涉VOCs重点行业和使用溶剂型涂料、油墨、胶粘剂、清洗剂以及涉及有机化工生产的产业集群进行再排查，将含VOCs原辅材料使用企业全面纳入源头替代企业排查台账(附件2)，对具备替代条件的，加强调度指导；对无法替代的，要开展论证核实，严格把关并逐一说明。</w:t>
                  </w:r>
                </w:p>
              </w:tc>
              <w:tc>
                <w:tcPr>
                  <w:tcW w:w="2180" w:type="dxa"/>
                  <w:vMerge w:val="restart"/>
                  <w:vAlign w:val="center"/>
                </w:tcPr>
                <w:p w14:paraId="721B5AAD">
                  <w:pPr>
                    <w:keepNext w:val="0"/>
                    <w:keepLines w:val="0"/>
                    <w:widowControl/>
                    <w:suppressLineNumbers w:val="0"/>
                    <w:adjustRightInd w:val="0"/>
                    <w:snapToGrid w:val="0"/>
                    <w:spacing w:before="0" w:beforeAutospacing="0" w:after="0" w:afterAutospacing="0"/>
                    <w:ind w:left="0" w:right="0"/>
                    <w:jc w:val="left"/>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szCs w:val="21"/>
                      <w:highlight w:val="none"/>
                    </w:rPr>
                    <w:t>本项目属于</w:t>
                  </w:r>
                  <w:r>
                    <w:rPr>
                      <w:rFonts w:hint="eastAsia" w:cs="Times New Roman"/>
                      <w:color w:val="auto"/>
                      <w:szCs w:val="21"/>
                      <w:highlight w:val="none"/>
                      <w:lang w:eastAsia="zh-CN"/>
                    </w:rPr>
                    <w:t>C3311金属结构制造</w:t>
                  </w:r>
                  <w:r>
                    <w:rPr>
                      <w:rFonts w:hint="default" w:ascii="Times New Roman" w:hAnsi="Times New Roman" w:cs="Times New Roman"/>
                      <w:color w:val="auto"/>
                      <w:szCs w:val="21"/>
                      <w:highlight w:val="none"/>
                      <w:lang w:eastAsia="zh-CN"/>
                    </w:rPr>
                    <w:t>、C3670汽车零部件及配件制造</w:t>
                  </w:r>
                  <w:r>
                    <w:rPr>
                      <w:rFonts w:hint="default" w:ascii="Times New Roman" w:hAnsi="Times New Roman" w:cs="Times New Roman"/>
                      <w:color w:val="auto"/>
                      <w:szCs w:val="21"/>
                      <w:highlight w:val="none"/>
                    </w:rPr>
                    <w:t>，</w:t>
                  </w:r>
                  <w:r>
                    <w:rPr>
                      <w:rFonts w:hint="default" w:ascii="Times New Roman" w:hAnsi="Times New Roman" w:cs="Times New Roman"/>
                      <w:color w:val="auto"/>
                      <w:sz w:val="21"/>
                      <w:szCs w:val="21"/>
                      <w:highlight w:val="none"/>
                      <w:lang w:val="en-US" w:eastAsia="zh-CN"/>
                    </w:rPr>
                    <w:t>本项目使用的水性底漆满足《低挥发性有机化合物含量涂料产品技术要求》（GB/T38597-2020）表1规定的车辆涂料-汽车原厂涂料〔客车（机动车）〕VOCs含量限值要求（VOCs含量≤250g/L）、工程机械和农业机械涂料（含零部件涂料）VOCs含量限值要求（VOCs含量≤250g/L）；同时满足《车辆涂料中有害物质限量GB24409-2020》表1规定的水性涂料中VOC含量的限量值要求-汽车原厂涂料〔客车（机动车）〕-其他底漆VOCs含量限值要求（VOCs含量≤420g/L）、《工业防护涂料中有害物质限量》（GB 30981-2020）表1规定的机械设备涂料-工程机械和农业机械涂料（含零部件涂料）中底漆VOCs含量限值要求（VOCs含量≤300g/L）；塑粉属于低挥发性有机化合物含量涂料产品，因此符合《低挥发性有机化合物含量涂料产品技术要求》（GB/T 38597-2020）的要求</w:t>
                  </w:r>
                </w:p>
              </w:tc>
              <w:tc>
                <w:tcPr>
                  <w:tcW w:w="847" w:type="dxa"/>
                  <w:vAlign w:val="center"/>
                </w:tcPr>
                <w:p w14:paraId="57D94464">
                  <w:pPr>
                    <w:pStyle w:val="189"/>
                    <w:keepNext w:val="0"/>
                    <w:keepLines w:val="0"/>
                    <w:suppressLineNumbers w:val="0"/>
                    <w:spacing w:before="0" w:beforeAutospacing="0" w:after="0" w:afterAutospacing="0" w:line="240" w:lineRule="auto"/>
                    <w:ind w:left="0" w:right="0" w:firstLine="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满足</w:t>
                  </w:r>
                </w:p>
              </w:tc>
            </w:tr>
            <w:tr w14:paraId="4BDE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4" w:hRule="atLeast"/>
              </w:trPr>
              <w:tc>
                <w:tcPr>
                  <w:tcW w:w="4102" w:type="dxa"/>
                  <w:vAlign w:val="center"/>
                </w:tcPr>
                <w:p w14:paraId="034033AD">
                  <w:pPr>
                    <w:pStyle w:val="189"/>
                    <w:keepNext w:val="0"/>
                    <w:keepLines w:val="0"/>
                    <w:suppressLineNumbers w:val="0"/>
                    <w:spacing w:before="0" w:beforeAutospacing="0" w:after="0" w:afterAutospacing="0" w:line="240" w:lineRule="auto"/>
                    <w:ind w:left="0" w:right="0" w:firstLine="0"/>
                    <w:jc w:val="both"/>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严格项目准入。根据《低挥发性有机化合物含量涂料产品技术要求》(GB/T 38597-2020)要求，进一步完善VOCs排放管控地方标准建设，细化相关行业涂料种类及各项污染物指标限值,编制实施固定源挥发性有机物综合排放标准和制鞋、汽修、木材等行业大气污染物排放标准。禁止建设生产和使用高VOCs含量的溶剂型涂料、油墨、胶黏剂等项目，全省工业涂装、包装印刷等重点行业和涂料、油墨等生产企业的新(改、扩)建项目需满足低(无)VOCs含量限值要求。省内市场上流通的水性涂料等低VOCs含量涂料产品，执行《低挥发性有机化合物含量涂料产品技术要求》，应在包装标志或产品说明上标明符合标准的分类、产品类别及产品类型(或施涂方式)。</w:t>
                  </w:r>
                </w:p>
              </w:tc>
              <w:tc>
                <w:tcPr>
                  <w:tcW w:w="2180" w:type="dxa"/>
                  <w:vMerge w:val="continue"/>
                  <w:vAlign w:val="center"/>
                </w:tcPr>
                <w:p w14:paraId="762F6FC9">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auto"/>
                      <w:kern w:val="0"/>
                      <w:szCs w:val="21"/>
                      <w:highlight w:val="none"/>
                      <w:lang w:eastAsia="zh-CN" w:bidi="ar"/>
                    </w:rPr>
                  </w:pPr>
                </w:p>
              </w:tc>
              <w:tc>
                <w:tcPr>
                  <w:tcW w:w="847" w:type="dxa"/>
                  <w:vAlign w:val="center"/>
                </w:tcPr>
                <w:p w14:paraId="62F81C0F">
                  <w:pPr>
                    <w:pStyle w:val="189"/>
                    <w:keepNext w:val="0"/>
                    <w:keepLines w:val="0"/>
                    <w:suppressLineNumbers w:val="0"/>
                    <w:spacing w:before="0" w:beforeAutospacing="0" w:after="0" w:afterAutospacing="0" w:line="240" w:lineRule="auto"/>
                    <w:ind w:left="0" w:right="0" w:firstLine="0"/>
                    <w:rPr>
                      <w:rFonts w:hint="default" w:ascii="Times New Roman" w:hAnsi="Times New Roman" w:cs="Times New Roman"/>
                      <w:color w:val="auto"/>
                      <w:kern w:val="2"/>
                      <w:sz w:val="21"/>
                      <w:szCs w:val="21"/>
                      <w:highlight w:val="none"/>
                    </w:rPr>
                  </w:pPr>
                  <w:r>
                    <w:rPr>
                      <w:rFonts w:hint="default" w:ascii="Times New Roman" w:hAnsi="Times New Roman" w:cs="Times New Roman"/>
                      <w:color w:val="auto"/>
                      <w:sz w:val="21"/>
                      <w:szCs w:val="21"/>
                      <w:highlight w:val="none"/>
                    </w:rPr>
                    <w:t>满足</w:t>
                  </w:r>
                </w:p>
              </w:tc>
            </w:tr>
          </w:tbl>
          <w:p w14:paraId="7D6B190E">
            <w:pPr>
              <w:pStyle w:val="375"/>
              <w:keepNext w:val="0"/>
              <w:keepLines w:val="0"/>
              <w:suppressLineNumbers w:val="0"/>
              <w:adjustRightInd w:val="0"/>
              <w:snapToGrid w:val="0"/>
              <w:spacing w:before="0" w:beforeAutospacing="0" w:after="0" w:afterAutospacing="0" w:line="360" w:lineRule="auto"/>
              <w:ind w:left="0" w:leftChars="0" w:right="0" w:firstLine="482" w:firstLineChars="20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15、与《工业炉窑大气污染物综合治理方案》（环大气办[2019]56号）相符性分析</w:t>
            </w:r>
          </w:p>
          <w:p w14:paraId="5765F5CE">
            <w:pPr>
              <w:pStyle w:val="755"/>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lang w:eastAsia="zh-CN"/>
              </w:rPr>
              <w:t>表1-</w:t>
            </w:r>
            <w:r>
              <w:rPr>
                <w:rFonts w:hint="eastAsia" w:eastAsia="宋体" w:cs="Times New Roman"/>
                <w:b/>
                <w:bCs/>
                <w:color w:val="auto"/>
                <w:sz w:val="24"/>
                <w:szCs w:val="24"/>
                <w:highlight w:val="none"/>
                <w:lang w:val="en-US" w:eastAsia="zh-CN"/>
              </w:rPr>
              <w:t>15</w:t>
            </w:r>
            <w:r>
              <w:rPr>
                <w:rFonts w:hint="default" w:ascii="Times New Roman" w:hAnsi="Times New Roman" w:eastAsia="宋体" w:cs="Times New Roman"/>
                <w:b/>
                <w:bCs/>
                <w:color w:val="auto"/>
                <w:sz w:val="24"/>
                <w:szCs w:val="24"/>
                <w:highlight w:val="none"/>
                <w:lang w:eastAsia="zh-CN"/>
              </w:rPr>
              <w:t xml:space="preserve"> </w:t>
            </w:r>
            <w:r>
              <w:rPr>
                <w:rFonts w:hint="eastAsia" w:ascii="Times New Roman" w:hAnsi="Times New Roman" w:eastAsia="宋体" w:cs="Times New Roman"/>
                <w:b/>
                <w:bCs/>
                <w:color w:val="auto"/>
                <w:sz w:val="24"/>
                <w:szCs w:val="24"/>
                <w:highlight w:val="none"/>
                <w:lang w:val="en-US" w:eastAsia="zh-CN"/>
              </w:rPr>
              <w:t>与《工业炉窑大气污染物综合治理方案》</w:t>
            </w:r>
            <w:r>
              <w:rPr>
                <w:rFonts w:hint="default" w:ascii="Times New Roman" w:hAnsi="Times New Roman" w:eastAsia="宋体" w:cs="Times New Roman"/>
                <w:b/>
                <w:bCs/>
                <w:color w:val="auto"/>
                <w:sz w:val="24"/>
                <w:szCs w:val="24"/>
                <w:highlight w:val="none"/>
                <w:lang w:eastAsia="zh-CN"/>
              </w:rPr>
              <w:t>相符性分析</w:t>
            </w:r>
          </w:p>
          <w:tbl>
            <w:tblPr>
              <w:tblStyle w:val="6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3440"/>
              <w:gridCol w:w="2632"/>
              <w:gridCol w:w="594"/>
            </w:tblGrid>
            <w:tr w14:paraId="4D675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8" w:type="pct"/>
                  <w:noWrap w:val="0"/>
                  <w:vAlign w:val="center"/>
                </w:tcPr>
                <w:p w14:paraId="11D3251D">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2410" w:type="pct"/>
                  <w:noWrap w:val="0"/>
                  <w:vAlign w:val="center"/>
                </w:tcPr>
                <w:p w14:paraId="06EBF462">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要求</w:t>
                  </w:r>
                </w:p>
              </w:tc>
              <w:tc>
                <w:tcPr>
                  <w:tcW w:w="1844" w:type="pct"/>
                  <w:noWrap w:val="0"/>
                  <w:vAlign w:val="center"/>
                </w:tcPr>
                <w:p w14:paraId="51DA4905">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本项目情况</w:t>
                  </w:r>
                </w:p>
              </w:tc>
              <w:tc>
                <w:tcPr>
                  <w:tcW w:w="416" w:type="pct"/>
                  <w:noWrap w:val="0"/>
                  <w:vAlign w:val="center"/>
                </w:tcPr>
                <w:p w14:paraId="3DAAB065">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符合性</w:t>
                  </w:r>
                </w:p>
              </w:tc>
            </w:tr>
            <w:tr w14:paraId="4246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8" w:type="pct"/>
                  <w:noWrap w:val="0"/>
                  <w:vAlign w:val="center"/>
                </w:tcPr>
                <w:p w14:paraId="06277C41">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2410" w:type="pct"/>
                  <w:noWrap w:val="0"/>
                  <w:vAlign w:val="center"/>
                </w:tcPr>
                <w:p w14:paraId="62E940B0">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严格建设项目环境准入。新建涉工业炉窑的建设项目，原则上要入园区，配套建设高效环保治理设施。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w:t>
                  </w:r>
                </w:p>
              </w:tc>
              <w:tc>
                <w:tcPr>
                  <w:tcW w:w="1844" w:type="pct"/>
                  <w:noWrap w:val="0"/>
                  <w:vAlign w:val="center"/>
                </w:tcPr>
                <w:p w14:paraId="7FB3D128">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本项目位于</w:t>
                  </w:r>
                  <w:r>
                    <w:rPr>
                      <w:rFonts w:hint="default" w:ascii="Times New Roman" w:hAnsi="Times New Roman" w:eastAsia="宋体" w:cs="Times New Roman"/>
                      <w:color w:val="auto"/>
                      <w:sz w:val="21"/>
                      <w:szCs w:val="21"/>
                      <w:highlight w:val="none"/>
                      <w:lang w:val="en-US" w:eastAsia="zh-CN"/>
                    </w:rPr>
                    <w:t>新芜经济开发区</w:t>
                  </w:r>
                  <w:r>
                    <w:rPr>
                      <w:rFonts w:hint="eastAsia" w:ascii="Times New Roman" w:hAnsi="Times New Roman" w:eastAsia="宋体" w:cs="Times New Roman"/>
                      <w:color w:val="auto"/>
                      <w:sz w:val="21"/>
                      <w:szCs w:val="21"/>
                      <w:highlight w:val="none"/>
                      <w:lang w:val="en-US" w:eastAsia="zh-CN"/>
                    </w:rPr>
                    <w:t>，属于CC3311金属结构制造</w:t>
                  </w:r>
                  <w:r>
                    <w:rPr>
                      <w:rFonts w:hint="default" w:ascii="Times New Roman" w:hAnsi="Times New Roman" w:eastAsia="宋体" w:cs="Times New Roman"/>
                      <w:color w:val="auto"/>
                      <w:sz w:val="21"/>
                      <w:szCs w:val="21"/>
                      <w:highlight w:val="none"/>
                      <w:lang w:val="en-US" w:eastAsia="zh-CN"/>
                    </w:rPr>
                    <w:t>、C3670汽车零部件及配件制造</w:t>
                  </w:r>
                  <w:r>
                    <w:rPr>
                      <w:rFonts w:hint="eastAsia" w:ascii="Times New Roman" w:hAnsi="Times New Roman" w:eastAsia="宋体" w:cs="Times New Roman"/>
                      <w:color w:val="auto"/>
                      <w:sz w:val="21"/>
                      <w:szCs w:val="21"/>
                      <w:highlight w:val="none"/>
                      <w:lang w:val="en-US" w:eastAsia="zh-CN"/>
                    </w:rPr>
                    <w:t>，使用天然气</w:t>
                  </w:r>
                  <w:r>
                    <w:rPr>
                      <w:rFonts w:hint="eastAsia" w:cs="Times New Roman"/>
                      <w:color w:val="auto"/>
                      <w:sz w:val="21"/>
                      <w:szCs w:val="21"/>
                      <w:highlight w:val="none"/>
                      <w:lang w:val="en-US" w:eastAsia="zh-CN"/>
                    </w:rPr>
                    <w:t>作为能源</w:t>
                  </w:r>
                  <w:r>
                    <w:rPr>
                      <w:rFonts w:hint="eastAsia" w:ascii="Times New Roman" w:hAnsi="Times New Roman" w:eastAsia="宋体" w:cs="Times New Roman"/>
                      <w:color w:val="auto"/>
                      <w:sz w:val="21"/>
                      <w:szCs w:val="21"/>
                      <w:highlight w:val="none"/>
                      <w:lang w:val="en-US" w:eastAsia="zh-CN"/>
                    </w:rPr>
                    <w:t>，用气为市政供气，不新建煤气发生炉。</w:t>
                  </w:r>
                </w:p>
              </w:tc>
              <w:tc>
                <w:tcPr>
                  <w:tcW w:w="416" w:type="pct"/>
                  <w:noWrap w:val="0"/>
                  <w:vAlign w:val="center"/>
                </w:tcPr>
                <w:p w14:paraId="7D71EC4C">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1C036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8" w:type="pct"/>
                  <w:noWrap w:val="0"/>
                  <w:vAlign w:val="center"/>
                </w:tcPr>
                <w:p w14:paraId="1F9C7B1B">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2410" w:type="pct"/>
                  <w:noWrap w:val="0"/>
                  <w:vAlign w:val="center"/>
                </w:tcPr>
                <w:p w14:paraId="546C3D35">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加快燃料清洁低碳化替代。对以煤、石油焦、渣油、重油等为燃料的工业炉窑，加快使用清洁低碳能源以及利用工厂余热、电厂热力等进行替代。重点区域禁止掺烧高硫石油焦(硫含量大于3%)。玻璃行业全面禁止掺烧高硫石油焦</w:t>
                  </w:r>
                </w:p>
              </w:tc>
              <w:tc>
                <w:tcPr>
                  <w:tcW w:w="1844" w:type="pct"/>
                  <w:noWrap w:val="0"/>
                  <w:vAlign w:val="center"/>
                </w:tcPr>
                <w:p w14:paraId="55F52793">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default" w:ascii="Times New Roman" w:hAnsi="Times New Roman"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本项目以天然气为能源，属于清洁低碳能源。</w:t>
                  </w:r>
                </w:p>
              </w:tc>
              <w:tc>
                <w:tcPr>
                  <w:tcW w:w="416" w:type="pct"/>
                  <w:noWrap w:val="0"/>
                  <w:vAlign w:val="center"/>
                </w:tcPr>
                <w:p w14:paraId="6A05E5EC">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41CDE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8" w:type="pct"/>
                  <w:noWrap w:val="0"/>
                  <w:vAlign w:val="center"/>
                </w:tcPr>
                <w:p w14:paraId="059BDDDE">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p>
              </w:tc>
              <w:tc>
                <w:tcPr>
                  <w:tcW w:w="2410" w:type="pct"/>
                  <w:noWrap w:val="0"/>
                  <w:vAlign w:val="center"/>
                </w:tcPr>
                <w:p w14:paraId="5C77CE80">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施污染深度治理。推进工业炉窑全面达标排放。已有行业排放标准的工业炉窑，严格执行行业排放标准相关规定，配套建设高效脱硫脱硝除尘设施，确保稳定达标排放。已制定更严格地方排放标准的，按地方标准执行</w:t>
                  </w:r>
                </w:p>
              </w:tc>
              <w:tc>
                <w:tcPr>
                  <w:tcW w:w="1844" w:type="pct"/>
                  <w:noWrap w:val="0"/>
                  <w:vAlign w:val="center"/>
                </w:tcPr>
                <w:p w14:paraId="0F3B651E">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燃烧烟气：采用低氮燃烧技术，烟气经</w:t>
                  </w:r>
                  <w:r>
                    <w:rPr>
                      <w:rFonts w:hint="eastAsia" w:cs="Times New Roman"/>
                      <w:color w:val="auto"/>
                      <w:sz w:val="21"/>
                      <w:szCs w:val="21"/>
                      <w:highlight w:val="none"/>
                      <w:lang w:val="en-US" w:eastAsia="zh-CN"/>
                    </w:rPr>
                    <w:t>15</w:t>
                  </w:r>
                  <w:r>
                    <w:rPr>
                      <w:rFonts w:hint="eastAsia" w:ascii="Times New Roman" w:hAnsi="Times New Roman" w:eastAsia="宋体" w:cs="Times New Roman"/>
                      <w:color w:val="auto"/>
                      <w:sz w:val="21"/>
                      <w:szCs w:val="21"/>
                      <w:highlight w:val="none"/>
                      <w:lang w:val="en-US" w:eastAsia="zh-CN"/>
                    </w:rPr>
                    <w:t>m高排气筒排放</w:t>
                  </w:r>
                  <w:r>
                    <w:rPr>
                      <w:rFonts w:hint="eastAsia" w:ascii="Times New Roman" w:hAnsi="Times New Roman" w:cs="Times New Roman"/>
                      <w:color w:val="auto"/>
                      <w:sz w:val="21"/>
                      <w:szCs w:val="21"/>
                      <w:highlight w:val="none"/>
                      <w:lang w:val="en-US" w:eastAsia="zh-CN"/>
                    </w:rPr>
                    <w:t>。</w:t>
                  </w:r>
                </w:p>
              </w:tc>
              <w:tc>
                <w:tcPr>
                  <w:tcW w:w="416" w:type="pct"/>
                  <w:noWrap w:val="0"/>
                  <w:vAlign w:val="center"/>
                </w:tcPr>
                <w:p w14:paraId="3A901DFD">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791F3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8" w:type="pct"/>
                  <w:noWrap w:val="0"/>
                  <w:vAlign w:val="center"/>
                </w:tcPr>
                <w:p w14:paraId="29F6C8A6">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2410" w:type="pct"/>
                  <w:noWrap w:val="0"/>
                  <w:vAlign w:val="center"/>
                </w:tcPr>
                <w:p w14:paraId="20EF2930">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全面加强无组织排放管理。严格控制工业炉窑生产工艺过程及相关物料储存、输送等无组织排放，在保障生产安全的前提下，采取密闭、封闭等有效措施，有效提高废气收集率，产尘点及车间不得有可见烟粉尘外逸。生产工艺产尘点(装置)应采取密闭、封闭或设置集气罩等措施。</w:t>
                  </w:r>
                </w:p>
              </w:tc>
              <w:tc>
                <w:tcPr>
                  <w:tcW w:w="1844" w:type="pct"/>
                  <w:noWrap w:val="0"/>
                  <w:vAlign w:val="center"/>
                </w:tcPr>
                <w:p w14:paraId="7CF74AC0">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val="en-US" w:eastAsia="zh-CN"/>
                    </w:rPr>
                    <w:t>前处理烘干</w:t>
                  </w:r>
                  <w:r>
                    <w:rPr>
                      <w:rFonts w:hint="eastAsia" w:ascii="Times New Roman" w:hAnsi="Times New Roman" w:cs="Times New Roman"/>
                      <w:color w:val="auto"/>
                      <w:sz w:val="21"/>
                      <w:szCs w:val="21"/>
                      <w:highlight w:val="none"/>
                    </w:rPr>
                    <w:t>、</w:t>
                  </w:r>
                  <w:r>
                    <w:rPr>
                      <w:rFonts w:hint="eastAsia" w:cs="Times New Roman"/>
                      <w:color w:val="auto"/>
                      <w:sz w:val="21"/>
                      <w:szCs w:val="21"/>
                      <w:lang w:val="en-US" w:eastAsia="zh-CN"/>
                    </w:rPr>
                    <w:t>喷漆烘干</w:t>
                  </w:r>
                  <w:r>
                    <w:rPr>
                      <w:rFonts w:hint="eastAsia" w:ascii="Times New Roman" w:hAnsi="Times New Roman" w:cs="Times New Roman"/>
                      <w:color w:val="auto"/>
                      <w:sz w:val="21"/>
                      <w:szCs w:val="21"/>
                      <w:highlight w:val="none"/>
                    </w:rPr>
                    <w:t>、</w:t>
                  </w:r>
                  <w:r>
                    <w:rPr>
                      <w:rFonts w:hint="eastAsia" w:cs="Times New Roman"/>
                      <w:color w:val="auto"/>
                      <w:sz w:val="21"/>
                      <w:szCs w:val="21"/>
                      <w:lang w:val="en-US" w:eastAsia="zh-CN"/>
                    </w:rPr>
                    <w:t>喷粉固化天然气燃烧废气</w:t>
                  </w:r>
                  <w:r>
                    <w:rPr>
                      <w:rFonts w:hint="eastAsia" w:ascii="Times New Roman" w:hAnsi="Times New Roman" w:eastAsia="宋体" w:cs="Times New Roman"/>
                      <w:color w:val="auto"/>
                      <w:sz w:val="21"/>
                      <w:szCs w:val="21"/>
                      <w:lang w:val="en-US" w:eastAsia="zh-CN"/>
                    </w:rPr>
                    <w:t>收集：在</w:t>
                  </w:r>
                  <w:r>
                    <w:rPr>
                      <w:rFonts w:hint="eastAsia" w:cs="Times New Roman"/>
                      <w:color w:val="auto"/>
                      <w:sz w:val="21"/>
                      <w:szCs w:val="21"/>
                      <w:lang w:val="en-US" w:eastAsia="zh-CN"/>
                    </w:rPr>
                    <w:t>烘干通道进出口设置集气罩收集</w:t>
                  </w:r>
                  <w:r>
                    <w:rPr>
                      <w:rFonts w:hint="eastAsia" w:ascii="Times New Roman" w:hAnsi="Times New Roman" w:eastAsia="宋体" w:cs="Times New Roman"/>
                      <w:color w:val="auto"/>
                      <w:sz w:val="21"/>
                      <w:szCs w:val="21"/>
                      <w:lang w:val="en-US" w:eastAsia="zh-CN"/>
                    </w:rPr>
                    <w:t>。</w:t>
                  </w:r>
                </w:p>
              </w:tc>
              <w:tc>
                <w:tcPr>
                  <w:tcW w:w="416" w:type="pct"/>
                  <w:noWrap w:val="0"/>
                  <w:vAlign w:val="center"/>
                </w:tcPr>
                <w:p w14:paraId="72FC4855">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50437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8" w:type="pct"/>
                  <w:noWrap w:val="0"/>
                  <w:vAlign w:val="center"/>
                </w:tcPr>
                <w:p w14:paraId="53426C43">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p>
              </w:tc>
              <w:tc>
                <w:tcPr>
                  <w:tcW w:w="2410" w:type="pct"/>
                  <w:noWrap w:val="0"/>
                  <w:vAlign w:val="center"/>
                </w:tcPr>
                <w:p w14:paraId="5A164874">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建立健全监测监控体系。加强重点污染源自动监控体系建设。排气口高度超过45米的高架源，纳入重点排污单位名录，督促企业安装烟气排放自动监控设施。钢铁、焦化、水泥、平板玻璃、陶瓷、氮肥、有色金属冶炼、再生有色金属等行业，严格按照排污许可管理规定安装和运行自动监控设施</w:t>
                  </w:r>
                </w:p>
              </w:tc>
              <w:tc>
                <w:tcPr>
                  <w:tcW w:w="1844" w:type="pct"/>
                  <w:noWrap w:val="0"/>
                  <w:vAlign w:val="center"/>
                </w:tcPr>
                <w:p w14:paraId="46B61361">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both"/>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本项目按照排污单位自行监测技术指南 涂装》（HJ 1086—2020）</w:t>
                  </w:r>
                  <w:r>
                    <w:rPr>
                      <w:rFonts w:hint="default"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eastAsia="zh-CN"/>
                    </w:rPr>
                    <w:t>《排污许可证申请与核发技术规范 铁路、船舶、航空航天和其他运输设备制造业》中相关监测要求提出废气自行监测计划。</w:t>
                  </w:r>
                </w:p>
              </w:tc>
              <w:tc>
                <w:tcPr>
                  <w:tcW w:w="416" w:type="pct"/>
                  <w:noWrap w:val="0"/>
                  <w:vAlign w:val="center"/>
                </w:tcPr>
                <w:p w14:paraId="6F8C42CB">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300" w:lineRule="exact"/>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bl>
          <w:p w14:paraId="2BA1E3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rPr>
              <w:t>通过上述分析，</w:t>
            </w:r>
            <w:r>
              <w:rPr>
                <w:rFonts w:hint="eastAsia" w:ascii="Times New Roman" w:hAnsi="Times New Roman" w:cs="Times New Roman"/>
                <w:color w:val="auto"/>
                <w:kern w:val="0"/>
                <w:sz w:val="21"/>
                <w:szCs w:val="21"/>
                <w:highlight w:val="none"/>
                <w:lang w:val="en-US" w:eastAsia="zh-CN"/>
              </w:rPr>
              <w:t>本</w:t>
            </w:r>
            <w:r>
              <w:rPr>
                <w:rFonts w:hint="eastAsia" w:ascii="Times New Roman" w:hAnsi="Times New Roman" w:cs="Times New Roman"/>
                <w:color w:val="auto"/>
                <w:kern w:val="0"/>
                <w:sz w:val="21"/>
                <w:szCs w:val="21"/>
                <w:highlight w:val="none"/>
              </w:rPr>
              <w:t>项目符合《工业炉窑大气污染物综合治理方案》（环大气办[2019]56</w:t>
            </w:r>
            <w:r>
              <w:rPr>
                <w:rFonts w:hint="eastAsia" w:ascii="Times New Roman" w:hAnsi="Times New Roman" w:cs="Times New Roman"/>
                <w:color w:val="auto"/>
                <w:kern w:val="0"/>
                <w:sz w:val="21"/>
                <w:szCs w:val="21"/>
                <w:highlight w:val="none"/>
                <w:lang w:val="en-US" w:eastAsia="zh-CN"/>
              </w:rPr>
              <w:t>号</w:t>
            </w:r>
            <w:r>
              <w:rPr>
                <w:rFonts w:hint="eastAsia" w:ascii="Times New Roman" w:hAnsi="Times New Roman" w:cs="Times New Roman"/>
                <w:color w:val="auto"/>
                <w:kern w:val="0"/>
                <w:sz w:val="21"/>
                <w:szCs w:val="21"/>
                <w:highlight w:val="none"/>
              </w:rPr>
              <w:t>）中的相关要求。</w:t>
            </w:r>
          </w:p>
          <w:p w14:paraId="03F86D22">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Cs/>
                <w:color w:val="auto"/>
                <w:sz w:val="24"/>
                <w:highlight w:val="none"/>
              </w:rPr>
            </w:pPr>
            <w:r>
              <w:rPr>
                <w:rFonts w:hint="default" w:ascii="Times New Roman" w:hAnsi="Times New Roman" w:cs="Times New Roman"/>
                <w:b/>
                <w:bCs/>
                <w:color w:val="auto"/>
                <w:sz w:val="24"/>
                <w:highlight w:val="none"/>
              </w:rPr>
              <w:t>1</w:t>
            </w:r>
            <w:r>
              <w:rPr>
                <w:rFonts w:hint="eastAsia" w:cs="Times New Roman"/>
                <w:b/>
                <w:bCs/>
                <w:color w:val="auto"/>
                <w:sz w:val="24"/>
                <w:highlight w:val="none"/>
                <w:lang w:val="en-US" w:eastAsia="zh-CN"/>
              </w:rPr>
              <w:t>6</w:t>
            </w:r>
            <w:r>
              <w:rPr>
                <w:rFonts w:hint="default" w:ascii="Times New Roman" w:hAnsi="Times New Roman" w:cs="Times New Roman"/>
                <w:b/>
                <w:bCs/>
                <w:color w:val="auto"/>
                <w:sz w:val="24"/>
                <w:highlight w:val="none"/>
              </w:rPr>
              <w:t>、与《安徽省人民政府关于加快实施“三线一单”生态环境分区管控的通知》相符性分析</w:t>
            </w:r>
          </w:p>
          <w:p w14:paraId="6A445CA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安徽省共划定1002个生态环境管控单元，分为优先保护、重点管控和一般管控3类。</w:t>
            </w:r>
          </w:p>
          <w:p w14:paraId="4922D71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一）优先保护单元。共545个，面积42519.24平方公里，占全省国土面积的30.33%，包含生态保护红线、自然保护地、集中式饮用水水源保护区等生态功能重要区和生态环境敏感区，主要分布在皖南山区、皖西大别山区、巢湖湖区等重点生态功能区域。该区域突出空间用途管控，以严格保护生态环境为导向，依法禁止或限制大规模、高强度的工业开发和城镇建设，确保生态环境功能不降低。</w:t>
            </w:r>
          </w:p>
          <w:p w14:paraId="7CC0A57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二）重点管控单元。共354个，面积25011.43平方公里，占全省国土面积的17.84%，包含城镇规划边界、省级及以上开发区等开发强度高、污染物排放强度大的区域，以及环境问题相对集中的区域，主要分布在沿江、沿淮等重点发展区域。该区域突出污染物排放控制和环境风险防控，以守住环境质量底线、积极发展社会经济为导向，强化环境质量改善目标约束。</w:t>
            </w:r>
          </w:p>
          <w:p w14:paraId="59EFCE4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（三）一般管控单元。共103个，面积72643.72平方公里，占全省国土面积的51.83%，优先保护单元、重点管控单元之外为一般管控单元。该区域以经济社会可持续发展为导向，执行区域生态环境保护的基本要求。</w:t>
            </w:r>
          </w:p>
          <w:p w14:paraId="2829AFC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对照安徽省生态环境厅发布的安徽省“三线一单”公众服务平台（http://39.145.8.156:1509/ah/public/#/home），经与“三线一单”成果数据分析，拟建项目与1个环境管控单元存在交叠，其中优先保护类0个，重点管控类1个，一般管控类0个，环境管控单元编码为ZH34020720019。</w:t>
            </w:r>
          </w:p>
          <w:p w14:paraId="119A418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本项目废气可达标排放；</w:t>
            </w:r>
            <w:r>
              <w:rPr>
                <w:rFonts w:hint="default"/>
                <w:color w:val="auto"/>
                <w:kern w:val="0"/>
                <w:sz w:val="24"/>
                <w:highlight w:val="none"/>
              </w:rPr>
              <w:t>项目</w:t>
            </w:r>
            <w:r>
              <w:rPr>
                <w:rFonts w:hint="default"/>
                <w:color w:val="auto"/>
                <w:sz w:val="24"/>
                <w:highlight w:val="none"/>
              </w:rPr>
              <w:t>生活污水经化粪池处理后和经污水处理站处理的</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auto"/>
                <w:sz w:val="24"/>
                <w:szCs w:val="24"/>
              </w:rPr>
              <w:t>喷漆水帘柜</w:t>
            </w:r>
            <w:r>
              <w:rPr>
                <w:rFonts w:hint="eastAsia" w:eastAsia="宋体"/>
                <w:bCs w:val="0"/>
                <w:color w:val="auto"/>
                <w:sz w:val="24"/>
                <w:szCs w:val="24"/>
                <w:lang w:val="en-US" w:eastAsia="zh-CN"/>
              </w:rPr>
              <w:t>废水</w:t>
            </w:r>
            <w:r>
              <w:rPr>
                <w:rFonts w:hint="default"/>
                <w:color w:val="auto"/>
                <w:sz w:val="24"/>
                <w:highlight w:val="none"/>
              </w:rPr>
              <w:t>一同经市政污水管网排入芜湖县新芜开发区城东污水处理厂，达标后排入汪溪坝撇洪沟后汇入裘公河</w:t>
            </w:r>
            <w:r>
              <w:rPr>
                <w:rFonts w:hint="default" w:ascii="Times New Roman" w:hAnsi="Times New Roman" w:cs="Times New Roman"/>
                <w:color w:val="auto"/>
                <w:sz w:val="24"/>
                <w:highlight w:val="none"/>
              </w:rPr>
              <w:t>；生活垃圾经垃圾桶收集，由环卫部门每天清运处置。各类污染物均可达标排放，不会突破环境质量底线。</w:t>
            </w:r>
          </w:p>
          <w:p w14:paraId="261B7D98">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r>
              <w:rPr>
                <w:rFonts w:hint="default"/>
                <w:color w:val="auto"/>
              </w:rPr>
              <w:drawing>
                <wp:inline distT="0" distB="0" distL="114300" distR="114300">
                  <wp:extent cx="4519930" cy="2228850"/>
                  <wp:effectExtent l="0" t="0" r="13970" b="0"/>
                  <wp:docPr id="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0"/>
                          <pic:cNvPicPr>
                            <a:picLocks noChangeAspect="1"/>
                          </pic:cNvPicPr>
                        </pic:nvPicPr>
                        <pic:blipFill>
                          <a:blip r:embed="rId10"/>
                          <a:stretch>
                            <a:fillRect/>
                          </a:stretch>
                        </pic:blipFill>
                        <pic:spPr>
                          <a:xfrm>
                            <a:off x="0" y="0"/>
                            <a:ext cx="4519930" cy="2228850"/>
                          </a:xfrm>
                          <a:prstGeom prst="rect">
                            <a:avLst/>
                          </a:prstGeom>
                          <a:noFill/>
                          <a:ln>
                            <a:noFill/>
                          </a:ln>
                        </pic:spPr>
                      </pic:pic>
                    </a:graphicData>
                  </a:graphic>
                </wp:inline>
              </w:drawing>
            </w:r>
          </w:p>
          <w:p w14:paraId="38192EA1">
            <w:pPr>
              <w:pStyle w:val="23"/>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b/>
                <w:bCs/>
                <w:color w:val="auto"/>
                <w:highlight w:val="none"/>
              </w:rPr>
              <w:t>图1-1  与安徽省"三线一单"公众服务平台套图</w:t>
            </w:r>
          </w:p>
        </w:tc>
      </w:tr>
    </w:tbl>
    <w:p w14:paraId="25B9596B">
      <w:pPr>
        <w:spacing w:line="360" w:lineRule="auto"/>
        <w:outlineLvl w:val="0"/>
        <w:rPr>
          <w:rFonts w:hint="default" w:ascii="Times New Roman" w:hAnsi="Times New Roman" w:cs="Times New Roman"/>
          <w:color w:val="auto"/>
          <w:sz w:val="30"/>
          <w:highlight w:val="none"/>
        </w:rPr>
        <w:sectPr>
          <w:footerReference r:id="rId6"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1C57B8A0">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r>
        <w:rPr>
          <w:rFonts w:hint="default" w:ascii="Times New Roman" w:hAnsi="Times New Roman" w:cs="Times New Roman"/>
          <w:b/>
          <w:snapToGrid w:val="0"/>
          <w:color w:val="auto"/>
          <w:sz w:val="30"/>
          <w:szCs w:val="30"/>
          <w:highlight w:val="none"/>
        </w:rPr>
        <w:t>二、建设项目工程分析</w:t>
      </w:r>
    </w:p>
    <w:tbl>
      <w:tblPr>
        <w:tblStyle w:val="61"/>
        <w:tblW w:w="90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8572"/>
      </w:tblGrid>
      <w:tr w14:paraId="04A352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3" w:hRule="atLeast"/>
          <w:jc w:val="center"/>
        </w:trPr>
        <w:tc>
          <w:tcPr>
            <w:tcW w:w="488" w:type="dxa"/>
            <w:vAlign w:val="center"/>
          </w:tcPr>
          <w:p w14:paraId="7BEF33E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建设内容</w:t>
            </w:r>
          </w:p>
        </w:tc>
        <w:tc>
          <w:tcPr>
            <w:tcW w:w="8572" w:type="dxa"/>
          </w:tcPr>
          <w:p w14:paraId="7F28D1F0">
            <w:pPr>
              <w:keepNext w:val="0"/>
              <w:keepLines w:val="0"/>
              <w:suppressLineNumbers w:val="0"/>
              <w:spacing w:before="100" w:beforeAutospacing="1" w:after="0" w:afterAutospacing="0" w:line="360" w:lineRule="auto"/>
              <w:ind w:left="0" w:right="0"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1、项目由来</w:t>
            </w:r>
          </w:p>
          <w:p w14:paraId="6A9C5586">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eastAsia" w:cs="Times New Roman"/>
                <w:color w:val="000000" w:themeColor="text1"/>
                <w:kern w:val="0"/>
                <w:sz w:val="24"/>
                <w:highlight w:val="none"/>
                <w:lang w:eastAsia="zh-CN"/>
                <w14:textFill>
                  <w14:solidFill>
                    <w14:schemeClr w14:val="tx1"/>
                  </w14:solidFill>
                </w14:textFill>
              </w:rPr>
              <w:t>芜湖研历光电科技有限公司</w:t>
            </w:r>
            <w:r>
              <w:rPr>
                <w:rFonts w:hint="default" w:ascii="Times New Roman" w:hAnsi="Times New Roman" w:cs="Times New Roman"/>
                <w:color w:val="000000" w:themeColor="text1"/>
                <w:kern w:val="0"/>
                <w:sz w:val="24"/>
                <w:highlight w:val="none"/>
                <w14:textFill>
                  <w14:solidFill>
                    <w14:schemeClr w14:val="tx1"/>
                  </w14:solidFill>
                </w14:textFill>
              </w:rPr>
              <w:t>成立于20</w:t>
            </w:r>
            <w:r>
              <w:rPr>
                <w:rFonts w:hint="eastAsia" w:cs="Times New Roman"/>
                <w:color w:val="000000" w:themeColor="text1"/>
                <w:kern w:val="0"/>
                <w:sz w:val="24"/>
                <w:highlight w:val="none"/>
                <w:lang w:val="en-US" w:eastAsia="zh-CN"/>
                <w14:textFill>
                  <w14:solidFill>
                    <w14:schemeClr w14:val="tx1"/>
                  </w14:solidFill>
                </w14:textFill>
              </w:rPr>
              <w:t>17</w:t>
            </w:r>
            <w:r>
              <w:rPr>
                <w:rFonts w:hint="default" w:ascii="Times New Roman" w:hAnsi="Times New Roman" w:cs="Times New Roman"/>
                <w:color w:val="000000" w:themeColor="text1"/>
                <w:kern w:val="0"/>
                <w:sz w:val="24"/>
                <w:highlight w:val="none"/>
                <w14:textFill>
                  <w14:solidFill>
                    <w14:schemeClr w14:val="tx1"/>
                  </w14:solidFill>
                </w14:textFill>
              </w:rPr>
              <w:t>年</w:t>
            </w:r>
            <w:r>
              <w:rPr>
                <w:rFonts w:hint="eastAsia" w:cs="Times New Roman"/>
                <w:color w:val="000000" w:themeColor="text1"/>
                <w:kern w:val="0"/>
                <w:sz w:val="24"/>
                <w:highlight w:val="none"/>
                <w:lang w:val="en-US" w:eastAsia="zh-CN"/>
                <w14:textFill>
                  <w14:solidFill>
                    <w14:schemeClr w14:val="tx1"/>
                  </w14:solidFill>
                </w14:textFill>
              </w:rPr>
              <w:t>7</w:t>
            </w:r>
            <w:r>
              <w:rPr>
                <w:rFonts w:hint="default" w:ascii="Times New Roman" w:hAnsi="Times New Roman" w:cs="Times New Roman"/>
                <w:color w:val="000000" w:themeColor="text1"/>
                <w:kern w:val="0"/>
                <w:sz w:val="24"/>
                <w:highlight w:val="none"/>
                <w14:textFill>
                  <w14:solidFill>
                    <w14:schemeClr w14:val="tx1"/>
                  </w14:solidFill>
                </w14:textFill>
              </w:rPr>
              <w:t>月31日，</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项目已于2022年5月16日取得芜湖市湾沚区发展和改革委员会给予本项目的立项备案，编号为：发改备</w:t>
            </w:r>
            <w:r>
              <w:rPr>
                <w:rFonts w:hint="eastAsia" w:cs="Times New Roman"/>
                <w:color w:val="000000" w:themeColor="text1"/>
                <w:kern w:val="0"/>
                <w:sz w:val="24"/>
                <w:highlight w:val="none"/>
                <w:lang w:val="en-US" w:eastAsia="zh-CN"/>
                <w14:textFill>
                  <w14:solidFill>
                    <w14:schemeClr w14:val="tx1"/>
                  </w14:solidFill>
                </w14:textFill>
              </w:rPr>
              <w:t>[2025]404号</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，项目代码为：</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2510-340221-04-01-143205</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t>
            </w:r>
          </w:p>
          <w:p w14:paraId="26105DF4">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0"/>
                <w:sz w:val="24"/>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20</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17</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年8月</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芜湖研历光电科技有限公司</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委托湖南志远环境咨询服务有限公司编制完成</w:t>
            </w:r>
            <w:r>
              <w:rPr>
                <w:rFonts w:hint="default" w:ascii="Times New Roman" w:hAnsi="Times New Roman" w:eastAsia="宋体" w:cs="Times New Roman"/>
                <w:color w:val="000000" w:themeColor="text1"/>
                <w:kern w:val="0"/>
                <w:sz w:val="24"/>
                <w:highlight w:val="none"/>
                <w:lang w:eastAsia="zh-CN"/>
                <w14:textFill>
                  <w14:solidFill>
                    <w14:schemeClr w14:val="tx1"/>
                  </w14:solidFill>
                </w14:textFill>
              </w:rPr>
              <w:t>了《芜湖研历光电科技有限公司光电设备配件生产项目环境影响报告</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表</w:t>
            </w:r>
            <w:r>
              <w:rPr>
                <w:rFonts w:hint="default" w:ascii="Times New Roman" w:hAnsi="Times New Roman" w:eastAsia="宋体" w:cs="Times New Roman"/>
                <w:color w:val="000000" w:themeColor="text1"/>
                <w:kern w:val="0"/>
                <w:sz w:val="24"/>
                <w:highlight w:val="none"/>
                <w:lang w:eastAsia="zh-CN"/>
                <w14:textFill>
                  <w14:solidFill>
                    <w14:schemeClr w14:val="tx1"/>
                  </w14:solidFill>
                </w14:textFill>
              </w:rPr>
              <w:t>》。</w:t>
            </w:r>
          </w:p>
          <w:p w14:paraId="0018EA5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20</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19</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年</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月</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11</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日芜湖县环保局批复对《</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芜湖研历光电科技有限公司</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光电设备配件生产项目环境影响报告表》作出了批复，审批</w:t>
            </w:r>
            <w:commentRangeStart w:id="10"/>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文号环行审[2019]47号</w:t>
            </w:r>
            <w:commentRangeEnd w:id="10"/>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commentReference w:id="10"/>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t>
            </w:r>
          </w:p>
          <w:p w14:paraId="562864EC">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本项目于202</w:t>
            </w:r>
            <w:r>
              <w:rPr>
                <w:rFonts w:hint="eastAsia" w:cs="Times New Roman"/>
                <w:color w:val="000000" w:themeColor="text1"/>
                <w:kern w:val="0"/>
                <w:sz w:val="24"/>
                <w:highlight w:val="none"/>
                <w:lang w:val="en-US" w:eastAsia="zh-CN"/>
                <w14:textFill>
                  <w14:solidFill>
                    <w14:schemeClr w14:val="tx1"/>
                  </w14:solidFill>
                </w14:textFill>
              </w:rPr>
              <w:t>0</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年</w:t>
            </w:r>
            <w:r>
              <w:rPr>
                <w:rFonts w:hint="eastAsia" w:cs="Times New Roman"/>
                <w:color w:val="000000" w:themeColor="text1"/>
                <w:kern w:val="0"/>
                <w:sz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月阶段性建设完成，</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芜湖研历光电科技有限公司</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于202</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0</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年</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月完成阶段性自主验收工作。验收范围为阶段性验收，内容包括机加工生产线及配套设施。喷砂打磨车间未启用，陶瓷coating车间及相应的超声波清洗及烘干工序未建设，不在本次验收范围内。年产</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光电设备配件500套</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commentReference w:id="11"/>
            </w:r>
          </w:p>
          <w:p w14:paraId="0F1CD74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4"/>
                <w:highlight w:val="none"/>
                <w:lang w:val="en-US" w:eastAsia="zh-CN"/>
                <w14:textFill>
                  <w14:solidFill>
                    <w14:schemeClr w14:val="tx1"/>
                  </w14:solidFill>
                </w14:textFill>
              </w:rPr>
              <w:t>由于厂房租赁合同到期，2020年</w:t>
            </w:r>
            <w:r>
              <w:rPr>
                <w:rFonts w:hint="eastAsia" w:cs="Times New Roman"/>
                <w:color w:val="000000" w:themeColor="text1"/>
                <w:sz w:val="24"/>
                <w:highlight w:val="none"/>
                <w:lang w:val="en-US" w:eastAsia="zh-CN"/>
                <w14:textFill>
                  <w14:solidFill>
                    <w14:schemeClr w14:val="tx1"/>
                  </w14:solidFill>
                </w14:textFill>
              </w:rPr>
              <w:t>5</w:t>
            </w:r>
            <w:r>
              <w:rPr>
                <w:rFonts w:hint="eastAsia" w:ascii="Times New Roman" w:hAnsi="Times New Roman" w:cs="Times New Roman"/>
                <w:color w:val="000000" w:themeColor="text1"/>
                <w:sz w:val="24"/>
                <w:highlight w:val="none"/>
                <w:lang w:val="en-US" w:eastAsia="zh-CN"/>
                <w14:textFill>
                  <w14:solidFill>
                    <w14:schemeClr w14:val="tx1"/>
                  </w14:solidFill>
                </w14:textFill>
              </w:rPr>
              <w:t>月完成的阶段性自主验收内容中涉及喷粉、固化工序均已委外，现有厂区内仅剩机加工设备，现拟投资2000万元进行迁建，迁建于</w:t>
            </w:r>
            <w:r>
              <w:rPr>
                <w:rFonts w:hint="eastAsia" w:cs="Times New Roman"/>
                <w:color w:val="000000" w:themeColor="text1"/>
                <w:sz w:val="24"/>
                <w:highlight w:val="none"/>
                <w:lang w:eastAsia="zh-CN"/>
                <w14:textFill>
                  <w14:solidFill>
                    <w14:schemeClr w14:val="tx1"/>
                  </w14:solidFill>
                </w14:textFill>
              </w:rPr>
              <w:t>安徽省芜湖市湾沚区新芜经济开发区芜屯快速通道3699号02幢2号厂房</w:t>
            </w:r>
            <w:r>
              <w:rPr>
                <w:rFonts w:hint="eastAsia" w:ascii="Times New Roman" w:hAnsi="Times New Roman" w:cs="Times New Roman"/>
                <w:color w:val="000000" w:themeColor="text1"/>
                <w:sz w:val="24"/>
                <w:highlight w:val="none"/>
                <w:lang w:val="en-US" w:eastAsia="zh-CN"/>
                <w14:textFill>
                  <w14:solidFill>
                    <w14:schemeClr w14:val="tx1"/>
                  </w14:solidFill>
                </w14:textFill>
              </w:rPr>
              <w:t>进行生产，迁建后，</w:t>
            </w:r>
            <w:r>
              <w:rPr>
                <w:rFonts w:hint="default" w:ascii="Times New Roman" w:hAnsi="Times New Roman" w:cs="Times New Roman"/>
                <w:color w:val="000000" w:themeColor="text1"/>
                <w:sz w:val="24"/>
                <w:highlight w:val="none"/>
                <w14:textFill>
                  <w14:solidFill>
                    <w14:schemeClr w14:val="tx1"/>
                  </w14:solidFill>
                </w14:textFill>
              </w:rPr>
              <w:t>年</w:t>
            </w:r>
            <w:r>
              <w:rPr>
                <w:rFonts w:hint="eastAsia" w:ascii="Times New Roman" w:hAnsi="Times New Roman" w:cs="Times New Roman"/>
                <w:color w:val="000000" w:themeColor="text1"/>
                <w:sz w:val="24"/>
                <w:highlight w:val="none"/>
                <w:lang w:val="en-US" w:eastAsia="zh-CN"/>
                <w14:textFill>
                  <w14:solidFill>
                    <w14:schemeClr w14:val="tx1"/>
                  </w14:solidFill>
                </w14:textFill>
              </w:rPr>
              <w:t>加工750万件汽车零部件、通讯五金部件150万件、光电设备配件500万件，年产值2000万元</w:t>
            </w:r>
            <w:r>
              <w:rPr>
                <w:rFonts w:hint="eastAsia" w:cs="Times New Roman"/>
                <w:color w:val="000000" w:themeColor="text1"/>
                <w:sz w:val="24"/>
                <w:highlight w:val="none"/>
                <w:lang w:val="en-US" w:eastAsia="zh-CN"/>
                <w14:textFill>
                  <w14:solidFill>
                    <w14:schemeClr w14:val="tx1"/>
                  </w14:solidFill>
                </w14:textFill>
              </w:rPr>
              <w:t>。该项目已于2025年10月17日取得</w:t>
            </w:r>
            <w:r>
              <w:rPr>
                <w:rFonts w:hint="default" w:ascii="Times New Roman" w:hAnsi="Times New Roman" w:cs="Times New Roman"/>
                <w:color w:val="000000" w:themeColor="text1"/>
                <w:sz w:val="24"/>
                <w:highlight w:val="none"/>
                <w14:textFill>
                  <w14:solidFill>
                    <w14:schemeClr w14:val="tx1"/>
                  </w14:solidFill>
                </w14:textFill>
              </w:rPr>
              <w:t>芜湖市湾沚区发展和改革委员会备案，项目审批文号为</w:t>
            </w:r>
            <w:r>
              <w:rPr>
                <w:rFonts w:hint="eastAsia" w:cs="Times New Roman"/>
                <w:color w:val="000000" w:themeColor="text1"/>
                <w:sz w:val="24"/>
                <w:highlight w:val="none"/>
                <w:lang w:eastAsia="zh-CN"/>
                <w14:textFill>
                  <w14:solidFill>
                    <w14:schemeClr w14:val="tx1"/>
                  </w14:solidFill>
                </w14:textFill>
              </w:rPr>
              <w:t>湾发改备【2025】404号</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项目代码为</w:t>
            </w:r>
            <w:r>
              <w:rPr>
                <w:rFonts w:hint="eastAsia" w:cs="Times New Roman"/>
                <w:color w:val="000000" w:themeColor="text1"/>
                <w:kern w:val="0"/>
                <w:sz w:val="24"/>
                <w:highlight w:val="none"/>
                <w:lang w:eastAsia="zh-CN"/>
                <w14:textFill>
                  <w14:solidFill>
                    <w14:schemeClr w14:val="tx1"/>
                  </w14:solidFill>
                </w14:textFill>
              </w:rPr>
              <w:t>2510-340221-04-01-143205</w:t>
            </w:r>
            <w:r>
              <w:rPr>
                <w:rFonts w:hint="default" w:ascii="Times New Roman" w:hAnsi="Times New Roman" w:cs="Times New Roman"/>
                <w:color w:val="000000" w:themeColor="text1"/>
                <w:sz w:val="24"/>
                <w:highlight w:val="none"/>
                <w14:textFill>
                  <w14:solidFill>
                    <w14:schemeClr w14:val="tx1"/>
                  </w14:solidFill>
                </w14:textFill>
              </w:rPr>
              <w:t>。</w:t>
            </w:r>
          </w:p>
          <w:p w14:paraId="26BD86AE">
            <w:pPr>
              <w:keepNext w:val="0"/>
              <w:keepLines w:val="0"/>
              <w:numPr>
                <w:ilvl w:val="0"/>
                <w:numId w:val="0"/>
              </w:numPr>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根据《中华人民共和国环境</w:t>
            </w:r>
            <w:r>
              <w:rPr>
                <w:rFonts w:hint="default" w:ascii="Times New Roman" w:hAnsi="Times New Roman" w:cs="Times New Roman"/>
                <w:color w:val="000000" w:themeColor="text1"/>
                <w:kern w:val="0"/>
                <w:sz w:val="24"/>
                <w:highlight w:val="none"/>
                <w14:textFill>
                  <w14:solidFill>
                    <w14:schemeClr w14:val="tx1"/>
                  </w14:solidFill>
                </w14:textFill>
              </w:rPr>
              <w:t>影响评价法》和《建设项目环境保护管理条例》等有关规定，建设单位必须就本项目办理环保相关手续。对照《建设项目环境影响评价分类管理名录（2021年版）》（2021年1月1日实施），本项目属于三十六、计算机、通信和其他电子设备制造业——81、电子元件及电子专用材料制造398中的印刷电路板制造；电子专用材料制造（电子化工材料制造除外）；使用有机溶剂的；有酸洗的；以上均不含仅分割、焊接、组装的</w:t>
            </w:r>
            <w:r>
              <w:rPr>
                <w:rFonts w:hint="default" w:ascii="Times New Roman" w:hAnsi="Times New Roman" w:cs="Times New Roman"/>
                <w:color w:val="000000" w:themeColor="text1"/>
                <w:kern w:val="0"/>
                <w:sz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本项目</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也</w:t>
            </w:r>
            <w:r>
              <w:rPr>
                <w:rFonts w:hint="default" w:ascii="Times New Roman" w:hAnsi="Times New Roman" w:cs="Times New Roman"/>
                <w:color w:val="000000" w:themeColor="text1"/>
                <w:sz w:val="24"/>
                <w:szCs w:val="24"/>
                <w:highlight w:val="none"/>
                <w:lang w:eastAsia="zh-CN"/>
                <w14:textFill>
                  <w14:solidFill>
                    <w14:schemeClr w14:val="tx1"/>
                  </w14:solidFill>
                </w14:textFill>
              </w:rPr>
              <w:t>属于</w:t>
            </w:r>
            <w:r>
              <w:rPr>
                <w:rFonts w:hint="default" w:ascii="Times New Roman" w:hAnsi="Times New Roman" w:cs="Times New Roman"/>
                <w:color w:val="000000" w:themeColor="text1"/>
                <w:sz w:val="24"/>
                <w:highlight w:val="none"/>
                <w14:textFill>
                  <w14:solidFill>
                    <w14:schemeClr w14:val="tx1"/>
                  </w14:solidFill>
                </w14:textFill>
              </w:rPr>
              <w:t>三十三、汽车制造业36——71、汽车零部件及配件制造367类中的其他（年用非溶剂型低VOCs含量涂料10吨以下的除外）</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highlight w:val="none"/>
                <w14:textFill>
                  <w14:solidFill>
                    <w14:schemeClr w14:val="tx1"/>
                  </w14:solidFill>
                </w14:textFill>
              </w:rPr>
              <w:t>因此，该项目应编制环</w:t>
            </w:r>
            <w:r>
              <w:rPr>
                <w:rFonts w:hint="default" w:ascii="Times New Roman" w:hAnsi="Times New Roman" w:cs="Times New Roman"/>
                <w:color w:val="000000" w:themeColor="text1"/>
                <w:sz w:val="24"/>
                <w:highlight w:val="none"/>
                <w14:textFill>
                  <w14:solidFill>
                    <w14:schemeClr w14:val="tx1"/>
                  </w14:solidFill>
                </w14:textFill>
              </w:rPr>
              <w:t>境影响报告表。</w:t>
            </w:r>
            <w:r>
              <w:rPr>
                <w:rFonts w:hint="eastAsia" w:cs="Times New Roman"/>
                <w:bCs/>
                <w:color w:val="000000" w:themeColor="text1"/>
                <w:sz w:val="24"/>
                <w:highlight w:val="none"/>
                <w:lang w:eastAsia="zh-CN"/>
                <w14:textFill>
                  <w14:solidFill>
                    <w14:schemeClr w14:val="tx1"/>
                  </w14:solidFill>
                </w14:textFill>
              </w:rPr>
              <w:t>芜湖研历光电科技有限公司</w:t>
            </w:r>
            <w:r>
              <w:rPr>
                <w:rFonts w:hint="default" w:ascii="Times New Roman" w:hAnsi="Times New Roman" w:cs="Times New Roman"/>
                <w:bCs/>
                <w:color w:val="000000" w:themeColor="text1"/>
                <w:sz w:val="24"/>
                <w:highlight w:val="none"/>
                <w14:textFill>
                  <w14:solidFill>
                    <w14:schemeClr w14:val="tx1"/>
                  </w14:solidFill>
                </w14:textFill>
              </w:rPr>
              <w:t>于2025年5月22日委托我</w:t>
            </w:r>
            <w:r>
              <w:rPr>
                <w:rFonts w:hint="default" w:ascii="Times New Roman" w:hAnsi="Times New Roman" w:cs="Times New Roman"/>
                <w:color w:val="000000" w:themeColor="text1"/>
                <w:sz w:val="24"/>
                <w:highlight w:val="none"/>
                <w14:textFill>
                  <w14:solidFill>
                    <w14:schemeClr w14:val="tx1"/>
                  </w14:solidFill>
                </w14:textFill>
              </w:rPr>
              <w:t>公司承担其环境影响评价工作。接受委托后，我公司立即组织有关技术人员进行</w:t>
            </w:r>
            <w:r>
              <w:rPr>
                <w:rFonts w:hint="default" w:ascii="Times New Roman" w:hAnsi="Times New Roman" w:cs="Times New Roman"/>
                <w:color w:val="000000" w:themeColor="text1"/>
                <w:kern w:val="0"/>
                <w:sz w:val="24"/>
                <w:highlight w:val="none"/>
                <w14:textFill>
                  <w14:solidFill>
                    <w14:schemeClr w14:val="tx1"/>
                  </w14:solidFill>
                </w14:textFill>
              </w:rPr>
              <w:t>现场</w:t>
            </w:r>
            <w:r>
              <w:rPr>
                <w:rFonts w:hint="default" w:ascii="Times New Roman" w:hAnsi="Times New Roman" w:cs="Times New Roman"/>
                <w:color w:val="000000" w:themeColor="text1"/>
                <w:sz w:val="24"/>
                <w:highlight w:val="none"/>
                <w14:textFill>
                  <w14:solidFill>
                    <w14:schemeClr w14:val="tx1"/>
                  </w14:solidFill>
                </w14:textFill>
              </w:rPr>
              <w:t>勘探、收集资料，依据国家有关法规文件和环境影响评价导则，编制了该项目环境影响报告表。</w:t>
            </w:r>
          </w:p>
          <w:p w14:paraId="1A2F7506">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本项目环境影响评价类别判定情况见下表：</w:t>
            </w:r>
          </w:p>
          <w:p w14:paraId="46BBFE76">
            <w:pPr>
              <w:pStyle w:val="37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b/>
                <w:color w:val="000000" w:themeColor="text1"/>
                <w:kern w:val="0"/>
                <w:sz w:val="24"/>
                <w:szCs w:val="20"/>
                <w:lang w:val="en-US" w:eastAsia="zh-CN" w:bidi="ar-SA"/>
                <w14:textFill>
                  <w14:solidFill>
                    <w14:schemeClr w14:val="tx1"/>
                  </w14:solidFill>
                </w14:textFill>
              </w:rPr>
              <w:t>表2-1  项目环评类别判定情况表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1370"/>
              <w:gridCol w:w="1976"/>
              <w:gridCol w:w="2226"/>
              <w:gridCol w:w="677"/>
              <w:gridCol w:w="2094"/>
            </w:tblGrid>
            <w:tr w14:paraId="1DFE0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1" w:type="pct"/>
                  <w:vMerge w:val="restart"/>
                  <w:tcBorders>
                    <w:right w:val="single" w:color="auto" w:sz="4" w:space="0"/>
                    <w:tl2br w:val="single" w:color="auto" w:sz="4" w:space="0"/>
                  </w:tcBorders>
                  <w:noWrap w:val="0"/>
                  <w:vAlign w:val="center"/>
                </w:tcPr>
                <w:p w14:paraId="125C98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cs="Times New Roman"/>
                      <w:b/>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sz w:val="21"/>
                      <w:szCs w:val="21"/>
                      <w14:textFill>
                        <w14:solidFill>
                          <w14:schemeClr w14:val="tx1"/>
                        </w14:solidFill>
                      </w14:textFill>
                    </w:rPr>
                    <w:t>环评类别</w:t>
                  </w:r>
                </w:p>
                <w:p w14:paraId="7E0EDB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both"/>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项目类别</w:t>
                  </w:r>
                </w:p>
              </w:tc>
              <w:tc>
                <w:tcPr>
                  <w:tcW w:w="2924" w:type="pct"/>
                  <w:gridSpan w:val="3"/>
                  <w:tcBorders>
                    <w:left w:val="single" w:color="auto" w:sz="4" w:space="0"/>
                    <w:bottom w:val="single" w:color="auto" w:sz="4" w:space="0"/>
                  </w:tcBorders>
                  <w:noWrap w:val="0"/>
                  <w:vAlign w:val="center"/>
                </w:tcPr>
                <w:p w14:paraId="688B02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环境影响评价类别</w:t>
                  </w:r>
                </w:p>
              </w:tc>
              <w:tc>
                <w:tcPr>
                  <w:tcW w:w="1254" w:type="pct"/>
                  <w:vMerge w:val="restart"/>
                  <w:tcBorders>
                    <w:left w:val="single" w:color="auto" w:sz="4" w:space="0"/>
                  </w:tcBorders>
                  <w:noWrap w:val="0"/>
                  <w:vAlign w:val="center"/>
                </w:tcPr>
                <w:p w14:paraId="151776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cs="Times New Roman"/>
                      <w:b/>
                      <w:color w:val="000000" w:themeColor="text1"/>
                      <w:sz w:val="21"/>
                      <w:szCs w:val="21"/>
                      <w:lang w:eastAsia="zh-CN"/>
                      <w14:textFill>
                        <w14:solidFill>
                          <w14:schemeClr w14:val="tx1"/>
                        </w14:solidFill>
                      </w14:textFill>
                    </w:rPr>
                    <w:t>本项目</w:t>
                  </w:r>
                </w:p>
              </w:tc>
            </w:tr>
            <w:tr w14:paraId="0E4BD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20" w:hRule="atLeast"/>
                <w:jc w:val="center"/>
              </w:trPr>
              <w:tc>
                <w:tcPr>
                  <w:tcW w:w="821" w:type="pct"/>
                  <w:vMerge w:val="continue"/>
                  <w:tcBorders>
                    <w:bottom w:val="single" w:color="auto" w:sz="4" w:space="0"/>
                    <w:right w:val="single" w:color="auto" w:sz="4" w:space="0"/>
                    <w:tl2br w:val="single" w:color="auto" w:sz="4" w:space="0"/>
                  </w:tcBorders>
                  <w:shd w:val="clear" w:color="auto" w:fill="auto"/>
                  <w:noWrap w:val="0"/>
                  <w:vAlign w:val="center"/>
                </w:tcPr>
                <w:p w14:paraId="42FDD0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
                      <w:color w:val="000000" w:themeColor="text1"/>
                      <w:sz w:val="21"/>
                      <w:szCs w:val="21"/>
                      <w14:textFill>
                        <w14:solidFill>
                          <w14:schemeClr w14:val="tx1"/>
                        </w14:solidFill>
                      </w14:textFill>
                    </w:rPr>
                  </w:pPr>
                </w:p>
              </w:tc>
              <w:tc>
                <w:tcPr>
                  <w:tcW w:w="11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EFD6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报告书</w:t>
                  </w:r>
                </w:p>
              </w:tc>
              <w:tc>
                <w:tcPr>
                  <w:tcW w:w="1334" w:type="pct"/>
                  <w:tcBorders>
                    <w:left w:val="single" w:color="auto" w:sz="4" w:space="0"/>
                    <w:bottom w:val="single" w:color="auto" w:sz="4" w:space="0"/>
                    <w:right w:val="single" w:color="auto" w:sz="4" w:space="0"/>
                  </w:tcBorders>
                  <w:shd w:val="clear" w:color="auto" w:fill="D7D7D7"/>
                  <w:noWrap w:val="0"/>
                  <w:vAlign w:val="center"/>
                </w:tcPr>
                <w:p w14:paraId="4E3A1E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报告表</w:t>
                  </w:r>
                </w:p>
              </w:tc>
              <w:tc>
                <w:tcPr>
                  <w:tcW w:w="405" w:type="pct"/>
                  <w:tcBorders>
                    <w:left w:val="single" w:color="auto" w:sz="4" w:space="0"/>
                    <w:bottom w:val="single" w:color="auto" w:sz="4" w:space="0"/>
                  </w:tcBorders>
                  <w:noWrap w:val="0"/>
                  <w:vAlign w:val="center"/>
                </w:tcPr>
                <w:p w14:paraId="548301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登记表</w:t>
                  </w:r>
                </w:p>
              </w:tc>
              <w:tc>
                <w:tcPr>
                  <w:tcW w:w="1254" w:type="pct"/>
                  <w:vMerge w:val="continue"/>
                  <w:tcBorders>
                    <w:left w:val="single" w:color="auto" w:sz="4" w:space="0"/>
                    <w:bottom w:val="single" w:color="auto" w:sz="4" w:space="0"/>
                  </w:tcBorders>
                  <w:noWrap w:val="0"/>
                  <w:vAlign w:val="center"/>
                </w:tcPr>
                <w:p w14:paraId="78D52B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
                      <w:color w:val="000000" w:themeColor="text1"/>
                      <w:sz w:val="21"/>
                      <w:szCs w:val="21"/>
                      <w14:textFill>
                        <w14:solidFill>
                          <w14:schemeClr w14:val="tx1"/>
                        </w14:solidFill>
                      </w14:textFill>
                    </w:rPr>
                  </w:pPr>
                </w:p>
              </w:tc>
            </w:tr>
            <w:tr w14:paraId="79EFD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5000" w:type="pct"/>
                  <w:gridSpan w:val="5"/>
                  <w:tcBorders>
                    <w:top w:val="single" w:color="auto" w:sz="4" w:space="0"/>
                    <w:bottom w:val="single" w:color="auto" w:sz="4" w:space="0"/>
                  </w:tcBorders>
                  <w:shd w:val="clear" w:color="auto" w:fill="auto"/>
                  <w:noWrap w:val="0"/>
                  <w:vAlign w:val="center"/>
                </w:tcPr>
                <w:p w14:paraId="1CC440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left"/>
                    <w:textAlignment w:val="auto"/>
                    <w:rPr>
                      <w:rFonts w:hint="default" w:cs="Times New Roman"/>
                      <w:b/>
                      <w:bCs w:val="0"/>
                      <w:color w:val="000000" w:themeColor="text1"/>
                      <w:kern w:val="2"/>
                      <w:sz w:val="21"/>
                      <w:szCs w:val="21"/>
                      <w:lang w:val="en-US" w:eastAsia="zh-CN" w:bidi="ar-SA"/>
                      <w14:textFill>
                        <w14:solidFill>
                          <w14:schemeClr w14:val="tx1"/>
                        </w14:solidFill>
                      </w14:textFill>
                    </w:rPr>
                  </w:pPr>
                  <w:r>
                    <w:rPr>
                      <w:rFonts w:hint="eastAsia" w:cs="Times New Roman"/>
                      <w:b/>
                      <w:bCs w:val="0"/>
                      <w:color w:val="000000" w:themeColor="text1"/>
                      <w:kern w:val="2"/>
                      <w:sz w:val="21"/>
                      <w:szCs w:val="21"/>
                      <w:lang w:val="en-US" w:eastAsia="zh-CN" w:bidi="ar-SA"/>
                      <w14:textFill>
                        <w14:solidFill>
                          <w14:schemeClr w14:val="tx1"/>
                        </w14:solidFill>
                      </w14:textFill>
                    </w:rPr>
                    <w:t>三十、金属制品业33</w:t>
                  </w:r>
                </w:p>
              </w:tc>
            </w:tr>
            <w:tr w14:paraId="51D9E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1" w:type="pct"/>
                  <w:tcBorders>
                    <w:top w:val="single" w:color="auto" w:sz="4" w:space="0"/>
                    <w:bottom w:val="single" w:color="auto" w:sz="4" w:space="0"/>
                  </w:tcBorders>
                  <w:shd w:val="clear" w:color="auto" w:fill="auto"/>
                  <w:noWrap w:val="0"/>
                  <w:vAlign w:val="center"/>
                </w:tcPr>
                <w:p w14:paraId="1A9585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6</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 xml:space="preserve">6、结构性金属制品制造 </w:t>
                  </w:r>
                </w:p>
                <w:p w14:paraId="77A841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331</w:t>
                  </w:r>
                </w:p>
              </w:tc>
              <w:tc>
                <w:tcPr>
                  <w:tcW w:w="1184" w:type="pct"/>
                  <w:tcBorders>
                    <w:top w:val="single" w:color="auto" w:sz="4" w:space="0"/>
                    <w:bottom w:val="single" w:color="auto" w:sz="4" w:space="0"/>
                  </w:tcBorders>
                  <w:shd w:val="clear" w:color="auto" w:fill="auto"/>
                  <w:noWrap w:val="0"/>
                  <w:vAlign w:val="center"/>
                </w:tcPr>
                <w:p w14:paraId="35513F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 xml:space="preserve">有电镀工艺的；年用溶剂型涂料（含稀 </w:t>
                  </w:r>
                </w:p>
                <w:p w14:paraId="65964E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释剂）10吨及以上的</w:t>
                  </w:r>
                </w:p>
              </w:tc>
              <w:tc>
                <w:tcPr>
                  <w:tcW w:w="1334" w:type="pct"/>
                  <w:tcBorders>
                    <w:top w:val="single" w:color="auto" w:sz="4" w:space="0"/>
                    <w:bottom w:val="single" w:color="auto" w:sz="4" w:space="0"/>
                  </w:tcBorders>
                  <w:shd w:val="clear" w:color="auto" w:fill="D7D7D7" w:themeFill="background1" w:themeFillShade="D8"/>
                  <w:noWrap w:val="0"/>
                  <w:vAlign w:val="center"/>
                </w:tcPr>
                <w:p w14:paraId="3BDDF8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其他（仅分割、焊接、组装的 除外；年用非溶剂型低VOCs含量涂料10吨以下的除外）</w:t>
                  </w:r>
                </w:p>
              </w:tc>
              <w:tc>
                <w:tcPr>
                  <w:tcW w:w="405" w:type="pct"/>
                  <w:tcBorders>
                    <w:top w:val="single" w:color="auto" w:sz="4" w:space="0"/>
                    <w:bottom w:val="single" w:color="auto" w:sz="4" w:space="0"/>
                  </w:tcBorders>
                  <w:shd w:val="clear" w:color="auto" w:fill="auto"/>
                  <w:noWrap w:val="0"/>
                  <w:vAlign w:val="center"/>
                </w:tcPr>
                <w:p w14:paraId="5CA79E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w:t>
                  </w:r>
                </w:p>
              </w:tc>
              <w:tc>
                <w:tcPr>
                  <w:tcW w:w="1254" w:type="pct"/>
                  <w:tcBorders>
                    <w:top w:val="single" w:color="auto" w:sz="4" w:space="0"/>
                    <w:bottom w:val="single" w:color="auto" w:sz="4" w:space="0"/>
                  </w:tcBorders>
                  <w:shd w:val="clear" w:color="auto" w:fill="auto"/>
                  <w:noWrap w:val="0"/>
                  <w:vAlign w:val="center"/>
                </w:tcPr>
                <w:p w14:paraId="15192C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项</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目涉及C3311金属结构制造，不涉及电镀工艺、溶剂型涂料，</w:t>
                  </w:r>
                </w:p>
                <w:p w14:paraId="0B57A2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Cs/>
                      <w:color w:val="000000" w:themeColor="text1"/>
                      <w:sz w:val="21"/>
                      <w:szCs w:val="21"/>
                      <w:lang w:val="en-US"/>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年用非溶剂型涂料160.66t/a，</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属于该类别中“其他”，需要编制环评报告表</w:t>
                  </w:r>
                </w:p>
              </w:tc>
            </w:tr>
            <w:tr w14:paraId="541B7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5000" w:type="pct"/>
                  <w:gridSpan w:val="5"/>
                  <w:tcBorders>
                    <w:top w:val="single" w:color="auto" w:sz="4" w:space="0"/>
                    <w:bottom w:val="single" w:color="auto" w:sz="4" w:space="0"/>
                  </w:tcBorders>
                  <w:shd w:val="clear" w:color="auto" w:fill="auto"/>
                  <w:noWrap w:val="0"/>
                  <w:vAlign w:val="center"/>
                </w:tcPr>
                <w:p w14:paraId="6F419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left"/>
                    <w:textAlignment w:val="auto"/>
                    <w:rPr>
                      <w:rFonts w:hint="eastAsia"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eastAsia" w:cs="Times New Roman"/>
                      <w:b/>
                      <w:bCs w:val="0"/>
                      <w:color w:val="000000" w:themeColor="text1"/>
                      <w:kern w:val="2"/>
                      <w:sz w:val="21"/>
                      <w:szCs w:val="21"/>
                      <w:lang w:val="en-US" w:eastAsia="zh-CN" w:bidi="ar-SA"/>
                      <w14:textFill>
                        <w14:solidFill>
                          <w14:schemeClr w14:val="tx1"/>
                        </w14:solidFill>
                      </w14:textFill>
                    </w:rPr>
                    <w:t>三十三、汽车制造业36</w:t>
                  </w:r>
                </w:p>
              </w:tc>
            </w:tr>
            <w:tr w14:paraId="6AB2A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1" w:type="pct"/>
                  <w:tcBorders>
                    <w:top w:val="single" w:color="auto" w:sz="4" w:space="0"/>
                    <w:bottom w:val="single" w:color="auto" w:sz="4" w:space="0"/>
                  </w:tcBorders>
                  <w:shd w:val="clear" w:color="auto" w:fill="auto"/>
                  <w:noWrap w:val="0"/>
                  <w:vAlign w:val="center"/>
                </w:tcPr>
                <w:p w14:paraId="3EBA02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71、汽车零部件及配件制造367</w:t>
                  </w:r>
                </w:p>
              </w:tc>
              <w:tc>
                <w:tcPr>
                  <w:tcW w:w="1184" w:type="pct"/>
                  <w:tcBorders>
                    <w:top w:val="single" w:color="auto" w:sz="4" w:space="0"/>
                    <w:bottom w:val="single" w:color="auto" w:sz="4" w:space="0"/>
                  </w:tcBorders>
                  <w:shd w:val="clear" w:color="auto" w:fill="auto"/>
                  <w:noWrap w:val="0"/>
                  <w:vAlign w:val="center"/>
                </w:tcPr>
                <w:p w14:paraId="5DDFA0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 xml:space="preserve">汽车整车制造（仅组装的除外）；汽车用 </w:t>
                  </w:r>
                </w:p>
                <w:p w14:paraId="789984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 xml:space="preserve">发动机制造（仅组装的除外）；有电镀工 </w:t>
                  </w:r>
                </w:p>
                <w:p w14:paraId="05DE4F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 xml:space="preserve">艺的；年用溶剂型涂料（含稀释剂）10 </w:t>
                  </w:r>
                </w:p>
                <w:p w14:paraId="57B5DD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吨及以上的</w:t>
                  </w:r>
                </w:p>
              </w:tc>
              <w:tc>
                <w:tcPr>
                  <w:tcW w:w="1334" w:type="pct"/>
                  <w:tcBorders>
                    <w:top w:val="single" w:color="auto" w:sz="4" w:space="0"/>
                    <w:bottom w:val="single" w:color="auto" w:sz="4" w:space="0"/>
                  </w:tcBorders>
                  <w:shd w:val="clear" w:color="auto" w:fill="D7D7D7" w:themeFill="background1" w:themeFillShade="D8"/>
                  <w:noWrap w:val="0"/>
                  <w:vAlign w:val="center"/>
                </w:tcPr>
                <w:p w14:paraId="4FCBCC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其他（年用非溶剂型低VOCs含量涂料10吨以下的除外）</w:t>
                  </w:r>
                </w:p>
              </w:tc>
              <w:tc>
                <w:tcPr>
                  <w:tcW w:w="405" w:type="pct"/>
                  <w:tcBorders>
                    <w:top w:val="single" w:color="auto" w:sz="4" w:space="0"/>
                    <w:bottom w:val="single" w:color="auto" w:sz="4" w:space="0"/>
                  </w:tcBorders>
                  <w:shd w:val="clear" w:color="auto" w:fill="auto"/>
                  <w:noWrap w:val="0"/>
                  <w:vAlign w:val="center"/>
                </w:tcPr>
                <w:p w14:paraId="638AF0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w:t>
                  </w:r>
                </w:p>
              </w:tc>
              <w:tc>
                <w:tcPr>
                  <w:tcW w:w="1254" w:type="pct"/>
                  <w:tcBorders>
                    <w:top w:val="single" w:color="auto" w:sz="4" w:space="0"/>
                    <w:bottom w:val="single" w:color="auto" w:sz="4" w:space="0"/>
                  </w:tcBorders>
                  <w:shd w:val="clear" w:color="auto" w:fill="auto"/>
                  <w:noWrap w:val="0"/>
                  <w:vAlign w:val="center"/>
                </w:tcPr>
                <w:p w14:paraId="60C821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项</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目涉及C3670汽车零部件及配件制造，不涉及电镀工艺、溶剂型涂料</w:t>
                  </w:r>
                  <w:r>
                    <w:rPr>
                      <w:rFonts w:hint="eastAsia" w:cs="Times New Roman"/>
                      <w:bCs/>
                      <w:color w:val="000000" w:themeColor="text1"/>
                      <w:sz w:val="21"/>
                      <w:szCs w:val="21"/>
                      <w:lang w:val="en-US" w:eastAsia="zh-CN"/>
                      <w14:textFill>
                        <w14:solidFill>
                          <w14:schemeClr w14:val="tx1"/>
                        </w14:solidFill>
                      </w14:textFill>
                    </w:rPr>
                    <w:t>，年用非溶剂型涂料160.66t/a，</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属于该类别中“其他”，需要编制环评报告表</w:t>
                  </w:r>
                </w:p>
              </w:tc>
            </w:tr>
          </w:tbl>
          <w:p w14:paraId="12C01C6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对照《固定污染源排污许可分类管理名录》（2019年版）中相关内容，内容如下：</w:t>
            </w:r>
          </w:p>
          <w:p w14:paraId="7C475557">
            <w:pPr>
              <w:pStyle w:val="37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b/>
                <w:color w:val="000000" w:themeColor="text1"/>
                <w:kern w:val="0"/>
                <w:sz w:val="24"/>
                <w:szCs w:val="20"/>
                <w:lang w:val="en-US" w:eastAsia="zh-CN" w:bidi="ar-SA"/>
                <w14:textFill>
                  <w14:solidFill>
                    <w14:schemeClr w14:val="tx1"/>
                  </w14:solidFill>
                </w14:textFill>
              </w:rPr>
              <w:t>表2-2  固定污染源排污许可分类管理名录对照表</w:t>
            </w:r>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330"/>
              <w:gridCol w:w="828"/>
              <w:gridCol w:w="1035"/>
              <w:gridCol w:w="2910"/>
              <w:gridCol w:w="1305"/>
              <w:gridCol w:w="1938"/>
            </w:tblGrid>
            <w:tr w14:paraId="46FCC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74" w:hRule="atLeast"/>
              </w:trPr>
              <w:tc>
                <w:tcPr>
                  <w:tcW w:w="0" w:type="auto"/>
                  <w:shd w:val="clear" w:color="auto" w:fill="auto"/>
                  <w:vAlign w:val="center"/>
                </w:tcPr>
                <w:p w14:paraId="6EF1C40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序号</w:t>
                  </w:r>
                </w:p>
              </w:tc>
              <w:tc>
                <w:tcPr>
                  <w:tcW w:w="828" w:type="dxa"/>
                  <w:shd w:val="clear" w:color="auto" w:fill="auto"/>
                  <w:vAlign w:val="center"/>
                </w:tcPr>
                <w:p w14:paraId="14EBE0E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行业类别</w:t>
                  </w:r>
                </w:p>
              </w:tc>
              <w:tc>
                <w:tcPr>
                  <w:tcW w:w="1035" w:type="dxa"/>
                  <w:shd w:val="clear" w:color="auto" w:fill="auto"/>
                  <w:vAlign w:val="center"/>
                </w:tcPr>
                <w:p w14:paraId="507C4FE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重点管理</w:t>
                  </w:r>
                </w:p>
              </w:tc>
              <w:tc>
                <w:tcPr>
                  <w:tcW w:w="2910" w:type="dxa"/>
                  <w:shd w:val="clear" w:color="auto" w:fill="auto"/>
                  <w:vAlign w:val="center"/>
                </w:tcPr>
                <w:p w14:paraId="6FCE9E8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简化管理</w:t>
                  </w:r>
                </w:p>
              </w:tc>
              <w:tc>
                <w:tcPr>
                  <w:tcW w:w="1305" w:type="dxa"/>
                  <w:shd w:val="clear" w:color="auto" w:fill="D7D7D7" w:themeFill="background1" w:themeFillShade="D8"/>
                  <w:vAlign w:val="center"/>
                </w:tcPr>
                <w:p w14:paraId="1587924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shd w:val="pct10" w:color="auto" w:fill="FFFFFF"/>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登记管理</w:t>
                  </w:r>
                </w:p>
              </w:tc>
              <w:tc>
                <w:tcPr>
                  <w:tcW w:w="1938" w:type="dxa"/>
                  <w:shd w:val="clear" w:color="auto" w:fill="D7D7D7" w:themeFill="background1" w:themeFillShade="D8"/>
                  <w:vAlign w:val="center"/>
                </w:tcPr>
                <w:p w14:paraId="4D54E66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color w:val="000000" w:themeColor="text1"/>
                      <w:sz w:val="21"/>
                      <w:szCs w:val="21"/>
                      <w:lang w:eastAsia="zh-CN"/>
                      <w14:textFill>
                        <w14:solidFill>
                          <w14:schemeClr w14:val="tx1"/>
                        </w14:solidFill>
                      </w14:textFill>
                    </w:rPr>
                    <w:t>本项目</w:t>
                  </w:r>
                </w:p>
              </w:tc>
            </w:tr>
            <w:tr w14:paraId="4FBC0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0" w:type="auto"/>
                  <w:gridSpan w:val="6"/>
                  <w:shd w:val="clear" w:color="auto" w:fill="auto"/>
                  <w:vAlign w:val="center"/>
                </w:tcPr>
                <w:p w14:paraId="2275C252">
                  <w:pPr>
                    <w:keepNext w:val="0"/>
                    <w:keepLines w:val="0"/>
                    <w:widowControl/>
                    <w:suppressLineNumbers w:val="0"/>
                    <w:spacing w:before="0" w:beforeAutospacing="0" w:after="0" w:afterAutospacing="0"/>
                    <w:ind w:left="0" w:right="0"/>
                    <w:jc w:val="left"/>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二十八、金属制品业 33</w:t>
                  </w:r>
                </w:p>
              </w:tc>
            </w:tr>
            <w:tr w14:paraId="34518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0" w:type="auto"/>
                  <w:shd w:val="clear" w:color="auto" w:fill="auto"/>
                  <w:vAlign w:val="center"/>
                </w:tcPr>
                <w:p w14:paraId="75C9FE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80</w:t>
                  </w:r>
                </w:p>
              </w:tc>
              <w:tc>
                <w:tcPr>
                  <w:tcW w:w="828" w:type="dxa"/>
                  <w:shd w:val="clear" w:color="auto" w:fill="auto"/>
                  <w:vAlign w:val="center"/>
                </w:tcPr>
                <w:p w14:paraId="572931E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结构性金属制品制造 331</w:t>
                  </w:r>
                </w:p>
              </w:tc>
              <w:tc>
                <w:tcPr>
                  <w:tcW w:w="1035" w:type="dxa"/>
                  <w:shd w:val="clear" w:color="auto" w:fill="auto"/>
                  <w:vAlign w:val="center"/>
                </w:tcPr>
                <w:p w14:paraId="342FE73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涉及通用工序重点管理的</w:t>
                  </w:r>
                </w:p>
              </w:tc>
              <w:tc>
                <w:tcPr>
                  <w:tcW w:w="2910" w:type="dxa"/>
                  <w:shd w:val="clear" w:color="auto" w:fill="auto"/>
                  <w:vAlign w:val="center"/>
                </w:tcPr>
                <w:p w14:paraId="1C3865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涉及通用工序简化管理的</w:t>
                  </w:r>
                </w:p>
              </w:tc>
              <w:tc>
                <w:tcPr>
                  <w:tcW w:w="1305" w:type="dxa"/>
                  <w:shd w:val="clear" w:color="auto" w:fill="D7D7D7" w:themeFill="background1" w:themeFillShade="D8"/>
                  <w:vAlign w:val="center"/>
                </w:tcPr>
                <w:p w14:paraId="56B17C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其他</w:t>
                  </w:r>
                </w:p>
              </w:tc>
              <w:tc>
                <w:tcPr>
                  <w:tcW w:w="1938" w:type="dxa"/>
                  <w:shd w:val="clear" w:color="auto" w:fill="D7D7D7" w:themeFill="background1" w:themeFillShade="D8"/>
                  <w:vAlign w:val="center"/>
                </w:tcPr>
                <w:p w14:paraId="42F5687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项</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目涉及C3670汽车零部件及配件制造，</w:t>
                  </w:r>
                  <w:r>
                    <w:rPr>
                      <w:rFonts w:hint="default" w:ascii="Times New Roman" w:hAnsi="Times New Roman" w:cs="Times New Roman"/>
                      <w:bCs/>
                      <w:color w:val="000000" w:themeColor="text1"/>
                      <w:sz w:val="21"/>
                      <w:szCs w:val="21"/>
                      <w:lang w:val="en-US" w:eastAsia="zh-CN"/>
                      <w14:textFill>
                        <w14:solidFill>
                          <w14:schemeClr w14:val="tx1"/>
                        </w14:solidFill>
                      </w14:textFill>
                    </w:rPr>
                    <w:t>为新建项目</w:t>
                  </w:r>
                  <w:r>
                    <w:rPr>
                      <w:rFonts w:hint="eastAsia" w:ascii="Times New Roman" w:hAnsi="Times New Roman" w:cs="Times New Roman"/>
                      <w:bCs/>
                      <w:color w:val="000000" w:themeColor="text1"/>
                      <w:sz w:val="21"/>
                      <w:szCs w:val="21"/>
                      <w:lang w:val="en-US" w:eastAsia="zh-CN"/>
                      <w14:textFill>
                        <w14:solidFill>
                          <w14:schemeClr w14:val="tx1"/>
                        </w14:solidFill>
                      </w14:textFill>
                    </w:rPr>
                    <w:t>不涉及通用工序重点管理和简化管理</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属于该类别中“其他”，为登记管理</w:t>
                  </w:r>
                </w:p>
              </w:tc>
            </w:tr>
            <w:tr w14:paraId="741A9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0" w:type="auto"/>
                  <w:gridSpan w:val="6"/>
                  <w:shd w:val="clear" w:color="auto" w:fill="auto"/>
                  <w:vAlign w:val="center"/>
                </w:tcPr>
                <w:p w14:paraId="747F2051">
                  <w:pPr>
                    <w:keepNext w:val="0"/>
                    <w:keepLines w:val="0"/>
                    <w:suppressLineNumbers w:val="0"/>
                    <w:snapToGrid w:val="0"/>
                    <w:spacing w:before="0" w:beforeAutospacing="0" w:after="0" w:afterAutospacing="0"/>
                    <w:ind w:left="0" w:right="0"/>
                    <w:jc w:val="left"/>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三十一、汽车制造业31</w:t>
                  </w:r>
                </w:p>
              </w:tc>
            </w:tr>
            <w:tr w14:paraId="4C3AE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0" w:type="auto"/>
                  <w:shd w:val="clear" w:color="auto" w:fill="auto"/>
                  <w:vAlign w:val="center"/>
                </w:tcPr>
                <w:p w14:paraId="03CB579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85</w:t>
                  </w:r>
                </w:p>
              </w:tc>
              <w:tc>
                <w:tcPr>
                  <w:tcW w:w="828" w:type="dxa"/>
                  <w:shd w:val="clear" w:color="auto" w:fill="auto"/>
                  <w:vAlign w:val="center"/>
                </w:tcPr>
                <w:p w14:paraId="6F6532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汽车零部件及配件制造367</w:t>
                  </w:r>
                </w:p>
              </w:tc>
              <w:tc>
                <w:tcPr>
                  <w:tcW w:w="1035" w:type="dxa"/>
                  <w:shd w:val="clear" w:color="auto" w:fill="auto"/>
                  <w:vAlign w:val="center"/>
                </w:tcPr>
                <w:p w14:paraId="5E02940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纳入重点排污单位名录的</w:t>
                  </w:r>
                </w:p>
              </w:tc>
              <w:tc>
                <w:tcPr>
                  <w:tcW w:w="2910" w:type="dxa"/>
                  <w:shd w:val="clear" w:color="auto" w:fill="auto"/>
                  <w:vAlign w:val="center"/>
                </w:tcPr>
                <w:p w14:paraId="78A5AB1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除重点管理以外的汽车整车制造361，除重点管理以外的年使用10吨及以上溶剂型涂料或者胶粘剂（含稀释剂、固化剂、清洗溶剂）的汽车用发动机制造 362、改装汽车制造363、低速汽车制造 364、电车制造365、汽车车身、挂车制造 366、汽车零部件及配件制造 367</w:t>
                  </w:r>
                </w:p>
              </w:tc>
              <w:tc>
                <w:tcPr>
                  <w:tcW w:w="1305" w:type="dxa"/>
                  <w:shd w:val="clear" w:color="auto" w:fill="D7D7D7" w:themeFill="background1" w:themeFillShade="D8"/>
                  <w:vAlign w:val="center"/>
                </w:tcPr>
                <w:p w14:paraId="327ACB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其他</w:t>
                  </w:r>
                </w:p>
              </w:tc>
              <w:tc>
                <w:tcPr>
                  <w:tcW w:w="1938" w:type="dxa"/>
                  <w:shd w:val="clear" w:color="auto" w:fill="D7D7D7" w:themeFill="background1" w:themeFillShade="D8"/>
                  <w:vAlign w:val="center"/>
                </w:tcPr>
                <w:p w14:paraId="1DF8E9F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项</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目涉及C3670汽车零部件及配件制造，</w:t>
                  </w:r>
                  <w:r>
                    <w:rPr>
                      <w:rFonts w:hint="default" w:ascii="Times New Roman" w:hAnsi="Times New Roman" w:cs="Times New Roman"/>
                      <w:bCs/>
                      <w:color w:val="000000" w:themeColor="text1"/>
                      <w:sz w:val="21"/>
                      <w:szCs w:val="21"/>
                      <w:lang w:val="en-US" w:eastAsia="zh-CN"/>
                      <w14:textFill>
                        <w14:solidFill>
                          <w14:schemeClr w14:val="tx1"/>
                        </w14:solidFill>
                      </w14:textFill>
                    </w:rPr>
                    <w:t>为新建项目未纳入重点排污单位名录，不涉及溶剂型涂料或者</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胶粘剂（含稀释剂、固化剂、清洗溶剂）</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属于该类别中“其他”，为登记管理</w:t>
                  </w:r>
                </w:p>
              </w:tc>
            </w:tr>
          </w:tbl>
          <w:p w14:paraId="05A5808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对照上表内容，本项目属于排污许可中“登记管理”，根据现有项目环评可知，现有项目属于登记管理，综上，项目建成后属于排污许可中“登记</w:t>
            </w:r>
            <w:r>
              <w:rPr>
                <w:rFonts w:hint="default" w:ascii="Times New Roman" w:hAnsi="Times New Roman" w:cs="Times New Roman"/>
                <w:bCs/>
                <w:color w:val="000000" w:themeColor="text1"/>
                <w:sz w:val="24"/>
                <w:highlight w:val="none"/>
                <w14:textFill>
                  <w14:solidFill>
                    <w14:schemeClr w14:val="tx1"/>
                  </w14:solidFill>
                </w14:textFill>
              </w:rPr>
              <w:t>管理”，</w:t>
            </w:r>
            <w:r>
              <w:rPr>
                <w:rFonts w:hint="eastAsia" w:cs="Times New Roman"/>
                <w:color w:val="000000" w:themeColor="text1"/>
                <w:kern w:val="0"/>
                <w:sz w:val="24"/>
                <w:highlight w:val="none"/>
                <w:lang w:eastAsia="zh-CN"/>
                <w14:textFill>
                  <w14:solidFill>
                    <w14:schemeClr w14:val="tx1"/>
                  </w14:solidFill>
                </w14:textFill>
              </w:rPr>
              <w:t>芜湖研历光电科技有限公司</w:t>
            </w:r>
            <w:r>
              <w:rPr>
                <w:rFonts w:hint="default" w:ascii="Times New Roman" w:hAnsi="Times New Roman" w:cs="Times New Roman"/>
                <w:color w:val="000000" w:themeColor="text1"/>
                <w:kern w:val="0"/>
                <w:sz w:val="24"/>
                <w:highlight w:val="none"/>
                <w14:textFill>
                  <w14:solidFill>
                    <w14:schemeClr w14:val="tx1"/>
                  </w14:solidFill>
                </w14:textFill>
              </w:rPr>
              <w:t>于202</w:t>
            </w:r>
            <w:r>
              <w:rPr>
                <w:rFonts w:hint="eastAsia" w:cs="Times New Roman"/>
                <w:color w:val="000000" w:themeColor="text1"/>
                <w:kern w:val="0"/>
                <w:sz w:val="24"/>
                <w:highlight w:val="none"/>
                <w:lang w:val="en-US" w:eastAsia="zh-CN"/>
                <w14:textFill>
                  <w14:solidFill>
                    <w14:schemeClr w14:val="tx1"/>
                  </w14:solidFill>
                </w14:textFill>
              </w:rPr>
              <w:t>0</w:t>
            </w:r>
            <w:r>
              <w:rPr>
                <w:rFonts w:hint="default" w:ascii="Times New Roman" w:hAnsi="Times New Roman" w:cs="Times New Roman"/>
                <w:color w:val="000000" w:themeColor="text1"/>
                <w:kern w:val="0"/>
                <w:sz w:val="24"/>
                <w:highlight w:val="none"/>
                <w14:textFill>
                  <w14:solidFill>
                    <w14:schemeClr w14:val="tx1"/>
                  </w14:solidFill>
                </w14:textFill>
              </w:rPr>
              <w:t>年</w:t>
            </w:r>
            <w:r>
              <w:rPr>
                <w:rFonts w:hint="eastAsia" w:cs="Times New Roman"/>
                <w:color w:val="000000" w:themeColor="text1"/>
                <w:kern w:val="0"/>
                <w:sz w:val="24"/>
                <w:highlight w:val="none"/>
                <w:lang w:val="en-US" w:eastAsia="zh-CN"/>
                <w14:textFill>
                  <w14:solidFill>
                    <w14:schemeClr w14:val="tx1"/>
                  </w14:solidFill>
                </w14:textFill>
              </w:rPr>
              <w:t>5</w:t>
            </w:r>
            <w:r>
              <w:rPr>
                <w:rFonts w:hint="default" w:ascii="Times New Roman" w:hAnsi="Times New Roman" w:cs="Times New Roman"/>
                <w:color w:val="000000" w:themeColor="text1"/>
                <w:kern w:val="0"/>
                <w:sz w:val="24"/>
                <w:highlight w:val="none"/>
                <w14:textFill>
                  <w14:solidFill>
                    <w14:schemeClr w14:val="tx1"/>
                  </w14:solidFill>
                </w14:textFill>
              </w:rPr>
              <w:t>月</w:t>
            </w:r>
            <w:r>
              <w:rPr>
                <w:rFonts w:hint="eastAsia" w:cs="Times New Roman"/>
                <w:color w:val="000000" w:themeColor="text1"/>
                <w:kern w:val="0"/>
                <w:sz w:val="24"/>
                <w:highlight w:val="none"/>
                <w:lang w:val="en-US" w:eastAsia="zh-CN"/>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7日进行了排污许可登记，建设单位承诺在本项目投产前，登录全国排污许可证管理信息平台进行变更。</w:t>
            </w:r>
            <w:r>
              <w:rPr>
                <w:rFonts w:hint="default" w:ascii="Times New Roman" w:hAnsi="Times New Roman" w:cs="Times New Roman"/>
                <w:color w:val="000000" w:themeColor="text1"/>
                <w:sz w:val="24"/>
                <w:highlight w:val="none"/>
                <w14:textFill>
                  <w14:solidFill>
                    <w14:schemeClr w14:val="tx1"/>
                  </w14:solidFill>
                </w14:textFill>
              </w:rPr>
              <w:t>根据安徽省生态环境厅《关于统筹做好固定污染源排污许可日常监管工作的通知》（皖环发[2021]7号），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和《建设项目排污许可申请与填报信息表》。由于本项目属于现行《固定污染源排污许可分类管理名录》里“登记管理”，无需填报“建设项目环境影响评价与排污许可联动内容”和《建设项目排污许可申请与填报信息表》。</w:t>
            </w:r>
          </w:p>
          <w:p w14:paraId="084DF7CF">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2、</w:t>
            </w:r>
            <w:r>
              <w:rPr>
                <w:rFonts w:hint="default" w:ascii="Times New Roman" w:hAnsi="Times New Roman" w:cs="Times New Roman"/>
                <w:b/>
                <w:color w:val="000000" w:themeColor="text1"/>
                <w:kern w:val="0"/>
                <w:sz w:val="24"/>
                <w:highlight w:val="none"/>
                <w14:textFill>
                  <w14:solidFill>
                    <w14:schemeClr w14:val="tx1"/>
                  </w14:solidFill>
                </w14:textFill>
              </w:rPr>
              <w:t>项目建设内容</w:t>
            </w:r>
          </w:p>
          <w:p w14:paraId="43A86DD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w:t>
            </w:r>
            <w:r>
              <w:rPr>
                <w:rFonts w:hint="eastAsia" w:cs="Times New Roman"/>
                <w:color w:val="000000" w:themeColor="text1"/>
                <w:sz w:val="24"/>
                <w:highlight w:val="none"/>
                <w:lang w:val="en-US" w:eastAsia="zh-CN"/>
                <w14:textFill>
                  <w14:solidFill>
                    <w14:schemeClr w14:val="tx1"/>
                  </w14:solidFill>
                </w14:textFill>
              </w:rPr>
              <w:t>租赁新的厂房进行生产</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与现有项目主体工程、辅助工程、公用工程、环保工程等无依托关系</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故仅列出</w:t>
            </w:r>
            <w:r>
              <w:rPr>
                <w:rFonts w:hint="default" w:ascii="Times New Roman" w:hAnsi="Times New Roman" w:cs="Times New Roman"/>
                <w:color w:val="000000" w:themeColor="text1"/>
                <w:sz w:val="24"/>
                <w:highlight w:val="none"/>
                <w14:textFill>
                  <w14:solidFill>
                    <w14:schemeClr w14:val="tx1"/>
                  </w14:solidFill>
                </w14:textFill>
              </w:rPr>
              <w:t>本项目建设具体内容见下表。</w:t>
            </w:r>
          </w:p>
          <w:p w14:paraId="61B3104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6AC42C3A">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1C5746C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2AAC7F0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44A97D9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6CBDF393">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tc>
      </w:tr>
    </w:tbl>
    <w:p w14:paraId="121C51A0">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61"/>
        <w:tblW w:w="906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00"/>
        <w:gridCol w:w="5"/>
      </w:tblGrid>
      <w:tr w14:paraId="5CB253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7696" w:hRule="atLeast"/>
        </w:trPr>
        <w:tc>
          <w:tcPr>
            <w:tcW w:w="456" w:type="dxa"/>
            <w:shd w:val="clear" w:color="auto" w:fill="auto"/>
            <w:vAlign w:val="center"/>
          </w:tcPr>
          <w:p w14:paraId="2D851F4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建设内容</w:t>
            </w:r>
          </w:p>
        </w:tc>
        <w:tc>
          <w:tcPr>
            <w:tcW w:w="8600" w:type="dxa"/>
            <w:shd w:val="clear" w:color="auto" w:fill="auto"/>
            <w:vAlign w:val="center"/>
          </w:tcPr>
          <w:p w14:paraId="1344D4A7">
            <w:pPr>
              <w:keepNext w:val="0"/>
              <w:keepLines w:val="0"/>
              <w:suppressLineNumbers w:val="0"/>
              <w:spacing w:before="100" w:beforeAutospacing="1" w:after="0" w:afterAutospacing="0"/>
              <w:ind w:left="0" w:right="0"/>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表2-3  建设项目组成内容一览表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578"/>
              <w:gridCol w:w="878"/>
              <w:gridCol w:w="809"/>
              <w:gridCol w:w="519"/>
              <w:gridCol w:w="3949"/>
              <w:gridCol w:w="1067"/>
            </w:tblGrid>
            <w:tr w14:paraId="7040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1" w:type="pct"/>
                  <w:vAlign w:val="center"/>
                </w:tcPr>
                <w:p w14:paraId="2CB3AEF5">
                  <w:pPr>
                    <w:keepNext w:val="0"/>
                    <w:keepLines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序号</w:t>
                  </w:r>
                </w:p>
              </w:tc>
              <w:tc>
                <w:tcPr>
                  <w:tcW w:w="345" w:type="pct"/>
                  <w:vAlign w:val="center"/>
                </w:tcPr>
                <w:p w14:paraId="1EED31C5">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类别</w:t>
                  </w:r>
                </w:p>
              </w:tc>
              <w:tc>
                <w:tcPr>
                  <w:tcW w:w="524" w:type="pct"/>
                  <w:vAlign w:val="center"/>
                </w:tcPr>
                <w:p w14:paraId="7D316095">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工程</w:t>
                  </w:r>
                </w:p>
                <w:p w14:paraId="6F563766">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名称</w:t>
                  </w:r>
                </w:p>
              </w:tc>
              <w:tc>
                <w:tcPr>
                  <w:tcW w:w="3151" w:type="pct"/>
                  <w:gridSpan w:val="3"/>
                  <w:vAlign w:val="center"/>
                </w:tcPr>
                <w:p w14:paraId="1A9F284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本工程内容</w:t>
                  </w:r>
                </w:p>
              </w:tc>
              <w:tc>
                <w:tcPr>
                  <w:tcW w:w="637" w:type="pct"/>
                  <w:vAlign w:val="center"/>
                </w:tcPr>
                <w:p w14:paraId="7C96E36C">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备</w:t>
                  </w:r>
                  <w:r>
                    <w:rPr>
                      <w:rFonts w:hint="default"/>
                      <w:color w:val="000000" w:themeColor="text1"/>
                      <w14:textFill>
                        <w14:solidFill>
                          <w14:schemeClr w14:val="tx1"/>
                        </w14:solidFill>
                      </w14:textFill>
                    </w:rPr>
                    <w:commentReference w:id="12"/>
                  </w:r>
                  <w:r>
                    <w:rPr>
                      <w:rFonts w:hint="default"/>
                      <w:color w:val="000000" w:themeColor="text1"/>
                      <w14:textFill>
                        <w14:solidFill>
                          <w14:schemeClr w14:val="tx1"/>
                        </w14:solidFill>
                      </w14:textFill>
                    </w:rPr>
                    <w:commentReference w:id="13"/>
                  </w:r>
                  <w:r>
                    <w:rPr>
                      <w:rFonts w:hint="default" w:ascii="Times New Roman" w:hAnsi="Times New Roman" w:cs="Times New Roman"/>
                      <w:b/>
                      <w:color w:val="000000" w:themeColor="text1"/>
                      <w:szCs w:val="21"/>
                      <w:highlight w:val="none"/>
                      <w14:textFill>
                        <w14:solidFill>
                          <w14:schemeClr w14:val="tx1"/>
                        </w14:solidFill>
                      </w14:textFill>
                    </w:rPr>
                    <w:t>注</w:t>
                  </w:r>
                </w:p>
              </w:tc>
            </w:tr>
            <w:tr w14:paraId="239F9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1" w:type="pct"/>
                  <w:vAlign w:val="center"/>
                </w:tcPr>
                <w:p w14:paraId="5CC73DC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345" w:type="pct"/>
                  <w:vAlign w:val="center"/>
                </w:tcPr>
                <w:p w14:paraId="1F69444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主体工程</w:t>
                  </w:r>
                </w:p>
              </w:tc>
              <w:tc>
                <w:tcPr>
                  <w:tcW w:w="524" w:type="pct"/>
                  <w:vAlign w:val="center"/>
                </w:tcPr>
                <w:p w14:paraId="2E473EC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生产</w:t>
                  </w:r>
                </w:p>
                <w:p w14:paraId="48EE11A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车间</w:t>
                  </w:r>
                </w:p>
              </w:tc>
              <w:tc>
                <w:tcPr>
                  <w:tcW w:w="3151" w:type="pct"/>
                  <w:gridSpan w:val="3"/>
                  <w:vAlign w:val="center"/>
                </w:tcPr>
                <w:p w14:paraId="392D3B5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lang w:val="en-US" w:eastAsia="zh-CN"/>
                      <w14:textFill>
                        <w14:solidFill>
                          <w14:schemeClr w14:val="tx1"/>
                        </w14:solidFill>
                      </w14:textFill>
                    </w:rPr>
                    <w:t>整体</w:t>
                  </w:r>
                  <w:r>
                    <w:rPr>
                      <w:rFonts w:hint="eastAsia" w:ascii="Times New Roman" w:hAnsi="Times New Roman" w:eastAsia="宋体" w:cs="Times New Roman"/>
                      <w:color w:val="000000" w:themeColor="text1"/>
                      <w:lang w:val="en-US" w:eastAsia="zh-CN"/>
                      <w14:textFill>
                        <w14:solidFill>
                          <w14:schemeClr w14:val="tx1"/>
                        </w14:solidFill>
                      </w14:textFill>
                    </w:rPr>
                    <w:t>1</w:t>
                  </w:r>
                  <w:r>
                    <w:rPr>
                      <w:rFonts w:hint="default" w:ascii="Times New Roman" w:hAnsi="Times New Roman" w:eastAsia="宋体" w:cs="Times New Roman"/>
                      <w:color w:val="000000" w:themeColor="text1"/>
                      <w:lang w:val="en-US" w:eastAsia="zh-CN"/>
                      <w14:textFill>
                        <w14:solidFill>
                          <w14:schemeClr w14:val="tx1"/>
                        </w14:solidFill>
                      </w14:textFill>
                    </w:rPr>
                    <w:t>F，高</w:t>
                  </w:r>
                  <w:r>
                    <w:rPr>
                      <w:rFonts w:hint="eastAsia" w:cs="Times New Roman"/>
                      <w:color w:val="000000" w:themeColor="text1"/>
                      <w:lang w:val="en-US" w:eastAsia="zh-CN"/>
                      <w14:textFill>
                        <w14:solidFill>
                          <w14:schemeClr w14:val="tx1"/>
                        </w14:solidFill>
                      </w14:textFill>
                    </w:rPr>
                    <w:t>7.5</w:t>
                  </w:r>
                  <w:r>
                    <w:rPr>
                      <w:rFonts w:hint="default" w:ascii="Times New Roman" w:hAnsi="Times New Roman" w:eastAsia="宋体" w:cs="Times New Roman"/>
                      <w:color w:val="000000" w:themeColor="text1"/>
                      <w:lang w:val="en-US" w:eastAsia="zh-CN"/>
                      <w14:textFill>
                        <w14:solidFill>
                          <w14:schemeClr w14:val="tx1"/>
                        </w14:solidFill>
                      </w14:textFill>
                    </w:rPr>
                    <w:t>m</w:t>
                  </w:r>
                  <w:r>
                    <w:rPr>
                      <w:rFonts w:hint="eastAsia" w:ascii="Times New Roman" w:hAnsi="Times New Roman" w:eastAsia="宋体" w:cs="Times New Roman"/>
                      <w:color w:val="000000" w:themeColor="text1"/>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局部西侧2F，高3.5m，</w:t>
                  </w:r>
                  <w:r>
                    <w:rPr>
                      <w:rFonts w:hint="default" w:ascii="Times New Roman" w:hAnsi="Times New Roman" w:eastAsia="宋体" w:cs="Times New Roman"/>
                      <w:color w:val="000000" w:themeColor="text1"/>
                      <w:lang w:val="en-US" w:eastAsia="zh-CN"/>
                      <w14:textFill>
                        <w14:solidFill>
                          <w14:schemeClr w14:val="tx1"/>
                        </w14:solidFill>
                      </w14:textFill>
                    </w:rPr>
                    <w:t>建筑面积</w:t>
                  </w:r>
                  <w:r>
                    <w:rPr>
                      <w:rFonts w:hint="eastAsia" w:ascii="Times New Roman" w:hAnsi="Times New Roman" w:eastAsia="宋体" w:cs="Times New Roman"/>
                      <w:color w:val="000000" w:themeColor="text1"/>
                      <w:lang w:val="en-US" w:eastAsia="zh-CN"/>
                      <w14:textFill>
                        <w14:solidFill>
                          <w14:schemeClr w14:val="tx1"/>
                        </w14:solidFill>
                      </w14:textFill>
                    </w:rPr>
                    <w:t>5817.6</w:t>
                  </w:r>
                  <w:r>
                    <w:rPr>
                      <w:rFonts w:hint="default" w:ascii="Times New Roman" w:hAnsi="Times New Roman" w:eastAsia="宋体" w:cs="Times New Roman"/>
                      <w:color w:val="000000" w:themeColor="text1"/>
                      <w:lang w:val="en-US" w:eastAsia="zh-CN"/>
                      <w14:textFill>
                        <w14:solidFill>
                          <w14:schemeClr w14:val="tx1"/>
                        </w14:solidFill>
                      </w14:textFill>
                    </w:rPr>
                    <w:t>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1F</w:t>
                  </w:r>
                  <w:r>
                    <w:rPr>
                      <w:rStyle w:val="75"/>
                      <w:rFonts w:hint="eastAsia" w:eastAsia="宋体" w:cs="Times New Roman"/>
                      <w:color w:val="000000" w:themeColor="text1"/>
                      <w:highlight w:val="none"/>
                      <w:lang w:val="en-US" w:eastAsia="zh-CN"/>
                      <w14:textFill>
                        <w14:solidFill>
                          <w14:schemeClr w14:val="tx1"/>
                        </w14:solidFill>
                      </w14:textFill>
                    </w:rPr>
                    <w:t>设有喷漆区、喷粉线</w:t>
                  </w:r>
                  <w:r>
                    <w:rPr>
                      <w:rStyle w:val="75"/>
                      <w:rFonts w:hint="eastAsia" w:ascii="Times New Roman" w:hAnsi="Times New Roman" w:eastAsia="宋体" w:cs="Times New Roman"/>
                      <w:color w:val="000000" w:themeColor="text1"/>
                      <w:highlight w:val="none"/>
                      <w:lang w:val="en-US" w:eastAsia="zh-CN"/>
                      <w14:textFill>
                        <w14:solidFill>
                          <w14:schemeClr w14:val="tx1"/>
                        </w14:solidFill>
                      </w14:textFill>
                    </w:rPr>
                    <w:t>、超声波清洗区、机加工区、喷砂打磨区等</w:t>
                  </w:r>
                  <w:r>
                    <w:rPr>
                      <w:rStyle w:val="75"/>
                      <w:rFonts w:hint="default" w:ascii="Times New Roman" w:hAnsi="Times New Roman" w:eastAsia="宋体" w:cs="Times New Roman"/>
                      <w:color w:val="000000" w:themeColor="text1"/>
                      <w:highlight w:val="none"/>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局部西侧2F设有办公区、会议室等，</w:t>
                  </w:r>
                  <w:r>
                    <w:rPr>
                      <w:rStyle w:val="75"/>
                      <w:rFonts w:hint="default" w:ascii="Times New Roman" w:hAnsi="Times New Roman" w:eastAsia="宋体" w:cs="Times New Roman"/>
                      <w:color w:val="000000" w:themeColor="text1"/>
                      <w:highlight w:val="none"/>
                      <w:lang w:val="en-US" w:eastAsia="zh-CN"/>
                      <w14:textFill>
                        <w14:solidFill>
                          <w14:schemeClr w14:val="tx1"/>
                        </w14:solidFill>
                      </w14:textFill>
                    </w:rPr>
                    <w:t>达到年产</w:t>
                  </w:r>
                  <w:r>
                    <w:rPr>
                      <w:rStyle w:val="75"/>
                      <w:rFonts w:hint="eastAsia" w:ascii="Times New Roman" w:hAnsi="Times New Roman" w:eastAsia="宋体" w:cs="Times New Roman"/>
                      <w:color w:val="000000" w:themeColor="text1"/>
                      <w:highlight w:val="none"/>
                      <w:lang w:val="en-US" w:eastAsia="zh-CN"/>
                      <w14:textFill>
                        <w14:solidFill>
                          <w14:schemeClr w14:val="tx1"/>
                        </w14:solidFill>
                      </w14:textFill>
                    </w:rPr>
                    <w:t>750万件汽车零部件、通讯五金部件150万件、光电设备配件500万件</w:t>
                  </w:r>
                </w:p>
              </w:tc>
              <w:tc>
                <w:tcPr>
                  <w:tcW w:w="637" w:type="pct"/>
                  <w:vAlign w:val="center"/>
                </w:tcPr>
                <w:p w14:paraId="13BD181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01E28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1" w:type="pct"/>
                  <w:vAlign w:val="center"/>
                </w:tcPr>
                <w:p w14:paraId="13B3BD4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345" w:type="pct"/>
                  <w:vAlign w:val="center"/>
                </w:tcPr>
                <w:p w14:paraId="07A96E9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辅助工程</w:t>
                  </w:r>
                </w:p>
              </w:tc>
              <w:tc>
                <w:tcPr>
                  <w:tcW w:w="524" w:type="pct"/>
                  <w:vAlign w:val="center"/>
                </w:tcPr>
                <w:p w14:paraId="3603108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办公区</w:t>
                  </w:r>
                </w:p>
              </w:tc>
              <w:tc>
                <w:tcPr>
                  <w:tcW w:w="3151" w:type="pct"/>
                  <w:gridSpan w:val="3"/>
                  <w:vAlign w:val="center"/>
                </w:tcPr>
                <w:p w14:paraId="1286089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位于</w:t>
                  </w:r>
                  <w:r>
                    <w:rPr>
                      <w:rFonts w:hint="eastAsia" w:ascii="Times New Roman" w:hAnsi="Times New Roman" w:eastAsia="宋体" w:cs="Times New Roman"/>
                      <w:color w:val="000000" w:themeColor="text1"/>
                      <w:lang w:val="en-US" w:eastAsia="zh-CN"/>
                      <w14:textFill>
                        <w14:solidFill>
                          <w14:schemeClr w14:val="tx1"/>
                        </w14:solidFill>
                      </w14:textFill>
                    </w:rPr>
                    <w:t>生产车间内西侧</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建筑面积50</w:t>
                  </w:r>
                  <w:r>
                    <w:rPr>
                      <w:rFonts w:hint="default" w:ascii="Times New Roman" w:hAnsi="Times New Roman" w:eastAsia="宋体" w:cs="Times New Roman"/>
                      <w:color w:val="000000" w:themeColor="text1"/>
                      <w:lang w:val="en-US" w:eastAsia="zh-CN"/>
                      <w14:textFill>
                        <w14:solidFill>
                          <w14:schemeClr w14:val="tx1"/>
                        </w14:solidFill>
                      </w14:textFill>
                    </w:rPr>
                    <w:t>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lang w:val="en-US" w:eastAsia="zh-CN"/>
                      <w14:textFill>
                        <w14:solidFill>
                          <w14:schemeClr w14:val="tx1"/>
                        </w14:solidFill>
                      </w14:textFill>
                    </w:rPr>
                    <w:t>，用于员工办公</w:t>
                  </w:r>
                </w:p>
              </w:tc>
              <w:tc>
                <w:tcPr>
                  <w:tcW w:w="637" w:type="pct"/>
                  <w:vAlign w:val="center"/>
                </w:tcPr>
                <w:p w14:paraId="34D63CD9">
                  <w:pPr>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5D812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341" w:type="pct"/>
                  <w:vMerge w:val="restart"/>
                  <w:vAlign w:val="center"/>
                </w:tcPr>
                <w:p w14:paraId="724C723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345" w:type="pct"/>
                  <w:vMerge w:val="restart"/>
                  <w:vAlign w:val="center"/>
                </w:tcPr>
                <w:p w14:paraId="7599A92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储运工程</w:t>
                  </w:r>
                </w:p>
              </w:tc>
              <w:tc>
                <w:tcPr>
                  <w:tcW w:w="524" w:type="pct"/>
                  <w:vAlign w:val="center"/>
                </w:tcPr>
                <w:p w14:paraId="75155488">
                  <w:pPr>
                    <w:keepNext w:val="0"/>
                    <w:keepLines w:val="0"/>
                    <w:suppressLineNumbers w:val="0"/>
                    <w:spacing w:before="0" w:beforeAutospacing="0" w:after="0" w:afterAutospacing="0"/>
                    <w:ind w:left="40" w:right="0" w:hanging="39" w:hangingChars="19"/>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成品区</w:t>
                  </w:r>
                </w:p>
              </w:tc>
              <w:tc>
                <w:tcPr>
                  <w:tcW w:w="3151" w:type="pct"/>
                  <w:gridSpan w:val="3"/>
                  <w:vAlign w:val="center"/>
                </w:tcPr>
                <w:p w14:paraId="72878B8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位于</w:t>
                  </w:r>
                  <w:r>
                    <w:rPr>
                      <w:rFonts w:hint="eastAsia" w:ascii="Times New Roman" w:hAnsi="Times New Roman" w:eastAsia="宋体" w:cs="Times New Roman"/>
                      <w:color w:val="000000" w:themeColor="text1"/>
                      <w:lang w:val="en-US" w:eastAsia="zh-CN"/>
                      <w14:textFill>
                        <w14:solidFill>
                          <w14:schemeClr w14:val="tx1"/>
                        </w14:solidFill>
                      </w14:textFill>
                    </w:rPr>
                    <w:t>生产车间内东南侧</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建筑面积100</w:t>
                  </w:r>
                  <w:r>
                    <w:rPr>
                      <w:rFonts w:hint="default" w:ascii="Times New Roman" w:hAnsi="Times New Roman" w:eastAsia="宋体" w:cs="Times New Roman"/>
                      <w:color w:val="000000" w:themeColor="text1"/>
                      <w:lang w:val="en-US" w:eastAsia="zh-CN"/>
                      <w14:textFill>
                        <w14:solidFill>
                          <w14:schemeClr w14:val="tx1"/>
                        </w14:solidFill>
                      </w14:textFill>
                    </w:rPr>
                    <w:t>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用于存放成品</w:t>
                  </w:r>
                </w:p>
              </w:tc>
              <w:tc>
                <w:tcPr>
                  <w:tcW w:w="637" w:type="pct"/>
                  <w:vAlign w:val="center"/>
                </w:tcPr>
                <w:p w14:paraId="0B08C64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32E6C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41" w:type="pct"/>
                  <w:vMerge w:val="continue"/>
                  <w:vAlign w:val="center"/>
                </w:tcPr>
                <w:p w14:paraId="5B15AF6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12D060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vAlign w:val="center"/>
                </w:tcPr>
                <w:p w14:paraId="66762A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原料区</w:t>
                  </w:r>
                </w:p>
              </w:tc>
              <w:tc>
                <w:tcPr>
                  <w:tcW w:w="3151" w:type="pct"/>
                  <w:gridSpan w:val="3"/>
                  <w:vAlign w:val="center"/>
                </w:tcPr>
                <w:p w14:paraId="62A6044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位于</w:t>
                  </w:r>
                  <w:r>
                    <w:rPr>
                      <w:rFonts w:hint="eastAsia" w:ascii="Times New Roman" w:hAnsi="Times New Roman" w:eastAsia="宋体" w:cs="Times New Roman"/>
                      <w:color w:val="000000" w:themeColor="text1"/>
                      <w:lang w:val="en-US" w:eastAsia="zh-CN"/>
                      <w14:textFill>
                        <w14:solidFill>
                          <w14:schemeClr w14:val="tx1"/>
                        </w14:solidFill>
                      </w14:textFill>
                    </w:rPr>
                    <w:t>生产车间内东北侧</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建筑面积100</w:t>
                  </w:r>
                  <w:r>
                    <w:rPr>
                      <w:rFonts w:hint="default" w:ascii="Times New Roman" w:hAnsi="Times New Roman" w:eastAsia="宋体" w:cs="Times New Roman"/>
                      <w:color w:val="000000" w:themeColor="text1"/>
                      <w:lang w:val="en-US" w:eastAsia="zh-CN"/>
                      <w14:textFill>
                        <w14:solidFill>
                          <w14:schemeClr w14:val="tx1"/>
                        </w14:solidFill>
                      </w14:textFill>
                    </w:rPr>
                    <w:t>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用于存放</w:t>
                  </w:r>
                  <w:r>
                    <w:rPr>
                      <w:rFonts w:hint="eastAsia" w:ascii="Times New Roman" w:hAnsi="Times New Roman" w:cs="Times New Roman"/>
                      <w:color w:val="000000" w:themeColor="text1"/>
                      <w:kern w:val="0"/>
                      <w:szCs w:val="21"/>
                      <w:lang w:val="en-US" w:eastAsia="zh-CN"/>
                      <w14:textFill>
                        <w14:solidFill>
                          <w14:schemeClr w14:val="tx1"/>
                        </w14:solidFill>
                      </w14:textFill>
                    </w:rPr>
                    <w:t>铝材、钢材、不锈钢、钛合金等原材料</w:t>
                  </w:r>
                </w:p>
              </w:tc>
              <w:tc>
                <w:tcPr>
                  <w:tcW w:w="637" w:type="pct"/>
                  <w:vAlign w:val="center"/>
                </w:tcPr>
                <w:p w14:paraId="20E23E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0BC6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41" w:type="pct"/>
                  <w:vMerge w:val="continue"/>
                  <w:vAlign w:val="center"/>
                </w:tcPr>
                <w:p w14:paraId="74E34D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5F56228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vAlign w:val="center"/>
                </w:tcPr>
                <w:p w14:paraId="2AFC90BE">
                  <w:pPr>
                    <w:keepNext w:val="0"/>
                    <w:keepLines w:val="0"/>
                    <w:widowControl/>
                    <w:suppressLineNumbers w:val="0"/>
                    <w:spacing w:before="0" w:beforeAutospacing="0" w:after="0" w:afterAutospacing="0"/>
                    <w:ind w:left="0" w:right="0"/>
                    <w:jc w:val="center"/>
                    <w:rPr>
                      <w:rFonts w:hint="default" w:ascii="Times New Roman" w:hAnsi="Times New Roman" w:cs="Times New Roman"/>
                      <w:bCs/>
                      <w:snapToGrid w:val="0"/>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pacing w:val="-10"/>
                      <w:szCs w:val="21"/>
                      <w:highlight w:val="none"/>
                      <w14:textFill>
                        <w14:solidFill>
                          <w14:schemeClr w14:val="tx1"/>
                        </w14:solidFill>
                      </w14:textFill>
                    </w:rPr>
                    <w:t>化学品</w:t>
                  </w:r>
                  <w:r>
                    <w:rPr>
                      <w:rFonts w:hint="default" w:ascii="Times New Roman" w:hAnsi="Times New Roman" w:cs="Times New Roman"/>
                      <w:bCs/>
                      <w:snapToGrid w:val="0"/>
                      <w:color w:val="000000" w:themeColor="text1"/>
                      <w:szCs w:val="21"/>
                      <w:highlight w:val="none"/>
                      <w14:textFill>
                        <w14:solidFill>
                          <w14:schemeClr w14:val="tx1"/>
                        </w14:solidFill>
                      </w14:textFill>
                    </w:rPr>
                    <w:t>库</w:t>
                  </w:r>
                </w:p>
              </w:tc>
              <w:tc>
                <w:tcPr>
                  <w:tcW w:w="3151" w:type="pct"/>
                  <w:gridSpan w:val="3"/>
                  <w:vAlign w:val="center"/>
                </w:tcPr>
                <w:p w14:paraId="593FEBC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位于</w:t>
                  </w:r>
                  <w:r>
                    <w:rPr>
                      <w:rFonts w:hint="eastAsia" w:ascii="Times New Roman" w:hAnsi="Times New Roman" w:eastAsia="宋体" w:cs="Times New Roman"/>
                      <w:color w:val="000000" w:themeColor="text1"/>
                      <w:lang w:val="en-US" w:eastAsia="zh-CN"/>
                      <w14:textFill>
                        <w14:solidFill>
                          <w14:schemeClr w14:val="tx1"/>
                        </w14:solidFill>
                      </w14:textFill>
                    </w:rPr>
                    <w:t>生产车间内西北侧</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建筑面积20</w:t>
                  </w:r>
                  <w:r>
                    <w:rPr>
                      <w:rFonts w:hint="default" w:ascii="Times New Roman" w:hAnsi="Times New Roman" w:eastAsia="宋体" w:cs="Times New Roman"/>
                      <w:color w:val="000000" w:themeColor="text1"/>
                      <w:lang w:val="en-US" w:eastAsia="zh-CN"/>
                      <w14:textFill>
                        <w14:solidFill>
                          <w14:schemeClr w14:val="tx1"/>
                        </w14:solidFill>
                      </w14:textFill>
                    </w:rPr>
                    <w:t>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用于存放</w:t>
                  </w:r>
                  <w:r>
                    <w:rPr>
                      <w:rFonts w:hint="eastAsia" w:ascii="Times New Roman" w:hAnsi="Times New Roman" w:cs="Times New Roman"/>
                      <w:color w:val="000000" w:themeColor="text1"/>
                      <w:kern w:val="0"/>
                      <w:szCs w:val="21"/>
                      <w:lang w:val="en-US" w:eastAsia="zh-CN"/>
                      <w14:textFill>
                        <w14:solidFill>
                          <w14:schemeClr w14:val="tx1"/>
                        </w14:solidFill>
                      </w14:textFill>
                    </w:rPr>
                    <w:t>塑粉、脱脂剂、切削液、研磨液等原材料</w:t>
                  </w:r>
                </w:p>
              </w:tc>
              <w:tc>
                <w:tcPr>
                  <w:tcW w:w="637" w:type="pct"/>
                  <w:vAlign w:val="center"/>
                </w:tcPr>
                <w:p w14:paraId="0D07D30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465F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1" w:type="pct"/>
                  <w:vMerge w:val="restart"/>
                  <w:vAlign w:val="center"/>
                </w:tcPr>
                <w:p w14:paraId="2A795F0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345" w:type="pct"/>
                  <w:vMerge w:val="restart"/>
                  <w:vAlign w:val="center"/>
                </w:tcPr>
                <w:p w14:paraId="25F895F2">
                  <w:pPr>
                    <w:keepNext w:val="0"/>
                    <w:keepLines w:val="0"/>
                    <w:suppressLineNumbers w:val="0"/>
                    <w:autoSpaceDE w:val="0"/>
                    <w:adjustRightInd w:val="0"/>
                    <w:spacing w:before="0" w:beforeAutospacing="0" w:after="0" w:afterAutospacing="0" w:line="330" w:lineRule="exact"/>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公用工程</w:t>
                  </w:r>
                </w:p>
              </w:tc>
              <w:tc>
                <w:tcPr>
                  <w:tcW w:w="524" w:type="pct"/>
                  <w:vAlign w:val="center"/>
                </w:tcPr>
                <w:p w14:paraId="2B25216E">
                  <w:pPr>
                    <w:keepNext w:val="0"/>
                    <w:keepLines w:val="0"/>
                    <w:suppressLineNumbers w:val="0"/>
                    <w:autoSpaceDE w:val="0"/>
                    <w:adjustRightInd w:val="0"/>
                    <w:spacing w:before="0" w:beforeAutospacing="0" w:after="0" w:afterAutospacing="0" w:line="330" w:lineRule="exact"/>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供电</w:t>
                  </w:r>
                </w:p>
              </w:tc>
              <w:tc>
                <w:tcPr>
                  <w:tcW w:w="3151" w:type="pct"/>
                  <w:gridSpan w:val="3"/>
                  <w:shd w:val="clear" w:color="auto" w:fill="auto"/>
                  <w:vAlign w:val="center"/>
                </w:tcPr>
                <w:p w14:paraId="5AC0D7C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pacing w:val="-1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由开发区供电系统供给</w:t>
                  </w:r>
                  <w:r>
                    <w:rPr>
                      <w:rStyle w:val="75"/>
                      <w:rFonts w:hint="eastAsia" w:cs="Times New Roman"/>
                      <w:color w:val="000000" w:themeColor="text1"/>
                      <w:kern w:val="0"/>
                      <w:sz w:val="21"/>
                      <w:szCs w:val="21"/>
                      <w:highlight w:val="none"/>
                      <w:lang w:val="en-US" w:eastAsia="zh-CN"/>
                      <w14:textFill>
                        <w14:solidFill>
                          <w14:schemeClr w14:val="tx1"/>
                        </w14:solidFill>
                      </w14:textFill>
                    </w:rPr>
                    <w:t>，</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用电量</w:t>
                  </w:r>
                  <w:r>
                    <w:rPr>
                      <w:rFonts w:hint="eastAsia"/>
                      <w:color w:val="000000" w:themeColor="text1"/>
                      <w:sz w:val="21"/>
                      <w:szCs w:val="21"/>
                      <w:lang w:val="en-US" w:eastAsia="zh-CN"/>
                      <w14:textFill>
                        <w14:solidFill>
                          <w14:schemeClr w14:val="tx1"/>
                        </w14:solidFill>
                      </w14:textFill>
                    </w:rPr>
                    <w:t>120</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万</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kwh</w:t>
                  </w:r>
                  <w:r>
                    <w:rPr>
                      <w:rFonts w:hint="default" w:ascii="Times New Roman" w:hAnsi="Times New Roman" w:cs="Times New Roman"/>
                      <w:color w:val="000000" w:themeColor="text1"/>
                      <w:sz w:val="21"/>
                      <w:szCs w:val="21"/>
                      <w:highlight w:val="none"/>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a</w:t>
                  </w:r>
                </w:p>
              </w:tc>
              <w:tc>
                <w:tcPr>
                  <w:tcW w:w="637" w:type="pct"/>
                  <w:shd w:val="clear" w:color="auto" w:fill="auto"/>
                  <w:vAlign w:val="center"/>
                </w:tcPr>
                <w:p w14:paraId="541BAD5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color w:val="000000" w:themeColor="text1"/>
                      <w:szCs w:val="21"/>
                      <w14:textFill>
                        <w14:solidFill>
                          <w14:schemeClr w14:val="tx1"/>
                        </w14:solidFill>
                      </w14:textFill>
                    </w:rPr>
                    <w:t>依托租赁方</w:t>
                  </w:r>
                  <w:r>
                    <w:rPr>
                      <w:rFonts w:hint="eastAsia"/>
                      <w:color w:val="000000" w:themeColor="text1"/>
                      <w:szCs w:val="21"/>
                      <w:lang w:eastAsia="zh-CN"/>
                      <w14:textFill>
                        <w14:solidFill>
                          <w14:schemeClr w14:val="tx1"/>
                        </w14:solidFill>
                      </w14:textFill>
                    </w:rPr>
                    <w:t>市政供电管网</w:t>
                  </w:r>
                </w:p>
              </w:tc>
            </w:tr>
            <w:tr w14:paraId="65930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1" w:type="pct"/>
                  <w:vMerge w:val="continue"/>
                  <w:vAlign w:val="center"/>
                </w:tcPr>
                <w:p w14:paraId="746611A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5C3D12A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vAlign w:val="center"/>
                </w:tcPr>
                <w:p w14:paraId="4353C4EA">
                  <w:pPr>
                    <w:keepNext w:val="0"/>
                    <w:keepLines w:val="0"/>
                    <w:suppressLineNumbers w:val="0"/>
                    <w:autoSpaceDE w:val="0"/>
                    <w:adjustRightInd w:val="0"/>
                    <w:spacing w:before="0" w:beforeAutospacing="0" w:after="0" w:afterAutospacing="0" w:line="330" w:lineRule="exact"/>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供水</w:t>
                  </w:r>
                </w:p>
              </w:tc>
              <w:tc>
                <w:tcPr>
                  <w:tcW w:w="3151" w:type="pct"/>
                  <w:gridSpan w:val="3"/>
                  <w:shd w:val="clear" w:color="auto" w:fill="auto"/>
                  <w:vAlign w:val="center"/>
                </w:tcPr>
                <w:p w14:paraId="2D112DC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pacing w:val="-10"/>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由开发区给水管网直接供给</w:t>
                  </w:r>
                  <w:r>
                    <w:rPr>
                      <w:rFonts w:hint="eastAsia" w:ascii="Times New Roman" w:hAnsi="Times New Roman" w:cs="Times New Roman"/>
                      <w:color w:val="000000" w:themeColor="text1"/>
                      <w:szCs w:val="21"/>
                      <w:lang w:eastAsia="zh-CN"/>
                      <w14:textFill>
                        <w14:solidFill>
                          <w14:schemeClr w14:val="tx1"/>
                        </w14:solidFill>
                      </w14:textFill>
                    </w:rPr>
                    <w:t>，</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用水量</w:t>
                  </w:r>
                  <w:r>
                    <w:rPr>
                      <w:rStyle w:val="75"/>
                      <w:rFonts w:hint="eastAsia" w:cs="Times New Roman"/>
                      <w:color w:val="000000" w:themeColor="text1"/>
                      <w:kern w:val="0"/>
                      <w:sz w:val="21"/>
                      <w:szCs w:val="21"/>
                      <w:highlight w:val="none"/>
                      <w:lang w:val="en-US" w:eastAsia="zh-CN"/>
                      <w14:textFill>
                        <w14:solidFill>
                          <w14:schemeClr w14:val="tx1"/>
                        </w14:solidFill>
                      </w14:textFill>
                    </w:rPr>
                    <w:t>3259.57</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t/a</w:t>
                  </w:r>
                </w:p>
              </w:tc>
              <w:tc>
                <w:tcPr>
                  <w:tcW w:w="637" w:type="pct"/>
                  <w:shd w:val="clear" w:color="auto" w:fill="auto"/>
                  <w:vAlign w:val="center"/>
                </w:tcPr>
                <w:p w14:paraId="595C72C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color w:val="000000" w:themeColor="text1"/>
                      <w:szCs w:val="21"/>
                      <w14:textFill>
                        <w14:solidFill>
                          <w14:schemeClr w14:val="tx1"/>
                        </w14:solidFill>
                      </w14:textFill>
                    </w:rPr>
                    <w:t>依托租赁方</w:t>
                  </w:r>
                  <w:r>
                    <w:rPr>
                      <w:rFonts w:hint="eastAsia"/>
                      <w:color w:val="000000" w:themeColor="text1"/>
                      <w:szCs w:val="21"/>
                      <w:lang w:eastAsia="zh-CN"/>
                      <w14:textFill>
                        <w14:solidFill>
                          <w14:schemeClr w14:val="tx1"/>
                        </w14:solidFill>
                      </w14:textFill>
                    </w:rPr>
                    <w:t>市政供水管网</w:t>
                  </w:r>
                </w:p>
              </w:tc>
            </w:tr>
            <w:tr w14:paraId="2C72D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1" w:type="pct"/>
                  <w:vMerge w:val="continue"/>
                  <w:vAlign w:val="center"/>
                </w:tcPr>
                <w:p w14:paraId="4D57D05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5F0D8F3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vAlign w:val="center"/>
                </w:tcPr>
                <w:p w14:paraId="2408774B">
                  <w:pPr>
                    <w:keepNext w:val="0"/>
                    <w:keepLines w:val="0"/>
                    <w:suppressLineNumbers w:val="0"/>
                    <w:autoSpaceDE w:val="0"/>
                    <w:adjustRightInd w:val="0"/>
                    <w:spacing w:before="0" w:beforeAutospacing="0" w:after="0" w:afterAutospacing="0" w:line="330" w:lineRule="exact"/>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排水</w:t>
                  </w:r>
                </w:p>
              </w:tc>
              <w:tc>
                <w:tcPr>
                  <w:tcW w:w="3151" w:type="pct"/>
                  <w:gridSpan w:val="3"/>
                  <w:vAlign w:val="center"/>
                </w:tcPr>
                <w:p w14:paraId="742F149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排水系统采用雨污分流制，雨水进入雨水</w:t>
                  </w:r>
                  <w:r>
                    <w:rPr>
                      <w:rFonts w:hint="default" w:ascii="Times New Roman" w:hAnsi="Times New Roman" w:eastAsia="宋体" w:cs="Times New Roman"/>
                      <w:color w:val="000000" w:themeColor="text1"/>
                      <w:szCs w:val="21"/>
                      <w14:textFill>
                        <w14:solidFill>
                          <w14:schemeClr w14:val="tx1"/>
                        </w14:solidFill>
                      </w14:textFill>
                    </w:rPr>
                    <w:t>管网。</w:t>
                  </w:r>
                  <w:r>
                    <w:rPr>
                      <w:rFonts w:hint="eastAsia" w:ascii="Times New Roman" w:hAnsi="Times New Roman" w:eastAsia="宋体" w:cs="Times New Roman"/>
                      <w:color w:val="000000" w:themeColor="text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szCs w:val="21"/>
                      <w14:textFill>
                        <w14:solidFill>
                          <w14:schemeClr w14:val="tx1"/>
                        </w14:solidFill>
                      </w14:textFill>
                    </w:rPr>
                    <w:t>生活污水经化粪池处理后和经污水处理站处理的喷枪清洗废水、水性光亮剂配比废水、超声波清洗废水、前处理线废水、纯水制备浓水、喷漆水帘柜废水一同经市政污水管网排入芜湖县新芜开发区城东污水处理厂处理</w:t>
                  </w:r>
                  <w:r>
                    <w:rPr>
                      <w:rFonts w:hint="default" w:ascii="Times New Roman" w:hAnsi="Times New Roman" w:eastAsia="宋体" w:cs="Times New Roman"/>
                      <w:color w:val="000000" w:themeColor="text1"/>
                      <w:szCs w:val="21"/>
                      <w:lang w:val="en-US" w:eastAsia="zh-CN"/>
                      <w14:textFill>
                        <w14:solidFill>
                          <w14:schemeClr w14:val="tx1"/>
                        </w14:solidFill>
                      </w14:textFill>
                    </w:rPr>
                    <w:t>，达标后排入</w:t>
                  </w:r>
                  <w:r>
                    <w:rPr>
                      <w:rFonts w:hint="eastAsia" w:cs="Times New Roman"/>
                      <w:color w:val="000000" w:themeColor="text1"/>
                      <w:szCs w:val="21"/>
                      <w:lang w:val="en-US" w:eastAsia="zh-CN"/>
                      <w14:textFill>
                        <w14:solidFill>
                          <w14:schemeClr w14:val="tx1"/>
                        </w14:solidFill>
                      </w14:textFill>
                    </w:rPr>
                    <w:t>汪溪坝撇洪沟后汇入裘公河</w:t>
                  </w:r>
                </w:p>
              </w:tc>
              <w:tc>
                <w:tcPr>
                  <w:tcW w:w="637" w:type="pct"/>
                  <w:vAlign w:val="center"/>
                </w:tcPr>
                <w:p w14:paraId="22B5D19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化粪池依托现有租赁方</w:t>
                  </w:r>
                  <w:r>
                    <w:rPr>
                      <w:rFonts w:hint="eastAsia"/>
                      <w:color w:val="000000" w:themeColor="text1"/>
                      <w:szCs w:val="21"/>
                      <w:lang w:eastAsia="zh-CN"/>
                      <w14:textFill>
                        <w14:solidFill>
                          <w14:schemeClr w14:val="tx1"/>
                        </w14:solidFill>
                      </w14:textFill>
                    </w:rPr>
                    <w:t>市政雨污管网</w:t>
                  </w:r>
                </w:p>
              </w:tc>
            </w:tr>
            <w:tr w14:paraId="1EEE9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341" w:type="pct"/>
                  <w:vMerge w:val="continue"/>
                  <w:vAlign w:val="center"/>
                </w:tcPr>
                <w:p w14:paraId="63EB254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7B393CA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shd w:val="clear" w:color="auto" w:fill="auto"/>
                  <w:vAlign w:val="center"/>
                </w:tcPr>
                <w:p w14:paraId="7B2B42DA">
                  <w:pPr>
                    <w:keepNext w:val="0"/>
                    <w:keepLines w:val="0"/>
                    <w:widowControl/>
                    <w:suppressLineNumbers w:val="0"/>
                    <w:spacing w:before="0" w:beforeAutospacing="0" w:after="0" w:afterAutospacing="0"/>
                    <w:ind w:left="0" w:right="0"/>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空压</w:t>
                  </w:r>
                </w:p>
                <w:p w14:paraId="7E50D60D">
                  <w:pPr>
                    <w:keepNext w:val="0"/>
                    <w:keepLines w:val="0"/>
                    <w:widowControl/>
                    <w:suppressLineNumbers w:val="0"/>
                    <w:spacing w:before="0" w:beforeAutospacing="0" w:after="0" w:afterAutospacing="0"/>
                    <w:ind w:left="0" w:right="0"/>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系</w:t>
                  </w:r>
                  <w:r>
                    <w:rPr>
                      <w:rFonts w:hint="default"/>
                      <w:color w:val="000000" w:themeColor="text1"/>
                      <w14:textFill>
                        <w14:solidFill>
                          <w14:schemeClr w14:val="tx1"/>
                        </w14:solidFill>
                      </w14:textFill>
                    </w:rPr>
                    <w:commentReference w:id="14"/>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统</w:t>
                  </w:r>
                </w:p>
              </w:tc>
              <w:tc>
                <w:tcPr>
                  <w:tcW w:w="3151" w:type="pct"/>
                  <w:gridSpan w:val="3"/>
                  <w:vAlign w:val="center"/>
                </w:tcPr>
                <w:p w14:paraId="6761C3C6">
                  <w:pPr>
                    <w:keepNext w:val="0"/>
                    <w:keepLines w:val="0"/>
                    <w:widowControl/>
                    <w:suppressLineNumbers w:val="0"/>
                    <w:spacing w:before="0" w:beforeAutospacing="0" w:after="0" w:afterAutospacing="0"/>
                    <w:ind w:left="0" w:right="0"/>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项目设置</w:t>
                  </w:r>
                  <w:r>
                    <w:rPr>
                      <w:rFonts w:hint="eastAsia"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台空压机，</w:t>
                  </w:r>
                  <w:r>
                    <w:rPr>
                      <w:rFonts w:hint="default" w:ascii="Times New Roman" w:hAnsi="Times New Roman" w:cs="Times New Roman"/>
                      <w:color w:val="000000" w:themeColor="text1"/>
                      <w:szCs w:val="21"/>
                      <w:lang w:val="en-US" w:eastAsia="zh-CN"/>
                      <w14:textFill>
                        <w14:solidFill>
                          <w14:schemeClr w14:val="tx1"/>
                        </w14:solidFill>
                      </w14:textFill>
                    </w:rPr>
                    <w:t>排气量为</w:t>
                  </w:r>
                  <w:r>
                    <w:rPr>
                      <w:rFonts w:hint="default" w:ascii="Times New Roman" w:hAnsi="Times New Roman" w:cs="Times New Roman"/>
                      <w:color w:val="000000" w:themeColor="text1"/>
                      <w:lang w:val="en-US" w:eastAsia="zh-CN"/>
                      <w14:textFill>
                        <w14:solidFill>
                          <w14:schemeClr w14:val="tx1"/>
                        </w14:solidFill>
                      </w14:textFill>
                    </w:rPr>
                    <w:t>2.3m</w:t>
                  </w:r>
                  <w:r>
                    <w:rPr>
                      <w:rFonts w:hint="default" w:ascii="Times New Roman" w:hAnsi="Times New Roman" w:cs="Times New Roman"/>
                      <w:color w:val="000000" w:themeColor="text1"/>
                      <w:vertAlign w:val="superscript"/>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/min</w:t>
                  </w:r>
                  <w:r>
                    <w:rPr>
                      <w:rStyle w:val="75"/>
                      <w:rFonts w:hint="default" w:ascii="Times New Roman" w:hAnsi="Times New Roman" w:cs="Times New Roman"/>
                      <w:color w:val="000000" w:themeColor="text1"/>
                      <w:kern w:val="0"/>
                      <w:szCs w:val="20"/>
                      <w:lang w:eastAsia="zh-CN"/>
                      <w14:textFill>
                        <w14:solidFill>
                          <w14:schemeClr w14:val="tx1"/>
                        </w14:solidFill>
                      </w14:textFill>
                    </w:rPr>
                    <w:t>，</w:t>
                  </w:r>
                  <w:r>
                    <w:rPr>
                      <w:rStyle w:val="75"/>
                      <w:rFonts w:hint="default" w:ascii="Times New Roman" w:hAnsi="Times New Roman" w:cs="Times New Roman"/>
                      <w:color w:val="000000" w:themeColor="text1"/>
                      <w:kern w:val="0"/>
                      <w:szCs w:val="20"/>
                      <w:lang w:val="en-US" w:eastAsia="zh-CN"/>
                      <w14:textFill>
                        <w14:solidFill>
                          <w14:schemeClr w14:val="tx1"/>
                        </w14:solidFill>
                      </w14:textFill>
                    </w:rPr>
                    <w:t>储气罐并配备</w:t>
                  </w:r>
                  <w:r>
                    <w:rPr>
                      <w:rStyle w:val="75"/>
                      <w:rFonts w:hint="eastAsia" w:cs="Times New Roman"/>
                      <w:color w:val="000000" w:themeColor="text1"/>
                      <w:kern w:val="0"/>
                      <w:szCs w:val="20"/>
                      <w:lang w:val="en-US" w:eastAsia="zh-CN"/>
                      <w14:textFill>
                        <w14:solidFill>
                          <w14:schemeClr w14:val="tx1"/>
                        </w14:solidFill>
                      </w14:textFill>
                    </w:rPr>
                    <w:t>5</w:t>
                  </w:r>
                  <w:r>
                    <w:rPr>
                      <w:rStyle w:val="75"/>
                      <w:rFonts w:hint="default" w:ascii="Times New Roman" w:hAnsi="Times New Roman" w:cs="Times New Roman"/>
                      <w:color w:val="000000" w:themeColor="text1"/>
                      <w:kern w:val="0"/>
                      <w:szCs w:val="20"/>
                      <w:lang w:val="en-US" w:eastAsia="zh-CN"/>
                      <w14:textFill>
                        <w14:solidFill>
                          <w14:schemeClr w14:val="tx1"/>
                        </w14:solidFill>
                      </w14:textFill>
                    </w:rPr>
                    <w:t>个1m</w:t>
                  </w:r>
                  <w:r>
                    <w:rPr>
                      <w:rStyle w:val="75"/>
                      <w:rFonts w:hint="default" w:ascii="Times New Roman" w:hAnsi="Times New Roman" w:cs="Times New Roman"/>
                      <w:color w:val="000000" w:themeColor="text1"/>
                      <w:kern w:val="0"/>
                      <w:szCs w:val="20"/>
                      <w:vertAlign w:val="superscript"/>
                      <w:lang w:val="en-US" w:eastAsia="zh-CN"/>
                      <w14:textFill>
                        <w14:solidFill>
                          <w14:schemeClr w14:val="tx1"/>
                        </w14:solidFill>
                      </w14:textFill>
                    </w:rPr>
                    <w:t>3</w:t>
                  </w:r>
                  <w:r>
                    <w:rPr>
                      <w:rStyle w:val="75"/>
                      <w:rFonts w:hint="default" w:ascii="Times New Roman" w:hAnsi="Times New Roman" w:cs="Times New Roman"/>
                      <w:color w:val="000000" w:themeColor="text1"/>
                      <w:kern w:val="0"/>
                      <w:szCs w:val="20"/>
                      <w:lang w:val="en-US" w:eastAsia="zh-CN"/>
                      <w14:textFill>
                        <w14:solidFill>
                          <w14:schemeClr w14:val="tx1"/>
                        </w14:solidFill>
                      </w14:textFill>
                    </w:rPr>
                    <w:t>储气罐</w:t>
                  </w:r>
                </w:p>
              </w:tc>
              <w:tc>
                <w:tcPr>
                  <w:tcW w:w="637" w:type="pct"/>
                  <w:vAlign w:val="center"/>
                </w:tcPr>
                <w:p w14:paraId="4985F0CD">
                  <w:pPr>
                    <w:keepNext w:val="0"/>
                    <w:keepLines w:val="0"/>
                    <w:widowControl/>
                    <w:suppressLineNumbers w:val="0"/>
                    <w:spacing w:before="0" w:beforeAutospacing="0" w:after="0" w:afterAutospacing="0"/>
                    <w:ind w:left="0" w:right="0"/>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23BA1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341" w:type="pct"/>
                  <w:vMerge w:val="restart"/>
                  <w:vAlign w:val="center"/>
                </w:tcPr>
                <w:p w14:paraId="73D0F4F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345" w:type="pct"/>
                  <w:vMerge w:val="restart"/>
                  <w:vAlign w:val="center"/>
                </w:tcPr>
                <w:p w14:paraId="096C323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环保工程</w:t>
                  </w:r>
                </w:p>
              </w:tc>
              <w:tc>
                <w:tcPr>
                  <w:tcW w:w="524" w:type="pct"/>
                  <w:vMerge w:val="restart"/>
                  <w:vAlign w:val="center"/>
                </w:tcPr>
                <w:p w14:paraId="3417E3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废气处理</w:t>
                  </w:r>
                </w:p>
              </w:tc>
              <w:tc>
                <w:tcPr>
                  <w:tcW w:w="793" w:type="pct"/>
                  <w:gridSpan w:val="2"/>
                  <w:vAlign w:val="center"/>
                </w:tcPr>
                <w:p w14:paraId="4C5542C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抛光粉尘</w:t>
                  </w:r>
                </w:p>
              </w:tc>
              <w:tc>
                <w:tcPr>
                  <w:tcW w:w="2358" w:type="pct"/>
                  <w:vAlign w:val="center"/>
                </w:tcPr>
                <w:p w14:paraId="2DCA25D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人工去毛刺、打磨、抛光粉尘经集气罩收集+布袋除尘器处理后和</w:t>
                  </w:r>
                  <w:r>
                    <w:rPr>
                      <w:rFonts w:hint="default" w:ascii="Times New Roman" w:hAnsi="Times New Roman" w:eastAsia="宋体" w:cs="Times New Roman"/>
                      <w:color w:val="000000" w:themeColor="text1"/>
                      <w:szCs w:val="21"/>
                      <w:lang w:val="en-US" w:eastAsia="zh-CN"/>
                      <w14:textFill>
                        <w14:solidFill>
                          <w14:schemeClr w14:val="tx1"/>
                        </w14:solidFill>
                      </w14:textFill>
                    </w:rPr>
                    <w:t>经设备密闭+集气管道收集</w:t>
                  </w:r>
                  <w:r>
                    <w:rPr>
                      <w:rFonts w:hint="eastAsia"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eastAsia="宋体" w:cs="Times New Roman"/>
                      <w:color w:val="000000" w:themeColor="text1"/>
                      <w:szCs w:val="21"/>
                      <w:lang w:val="en-US" w:eastAsia="zh-CN"/>
                      <w14:textFill>
                        <w14:solidFill>
                          <w14:schemeClr w14:val="tx1"/>
                        </w14:solidFill>
                      </w14:textFill>
                    </w:rPr>
                    <w:t>设备自带布袋除尘器处理</w:t>
                  </w:r>
                  <w:r>
                    <w:rPr>
                      <w:rFonts w:hint="eastAsia" w:ascii="Times New Roman" w:hAnsi="Times New Roman" w:eastAsia="宋体" w:cs="Times New Roman"/>
                      <w:color w:val="000000" w:themeColor="text1"/>
                      <w:szCs w:val="21"/>
                      <w:lang w:val="en-US" w:eastAsia="zh-CN"/>
                      <w14:textFill>
                        <w14:solidFill>
                          <w14:schemeClr w14:val="tx1"/>
                        </w14:solidFill>
                      </w14:textFill>
                    </w:rPr>
                    <w:t>的喷砂、抛丸粉尘一并</w:t>
                  </w:r>
                  <w:r>
                    <w:rPr>
                      <w:rFonts w:hint="default" w:ascii="Times New Roman" w:hAnsi="Times New Roman" w:eastAsia="宋体" w:cs="Times New Roman"/>
                      <w:color w:val="000000" w:themeColor="text1"/>
                      <w:szCs w:val="21"/>
                      <w:lang w:val="en-US" w:eastAsia="zh-CN"/>
                      <w14:textFill>
                        <w14:solidFill>
                          <w14:schemeClr w14:val="tx1"/>
                        </w14:solidFill>
                      </w14:textFill>
                    </w:rPr>
                    <w:t>通过1根</w:t>
                  </w:r>
                  <w:r>
                    <w:rPr>
                      <w:rFonts w:hint="eastAsia" w:ascii="Times New Roman" w:hAnsi="Times New Roman" w:eastAsia="宋体" w:cs="Times New Roman"/>
                      <w:color w:val="000000" w:themeColor="text1"/>
                      <w:szCs w:val="21"/>
                      <w:lang w:val="en-US" w:eastAsia="zh-CN"/>
                      <w14:textFill>
                        <w14:solidFill>
                          <w14:schemeClr w14:val="tx1"/>
                        </w14:solidFill>
                      </w14:textFill>
                    </w:rPr>
                    <w:t>15m</w:t>
                  </w:r>
                  <w:r>
                    <w:rPr>
                      <w:rFonts w:hint="default" w:ascii="Times New Roman" w:hAnsi="Times New Roman" w:eastAsia="宋体" w:cs="Times New Roman"/>
                      <w:color w:val="000000" w:themeColor="text1"/>
                      <w:szCs w:val="21"/>
                      <w:lang w:val="en-US" w:eastAsia="zh-CN"/>
                      <w14:textFill>
                        <w14:solidFill>
                          <w14:schemeClr w14:val="tx1"/>
                        </w14:solidFill>
                      </w14:textFill>
                    </w:rPr>
                    <w:t>高的排气筒DA0</w:t>
                  </w:r>
                  <w:r>
                    <w:rPr>
                      <w:rFonts w:hint="eastAsia" w:ascii="Times New Roman" w:hAnsi="Times New Roman" w:eastAsia="宋体" w:cs="Times New Roman"/>
                      <w:color w:val="000000" w:themeColor="text1"/>
                      <w:szCs w:val="21"/>
                      <w:lang w:val="en-US" w:eastAsia="zh-CN"/>
                      <w14:textFill>
                        <w14:solidFill>
                          <w14:schemeClr w14:val="tx1"/>
                        </w14:solidFill>
                      </w14:textFill>
                    </w:rPr>
                    <w:t>01</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排放</w:t>
                  </w:r>
                </w:p>
              </w:tc>
              <w:tc>
                <w:tcPr>
                  <w:tcW w:w="637" w:type="pct"/>
                  <w:vMerge w:val="restart"/>
                  <w:vAlign w:val="center"/>
                </w:tcPr>
                <w:p w14:paraId="19A0271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03F28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1" w:type="pct"/>
                  <w:vMerge w:val="continue"/>
                  <w:vAlign w:val="center"/>
                </w:tcPr>
                <w:p w14:paraId="300A5384">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345" w:type="pct"/>
                  <w:vMerge w:val="continue"/>
                  <w:vAlign w:val="center"/>
                </w:tcPr>
                <w:p w14:paraId="2BC68BD5">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524" w:type="pct"/>
                  <w:vMerge w:val="continue"/>
                  <w:vAlign w:val="center"/>
                </w:tcPr>
                <w:p w14:paraId="368D5B13">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793" w:type="pct"/>
                  <w:gridSpan w:val="2"/>
                  <w:vAlign w:val="center"/>
                </w:tcPr>
                <w:p w14:paraId="563842B6">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喷漆烘干</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喷粉</w:t>
                  </w:r>
                  <w:r>
                    <w:rPr>
                      <w:rFonts w:hint="default" w:ascii="Times New Roman" w:hAnsi="Times New Roman" w:eastAsia="宋体" w:cs="Times New Roman"/>
                      <w:color w:val="000000" w:themeColor="text1"/>
                      <w:szCs w:val="21"/>
                      <w:lang w:val="en-US" w:eastAsia="zh-CN"/>
                      <w14:textFill>
                        <w14:solidFill>
                          <w14:schemeClr w14:val="tx1"/>
                        </w14:solidFill>
                      </w14:textFill>
                    </w:rPr>
                    <w:t>固化、</w:t>
                  </w:r>
                  <w:r>
                    <w:rPr>
                      <w:rFonts w:hint="eastAsia" w:ascii="Times New Roman" w:hAnsi="Times New Roman" w:eastAsia="宋体" w:cs="Times New Roman"/>
                      <w:color w:val="000000" w:themeColor="text1"/>
                      <w:szCs w:val="21"/>
                      <w:lang w:val="en-US" w:eastAsia="zh-CN"/>
                      <w14:textFill>
                        <w14:solidFill>
                          <w14:schemeClr w14:val="tx1"/>
                        </w14:solidFill>
                      </w14:textFill>
                    </w:rPr>
                    <w:t>前处理烘干</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喷漆烘干</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喷粉固化天然气燃烧</w:t>
                  </w:r>
                  <w:r>
                    <w:rPr>
                      <w:rFonts w:hint="default" w:ascii="Times New Roman" w:hAnsi="Times New Roman" w:eastAsia="宋体" w:cs="Times New Roman"/>
                      <w:color w:val="000000" w:themeColor="text1"/>
                      <w:szCs w:val="21"/>
                      <w:lang w:val="en-US" w:eastAsia="zh-CN"/>
                      <w14:textFill>
                        <w14:solidFill>
                          <w14:schemeClr w14:val="tx1"/>
                        </w14:solidFill>
                      </w14:textFill>
                    </w:rPr>
                    <w:t>废气</w:t>
                  </w:r>
                </w:p>
              </w:tc>
              <w:tc>
                <w:tcPr>
                  <w:tcW w:w="2358" w:type="pct"/>
                  <w:vAlign w:val="center"/>
                </w:tcPr>
                <w:p w14:paraId="23EB752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①</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喷粉固化工序：喷粉</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粉末固化通道密闭+进出口处设置集气罩收集</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2BC31DC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②</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喷漆烘干工序：喷漆烘干通道密闭</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+进出口处设置集气罩收集</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6FE39D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③</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前处理烘干工序：前处理烘干通道密闭</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+进出口处设置集气罩收集</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267602D6">
                  <w:pPr>
                    <w:keepNext w:val="0"/>
                    <w:keepLines w:val="0"/>
                    <w:suppressLineNumbers w:val="0"/>
                    <w:spacing w:before="0" w:beforeAutospacing="0" w:after="0" w:afterAutospacing="0"/>
                    <w:ind w:left="0" w:leftChars="0" w:right="0" w:rightChars="0"/>
                    <w:jc w:val="center"/>
                    <w:rPr>
                      <w:rFonts w:hint="default"/>
                      <w:color w:val="000000" w:themeColor="text1"/>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天然气燃烧设置低氮燃烧，以上废气分别收集后经</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过滤棉+两级活性炭吸附装置处理后</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一并</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通过1根</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15</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m高的排气筒DA00</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排放</w:t>
                  </w:r>
                </w:p>
              </w:tc>
              <w:tc>
                <w:tcPr>
                  <w:tcW w:w="637" w:type="pct"/>
                  <w:vMerge w:val="continue"/>
                  <w:vAlign w:val="center"/>
                </w:tcPr>
                <w:p w14:paraId="209FBF31">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r>
            <w:tr w14:paraId="4A0DD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341" w:type="pct"/>
                  <w:vMerge w:val="continue"/>
                  <w:vAlign w:val="center"/>
                </w:tcPr>
                <w:p w14:paraId="082EEB57">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345" w:type="pct"/>
                  <w:vMerge w:val="continue"/>
                  <w:vAlign w:val="center"/>
                </w:tcPr>
                <w:p w14:paraId="64A7C767">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524" w:type="pct"/>
                  <w:vMerge w:val="continue"/>
                  <w:vAlign w:val="center"/>
                </w:tcPr>
                <w:p w14:paraId="5B073593">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793" w:type="pct"/>
                  <w:gridSpan w:val="2"/>
                  <w:vAlign w:val="center"/>
                </w:tcPr>
                <w:p w14:paraId="74D13885">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r>
                    <w:rPr>
                      <w:rFonts w:hint="default"/>
                      <w:color w:val="000000" w:themeColor="text1"/>
                      <w:szCs w:val="21"/>
                      <w14:textFill>
                        <w14:solidFill>
                          <w14:schemeClr w14:val="tx1"/>
                        </w14:solidFill>
                      </w14:textFill>
                    </w:rPr>
                    <w:t>废气</w:t>
                  </w:r>
                </w:p>
              </w:tc>
              <w:tc>
                <w:tcPr>
                  <w:tcW w:w="2358" w:type="pct"/>
                  <w:vAlign w:val="center"/>
                </w:tcPr>
                <w:p w14:paraId="2FB76543">
                  <w:pPr>
                    <w:keepNext w:val="0"/>
                    <w:keepLines w:val="0"/>
                    <w:suppressLineNumbers w:val="0"/>
                    <w:spacing w:before="0" w:beforeAutospacing="0" w:after="0" w:afterAutospacing="0"/>
                    <w:ind w:left="0" w:leftChars="0" w:right="0" w:rightChars="0"/>
                    <w:jc w:val="center"/>
                    <w:rPr>
                      <w:rFonts w:hint="default"/>
                      <w:color w:val="000000" w:themeColor="text1"/>
                      <w14:textFill>
                        <w14:solidFill>
                          <w14:schemeClr w14:val="tx1"/>
                        </w14:solidFill>
                      </w14:textFill>
                    </w:rPr>
                  </w:pPr>
                  <w:r>
                    <w:rPr>
                      <w:rFonts w:hint="default"/>
                      <w:color w:val="000000" w:themeColor="text1"/>
                      <w:szCs w:val="21"/>
                      <w:highlight w:val="none"/>
                      <w14:textFill>
                        <w14:solidFill>
                          <w14:schemeClr w14:val="tx1"/>
                        </w14:solidFill>
                      </w14:textFill>
                    </w:rPr>
                    <w:t>调漆间、喷漆房密闭，负压抽风收集</w:t>
                  </w:r>
                  <w:r>
                    <w:rPr>
                      <w:rFonts w:hint="eastAsia"/>
                      <w:color w:val="000000" w:themeColor="text1"/>
                      <w:szCs w:val="21"/>
                      <w:highlight w:val="none"/>
                      <w:lang w:val="en-US" w:eastAsia="zh-CN"/>
                      <w14:textFill>
                        <w14:solidFill>
                          <w14:schemeClr w14:val="tx1"/>
                        </w14:solidFill>
                      </w14:textFill>
                    </w:rPr>
                    <w:t>+水帘柜+干式过滤+</w:t>
                  </w:r>
                  <w:r>
                    <w:rPr>
                      <w:rFonts w:hint="default" w:ascii="Times New Roman" w:hAnsi="Times New Roman" w:cs="Times New Roman"/>
                      <w:color w:val="000000" w:themeColor="text1"/>
                      <w:szCs w:val="21"/>
                      <w14:textFill>
                        <w14:solidFill>
                          <w14:schemeClr w14:val="tx1"/>
                        </w14:solidFill>
                      </w14:textFill>
                    </w:rPr>
                    <w:t>两级活性炭吸附装置处理后通过1根</w:t>
                  </w:r>
                  <w:r>
                    <w:rPr>
                      <w:rFonts w:hint="eastAsia" w:ascii="Times New Roman" w:hAnsi="Times New Roman" w:cs="Times New Roman"/>
                      <w:color w:val="000000" w:themeColor="text1"/>
                      <w:szCs w:val="21"/>
                      <w14:textFill>
                        <w14:solidFill>
                          <w14:schemeClr w14:val="tx1"/>
                        </w14:solidFill>
                      </w14:textFill>
                    </w:rPr>
                    <w:t>15</w:t>
                  </w:r>
                  <w:r>
                    <w:rPr>
                      <w:rFonts w:hint="default" w:ascii="Times New Roman" w:hAnsi="Times New Roman" w:cs="Times New Roman"/>
                      <w:color w:val="000000" w:themeColor="text1"/>
                      <w:szCs w:val="21"/>
                      <w14:textFill>
                        <w14:solidFill>
                          <w14:schemeClr w14:val="tx1"/>
                        </w14:solidFill>
                      </w14:textFill>
                    </w:rPr>
                    <w:t>m高的排气筒DA00</w:t>
                  </w:r>
                  <w:r>
                    <w:rPr>
                      <w:rFonts w:hint="eastAsia" w:ascii="Times New Roman" w:hAnsi="Times New Roman" w:cs="Times New Roman"/>
                      <w:color w:val="000000" w:themeColor="text1"/>
                      <w:szCs w:val="21"/>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排放</w:t>
                  </w:r>
                </w:p>
              </w:tc>
              <w:tc>
                <w:tcPr>
                  <w:tcW w:w="637" w:type="pct"/>
                  <w:vMerge w:val="continue"/>
                  <w:vAlign w:val="center"/>
                </w:tcPr>
                <w:p w14:paraId="7F78DC35">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r>
            <w:tr w14:paraId="4062D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341" w:type="pct"/>
                  <w:vMerge w:val="continue"/>
                  <w:vAlign w:val="center"/>
                </w:tcPr>
                <w:p w14:paraId="602AC384">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345" w:type="pct"/>
                  <w:vMerge w:val="continue"/>
                  <w:vAlign w:val="center"/>
                </w:tcPr>
                <w:p w14:paraId="29FAD945">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524" w:type="pct"/>
                  <w:vMerge w:val="continue"/>
                  <w:vAlign w:val="center"/>
                </w:tcPr>
                <w:p w14:paraId="259E9EA3">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793" w:type="pct"/>
                  <w:gridSpan w:val="2"/>
                  <w:vAlign w:val="center"/>
                </w:tcPr>
                <w:p w14:paraId="08A067C8">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r>
                    <w:rPr>
                      <w:rFonts w:hint="eastAsia" w:ascii="Times New Roman" w:hAnsi="Times New Roman" w:cs="Times New Roman"/>
                      <w:color w:val="000000" w:themeColor="text1"/>
                      <w:kern w:val="0"/>
                      <w:szCs w:val="21"/>
                      <w:lang w:val="en-US" w:eastAsia="zh-CN" w:bidi="ar"/>
                      <w14:textFill>
                        <w14:solidFill>
                          <w14:schemeClr w14:val="tx1"/>
                        </w14:solidFill>
                      </w14:textFill>
                    </w:rPr>
                    <w:t>粉尘</w:t>
                  </w:r>
                </w:p>
              </w:tc>
              <w:tc>
                <w:tcPr>
                  <w:tcW w:w="2358" w:type="pct"/>
                  <w:vAlign w:val="center"/>
                </w:tcPr>
                <w:p w14:paraId="4DFF20A9">
                  <w:pPr>
                    <w:keepNext w:val="0"/>
                    <w:keepLines w:val="0"/>
                    <w:suppressLineNumbers w:val="0"/>
                    <w:spacing w:before="0" w:beforeAutospacing="0" w:after="0" w:afterAutospacing="0"/>
                    <w:ind w:left="0" w:leftChars="0" w:right="0" w:rightChars="0"/>
                    <w:jc w:val="center"/>
                    <w:rPr>
                      <w:rFonts w:hint="default"/>
                      <w:color w:val="000000" w:themeColor="text1"/>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喷粉房密闭负压收集后+滤筒+脉冲布袋除尘器处理后通过1根</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15</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m高的排气筒DA00</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排放</w:t>
                  </w:r>
                </w:p>
              </w:tc>
              <w:tc>
                <w:tcPr>
                  <w:tcW w:w="637" w:type="pct"/>
                  <w:vMerge w:val="continue"/>
                  <w:vAlign w:val="center"/>
                </w:tcPr>
                <w:p w14:paraId="6009F7CD">
                  <w:pPr>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p>
              </w:tc>
            </w:tr>
            <w:tr w14:paraId="57C45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1" w:type="pct"/>
                  <w:vMerge w:val="continue"/>
                  <w:vAlign w:val="center"/>
                </w:tcPr>
                <w:p w14:paraId="41D51DB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5342AEB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tcBorders>
                    <w:top w:val="single" w:color="auto" w:sz="4" w:space="0"/>
                  </w:tcBorders>
                  <w:vAlign w:val="center"/>
                </w:tcPr>
                <w:p w14:paraId="3F66E36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废水处理</w:t>
                  </w:r>
                </w:p>
              </w:tc>
              <w:tc>
                <w:tcPr>
                  <w:tcW w:w="3151" w:type="pct"/>
                  <w:gridSpan w:val="3"/>
                  <w:shd w:val="clear" w:color="auto" w:fill="auto"/>
                  <w:vAlign w:val="center"/>
                </w:tcPr>
                <w:p w14:paraId="2A59D48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排水系统采用雨污分流制，雨水进入雨水</w:t>
                  </w:r>
                  <w:r>
                    <w:rPr>
                      <w:rFonts w:hint="default" w:ascii="Times New Roman" w:hAnsi="Times New Roman" w:eastAsia="宋体" w:cs="Times New Roman"/>
                      <w:color w:val="000000" w:themeColor="text1"/>
                      <w:szCs w:val="21"/>
                      <w14:textFill>
                        <w14:solidFill>
                          <w14:schemeClr w14:val="tx1"/>
                        </w14:solidFill>
                      </w14:textFill>
                    </w:rPr>
                    <w:t>管网。</w:t>
                  </w:r>
                  <w:r>
                    <w:rPr>
                      <w:rFonts w:hint="eastAsia" w:ascii="Times New Roman" w:hAnsi="Times New Roman" w:eastAsia="宋体" w:cs="Times New Roman"/>
                      <w:color w:val="000000" w:themeColor="text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szCs w:val="21"/>
                      <w14:textFill>
                        <w14:solidFill>
                          <w14:schemeClr w14:val="tx1"/>
                        </w14:solidFill>
                      </w14:textFill>
                    </w:rPr>
                    <w:t>生活污水经化粪池处理后和经污水处理站处理的喷枪清洗废水、水性光亮剂配比废水、超声波清洗废水、前处理线废水、纯水制备浓水、喷漆水帘柜废水一同经市政污水管网排入芜湖县新芜开发区城东污水处理厂处理</w:t>
                  </w:r>
                  <w:r>
                    <w:rPr>
                      <w:rFonts w:hint="default" w:ascii="Times New Roman" w:hAnsi="Times New Roman" w:eastAsia="宋体" w:cs="Times New Roman"/>
                      <w:color w:val="000000" w:themeColor="text1"/>
                      <w:szCs w:val="21"/>
                      <w:lang w:val="en-US" w:eastAsia="zh-CN"/>
                      <w14:textFill>
                        <w14:solidFill>
                          <w14:schemeClr w14:val="tx1"/>
                        </w14:solidFill>
                      </w14:textFill>
                    </w:rPr>
                    <w:t>，达标后排入</w:t>
                  </w:r>
                  <w:r>
                    <w:rPr>
                      <w:rFonts w:hint="eastAsia" w:cs="Times New Roman"/>
                      <w:color w:val="000000" w:themeColor="text1"/>
                      <w:szCs w:val="21"/>
                      <w:lang w:val="en-US" w:eastAsia="zh-CN"/>
                      <w14:textFill>
                        <w14:solidFill>
                          <w14:schemeClr w14:val="tx1"/>
                        </w14:solidFill>
                      </w14:textFill>
                    </w:rPr>
                    <w:t>汪溪坝撇洪沟后汇入裘公河</w:t>
                  </w:r>
                </w:p>
              </w:tc>
              <w:tc>
                <w:tcPr>
                  <w:tcW w:w="637" w:type="pct"/>
                  <w:shd w:val="clear" w:color="auto" w:fill="auto"/>
                  <w:vAlign w:val="center"/>
                </w:tcPr>
                <w:p w14:paraId="6ADD492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06AD8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1" w:type="pct"/>
                  <w:vMerge w:val="continue"/>
                  <w:vAlign w:val="center"/>
                </w:tcPr>
                <w:p w14:paraId="3D25C32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55DC6E7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vAlign w:val="center"/>
                </w:tcPr>
                <w:p w14:paraId="32BA23D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噪声治理</w:t>
                  </w:r>
                </w:p>
              </w:tc>
              <w:tc>
                <w:tcPr>
                  <w:tcW w:w="3151" w:type="pct"/>
                  <w:gridSpan w:val="3"/>
                  <w:shd w:val="clear" w:color="auto" w:fill="auto"/>
                  <w:vAlign w:val="center"/>
                </w:tcPr>
                <w:p w14:paraId="45063E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选用低噪音设备，设备基础减振，隔声消声降噪；风机进、出风管加设消音器，基础下加设减振器</w:t>
                  </w:r>
                  <w:r>
                    <w:rPr>
                      <w:rFonts w:hint="default" w:ascii="Times New Roman" w:hAnsi="Times New Roman" w:cs="Times New Roman"/>
                      <w:color w:val="000000" w:themeColor="text1"/>
                      <w:szCs w:val="21"/>
                      <w:lang w:val="zh-CN"/>
                      <w14:textFill>
                        <w14:solidFill>
                          <w14:schemeClr w14:val="tx1"/>
                        </w14:solidFill>
                      </w14:textFill>
                    </w:rPr>
                    <w:t>等</w:t>
                  </w:r>
                </w:p>
              </w:tc>
              <w:tc>
                <w:tcPr>
                  <w:tcW w:w="637" w:type="pct"/>
                  <w:vAlign w:val="center"/>
                </w:tcPr>
                <w:p w14:paraId="455C22A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2FF4B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341" w:type="pct"/>
                  <w:vMerge w:val="continue"/>
                  <w:vAlign w:val="center"/>
                </w:tcPr>
                <w:p w14:paraId="7564889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45" w:type="pct"/>
                  <w:vMerge w:val="continue"/>
                  <w:vAlign w:val="center"/>
                </w:tcPr>
                <w:p w14:paraId="6820835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24" w:type="pct"/>
                  <w:vMerge w:val="restart"/>
                  <w:vAlign w:val="center"/>
                </w:tcPr>
                <w:p w14:paraId="0ECCDDF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固废处理</w:t>
                  </w:r>
                </w:p>
              </w:tc>
              <w:tc>
                <w:tcPr>
                  <w:tcW w:w="483" w:type="pct"/>
                  <w:vAlign w:val="center"/>
                </w:tcPr>
                <w:p w14:paraId="1B8AB50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2668" w:type="pct"/>
                  <w:gridSpan w:val="2"/>
                  <w:vAlign w:val="center"/>
                </w:tcPr>
                <w:p w14:paraId="4CC8787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交由环卫部门进行处理，厂内设有垃圾桶</w:t>
                  </w:r>
                </w:p>
              </w:tc>
              <w:tc>
                <w:tcPr>
                  <w:tcW w:w="637" w:type="pct"/>
                  <w:vMerge w:val="restart"/>
                  <w:vAlign w:val="center"/>
                </w:tcPr>
                <w:p w14:paraId="091551CA">
                  <w:pPr>
                    <w:keepNext w:val="0"/>
                    <w:keepLines w:val="0"/>
                    <w:suppressLineNumbers w:val="0"/>
                    <w:spacing w:before="0" w:beforeAutospacing="0" w:after="0" w:afterAutospacing="0"/>
                    <w:ind w:left="0" w:right="0"/>
                    <w:jc w:val="center"/>
                    <w:rPr>
                      <w:rStyle w:val="75"/>
                      <w:rFonts w:hint="eastAsia" w:cs="Times New Roman"/>
                      <w:color w:val="000000" w:themeColor="text1"/>
                      <w:highlight w:val="none"/>
                      <w:lang w:val="en-US" w:eastAsia="zh-CN"/>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p w14:paraId="02D1D128">
                  <w:pPr>
                    <w:keepNext w:val="0"/>
                    <w:keepLines w:val="0"/>
                    <w:suppressLineNumbers w:val="0"/>
                    <w:spacing w:before="0" w:beforeAutospacing="0" w:after="0" w:afterAutospacing="0"/>
                    <w:ind w:left="0" w:right="0"/>
                    <w:jc w:val="both"/>
                    <w:rPr>
                      <w:rStyle w:val="75"/>
                      <w:rFonts w:hint="default" w:cs="Times New Roman"/>
                      <w:color w:val="000000" w:themeColor="text1"/>
                      <w:highlight w:val="none"/>
                      <w:lang w:val="en-US" w:eastAsia="zh-CN"/>
                      <w14:textFill>
                        <w14:solidFill>
                          <w14:schemeClr w14:val="tx1"/>
                        </w14:solidFill>
                      </w14:textFill>
                    </w:rPr>
                  </w:pPr>
                </w:p>
              </w:tc>
            </w:tr>
            <w:tr w14:paraId="4FC3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1" w:type="pct"/>
                  <w:vMerge w:val="continue"/>
                  <w:vAlign w:val="center"/>
                </w:tcPr>
                <w:p w14:paraId="474BA4E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345" w:type="pct"/>
                  <w:vMerge w:val="continue"/>
                  <w:vAlign w:val="center"/>
                </w:tcPr>
                <w:p w14:paraId="1C3D2F3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24" w:type="pct"/>
                  <w:vMerge w:val="continue"/>
                  <w:vAlign w:val="center"/>
                </w:tcPr>
                <w:p w14:paraId="0F77265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483" w:type="pct"/>
                  <w:vAlign w:val="center"/>
                </w:tcPr>
                <w:p w14:paraId="63AFCC6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w:t>
                  </w:r>
                  <w:r>
                    <w:rPr>
                      <w:rFonts w:hint="default" w:ascii="Times New Roman" w:hAnsi="Times New Roman" w:cs="Times New Roman"/>
                      <w:color w:val="000000" w:themeColor="text1"/>
                      <w:szCs w:val="21"/>
                      <w:lang w:eastAsia="zh-CN"/>
                      <w14:textFill>
                        <w14:solidFill>
                          <w14:schemeClr w14:val="tx1"/>
                        </w14:solidFill>
                      </w14:textFill>
                    </w:rPr>
                    <w:t>工业</w:t>
                  </w:r>
                </w:p>
                <w:p w14:paraId="17E2A76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固</w:t>
                  </w:r>
                  <w:r>
                    <w:rPr>
                      <w:rFonts w:hint="default" w:ascii="Times New Roman" w:hAnsi="Times New Roman" w:cs="Times New Roman"/>
                      <w:color w:val="000000" w:themeColor="text1"/>
                      <w:szCs w:val="21"/>
                      <w14:textFill>
                        <w14:solidFill>
                          <w14:schemeClr w14:val="tx1"/>
                        </w14:solidFill>
                      </w14:textFill>
                    </w:rPr>
                    <w:t>废</w:t>
                  </w:r>
                </w:p>
              </w:tc>
              <w:tc>
                <w:tcPr>
                  <w:tcW w:w="2668" w:type="pct"/>
                  <w:gridSpan w:val="2"/>
                  <w:vAlign w:val="center"/>
                </w:tcPr>
                <w:p w14:paraId="108F775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w:t>
                  </w:r>
                  <w:r>
                    <w:rPr>
                      <w:rFonts w:hint="default" w:ascii="Times New Roman" w:hAnsi="Times New Roman" w:cs="Times New Roman"/>
                      <w:color w:val="000000" w:themeColor="text1"/>
                      <w:szCs w:val="21"/>
                      <w14:textFill>
                        <w14:solidFill>
                          <w14:schemeClr w14:val="tx1"/>
                        </w14:solidFill>
                      </w14:textFill>
                    </w:rPr>
                    <w:t>除尘装置收集的喷粉粉尘收集后回用于生产；除尘装置收集</w:t>
                  </w:r>
                  <w:r>
                    <w:rPr>
                      <w:rFonts w:hint="default" w:ascii="Times New Roman" w:hAnsi="Times New Roman" w:eastAsia="宋体" w:cs="Times New Roman"/>
                      <w:color w:val="000000" w:themeColor="text1"/>
                      <w:szCs w:val="21"/>
                      <w14:textFill>
                        <w14:solidFill>
                          <w14:schemeClr w14:val="tx1"/>
                        </w14:solidFill>
                      </w14:textFill>
                    </w:rPr>
                    <w:t>的</w:t>
                  </w:r>
                  <w:r>
                    <w:rPr>
                      <w:rFonts w:hint="eastAsia" w:ascii="Times New Roman" w:hAnsi="Times New Roman" w:eastAsia="宋体" w:cs="Times New Roman"/>
                      <w:color w:val="000000" w:themeColor="text1"/>
                      <w:szCs w:val="21"/>
                      <w:lang w:val="en-US" w:eastAsia="zh-CN"/>
                      <w14:textFill>
                        <w14:solidFill>
                          <w14:schemeClr w14:val="tx1"/>
                        </w14:solidFill>
                      </w14:textFill>
                    </w:rPr>
                    <w:t>人工去毛刺</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打磨</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喷砂</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抛丸</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抛光</w:t>
                  </w:r>
                  <w:r>
                    <w:rPr>
                      <w:rFonts w:hint="default" w:ascii="Times New Roman" w:hAnsi="Times New Roman" w:eastAsia="宋体" w:cs="Times New Roman"/>
                      <w:color w:val="000000" w:themeColor="text1"/>
                      <w:szCs w:val="21"/>
                      <w14:textFill>
                        <w14:solidFill>
                          <w14:schemeClr w14:val="tx1"/>
                        </w14:solidFill>
                      </w14:textFill>
                    </w:rPr>
                    <w:t>粉尘粉尘</w:t>
                  </w:r>
                  <w:r>
                    <w:rPr>
                      <w:rFonts w:hint="default" w:ascii="Times New Roman" w:hAnsi="Times New Roman" w:cs="Times New Roman"/>
                      <w:color w:val="000000" w:themeColor="text1"/>
                      <w:szCs w:val="21"/>
                      <w14:textFill>
                        <w14:solidFill>
                          <w14:schemeClr w14:val="tx1"/>
                        </w14:solidFill>
                      </w14:textFill>
                    </w:rPr>
                    <w:t>、废包装材料、废布袋、滤筒、</w:t>
                  </w:r>
                  <w:r>
                    <w:rPr>
                      <w:rFonts w:hint="default" w:ascii="Times New Roman" w:hAnsi="Times New Roman" w:eastAsia="宋体" w:cs="Times New Roman"/>
                      <w:color w:val="000000" w:themeColor="text1"/>
                      <w:szCs w:val="21"/>
                      <w:lang w:val="en-US" w:eastAsia="zh-CN"/>
                      <w14:textFill>
                        <w14:solidFill>
                          <w14:schemeClr w14:val="tx1"/>
                        </w14:solidFill>
                      </w14:textFill>
                    </w:rPr>
                    <w:t>废金属屑及边角料、水性漆渣、不合格品、废钢丸、废钢</w:t>
                  </w:r>
                  <w:r>
                    <w:rPr>
                      <w:rFonts w:hint="eastAsia" w:ascii="Times New Roman" w:hAnsi="Times New Roman" w:eastAsia="宋体" w:cs="Times New Roman"/>
                      <w:color w:val="000000" w:themeColor="text1"/>
                      <w:szCs w:val="21"/>
                      <w:lang w:val="en-US" w:eastAsia="zh-CN"/>
                      <w14:textFill>
                        <w14:solidFill>
                          <w14:schemeClr w14:val="tx1"/>
                        </w14:solidFill>
                      </w14:textFill>
                    </w:rPr>
                    <w:t>砂</w:t>
                  </w:r>
                  <w:r>
                    <w:rPr>
                      <w:rFonts w:hint="default" w:ascii="Times New Roman" w:hAnsi="Times New Roman" w:eastAsia="宋体" w:cs="Times New Roman"/>
                      <w:color w:val="000000" w:themeColor="text1"/>
                      <w:szCs w:val="21"/>
                      <w:lang w:val="en-US" w:eastAsia="zh-CN"/>
                      <w14:textFill>
                        <w14:solidFill>
                          <w14:schemeClr w14:val="tx1"/>
                        </w14:solidFill>
                      </w14:textFill>
                    </w:rPr>
                    <w:t>、废</w:t>
                  </w:r>
                  <w:r>
                    <w:rPr>
                      <w:rFonts w:hint="eastAsia" w:ascii="Times New Roman" w:hAnsi="Times New Roman" w:eastAsia="宋体" w:cs="Times New Roman"/>
                      <w:color w:val="000000" w:themeColor="text1"/>
                      <w:szCs w:val="21"/>
                      <w:lang w:val="en-US" w:eastAsia="zh-CN"/>
                      <w14:textFill>
                        <w14:solidFill>
                          <w14:schemeClr w14:val="tx1"/>
                        </w14:solidFill>
                      </w14:textFill>
                    </w:rPr>
                    <w:t>砂带</w:t>
                  </w:r>
                  <w:r>
                    <w:rPr>
                      <w:rFonts w:hint="default" w:ascii="Times New Roman" w:hAnsi="Times New Roman" w:eastAsia="宋体" w:cs="Times New Roman"/>
                      <w:color w:val="000000" w:themeColor="text1"/>
                      <w:szCs w:val="21"/>
                      <w:lang w:val="en-US" w:eastAsia="zh-CN"/>
                      <w14:textFill>
                        <w14:solidFill>
                          <w14:schemeClr w14:val="tx1"/>
                        </w14:solidFill>
                      </w14:textFill>
                    </w:rPr>
                    <w:t>、废反渗透膜、含</w:t>
                  </w:r>
                  <w:r>
                    <w:rPr>
                      <w:rFonts w:hint="default" w:ascii="Times New Roman" w:hAnsi="Times New Roman" w:cs="Times New Roman"/>
                      <w:bCs/>
                      <w:color w:val="000000" w:themeColor="text1"/>
                      <w:szCs w:val="21"/>
                      <w14:textFill>
                        <w14:solidFill>
                          <w14:schemeClr w14:val="tx1"/>
                        </w14:solidFill>
                      </w14:textFill>
                    </w:rPr>
                    <w:t>油金属屑（</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收集后外售</w:t>
                  </w:r>
                </w:p>
              </w:tc>
              <w:tc>
                <w:tcPr>
                  <w:tcW w:w="637" w:type="pct"/>
                  <w:vMerge w:val="continue"/>
                  <w:vAlign w:val="center"/>
                </w:tcPr>
                <w:p w14:paraId="6A50E8E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r>
            <w:tr w14:paraId="6CD87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1" w:type="pct"/>
                  <w:vMerge w:val="continue"/>
                  <w:vAlign w:val="center"/>
                </w:tcPr>
                <w:p w14:paraId="5F51817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345" w:type="pct"/>
                  <w:vMerge w:val="continue"/>
                  <w:vAlign w:val="center"/>
                </w:tcPr>
                <w:p w14:paraId="7D0B085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24" w:type="pct"/>
                  <w:vMerge w:val="continue"/>
                  <w:vAlign w:val="center"/>
                </w:tcPr>
                <w:p w14:paraId="3A514A9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483" w:type="pct"/>
                  <w:vAlign w:val="center"/>
                </w:tcPr>
                <w:p w14:paraId="76CDA05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w:t>
                  </w:r>
                </w:p>
                <w:p w14:paraId="1F6971C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废物</w:t>
                  </w:r>
                </w:p>
              </w:tc>
              <w:tc>
                <w:tcPr>
                  <w:tcW w:w="2668" w:type="pct"/>
                  <w:gridSpan w:val="2"/>
                  <w:vAlign w:val="center"/>
                </w:tcPr>
                <w:p w14:paraId="6A5F2C3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废活性炭、</w:t>
                  </w:r>
                  <w:r>
                    <w:rPr>
                      <w:rFonts w:hint="default" w:ascii="Times New Roman" w:hAnsi="Times New Roman" w:cs="Times New Roman"/>
                      <w:color w:val="000000" w:themeColor="text1"/>
                      <w14:textFill>
                        <w14:solidFill>
                          <w14:schemeClr w14:val="tx1"/>
                        </w14:solidFill>
                      </w14:textFill>
                    </w:rPr>
                    <w:t>废过滤棉、废切削液、废润滑油、废液压油、废化学品包装桶、废油桶、</w:t>
                  </w:r>
                  <w:r>
                    <w:rPr>
                      <w:rFonts w:hint="eastAsia" w:ascii="Times New Roman" w:hAnsi="Times New Roman" w:cs="Times New Roman"/>
                      <w:color w:val="000000" w:themeColor="text1"/>
                      <w:lang w:val="en-US" w:eastAsia="zh-CN"/>
                      <w14:textFill>
                        <w14:solidFill>
                          <w14:schemeClr w14:val="tx1"/>
                        </w14:solidFill>
                      </w14:textFill>
                    </w:rPr>
                    <w:t>槽渣</w:t>
                  </w:r>
                  <w:r>
                    <w:rPr>
                      <w:rFonts w:hint="default"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污泥</w:t>
                  </w:r>
                  <w:r>
                    <w:rPr>
                      <w:rFonts w:hint="default" w:ascii="Times New Roman" w:hAnsi="Times New Roman" w:cs="Times New Roman"/>
                      <w:color w:val="000000" w:themeColor="text1"/>
                      <w:szCs w:val="21"/>
                      <w14:textFill>
                        <w14:solidFill>
                          <w14:schemeClr w14:val="tx1"/>
                        </w14:solidFill>
                      </w14:textFill>
                    </w:rPr>
                    <w:t>收集后暂存于危险废物暂存库，定期委托有危废处理资质单位处置</w:t>
                  </w:r>
                  <w:r>
                    <w:rPr>
                      <w:rFonts w:hint="default" w:ascii="Times New Roman" w:hAnsi="Times New Roman" w:cs="Times New Roman"/>
                      <w:color w:val="000000" w:themeColor="text1"/>
                      <w:szCs w:val="21"/>
                      <w:lang w:eastAsia="zh-CN"/>
                      <w14:textFill>
                        <w14:solidFill>
                          <w14:schemeClr w14:val="tx1"/>
                        </w14:solidFill>
                      </w14:textFill>
                    </w:rPr>
                    <w:t>；</w:t>
                  </w:r>
                </w:p>
                <w:p w14:paraId="401C9E7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厂房内西北侧</w:t>
                  </w:r>
                  <w:r>
                    <w:rPr>
                      <w:rFonts w:hint="default" w:ascii="Times New Roman" w:hAnsi="Times New Roman" w:cs="Times New Roman"/>
                      <w:color w:val="000000" w:themeColor="text1"/>
                      <w:szCs w:val="21"/>
                      <w14:textFill>
                        <w14:solidFill>
                          <w14:schemeClr w14:val="tx1"/>
                        </w14:solidFill>
                      </w14:textFill>
                    </w:rPr>
                    <w:t>设有危废库1座，面积约为</w:t>
                  </w:r>
                  <w:r>
                    <w:rPr>
                      <w:rFonts w:hint="eastAsia" w:cs="Times New Roman"/>
                      <w:color w:val="000000" w:themeColor="text1"/>
                      <w:szCs w:val="21"/>
                      <w:lang w:val="en-US" w:eastAsia="zh-CN"/>
                      <w14:textFill>
                        <w14:solidFill>
                          <w14:schemeClr w14:val="tx1"/>
                        </w14:solidFill>
                      </w14:textFill>
                    </w:rPr>
                    <w:t>15m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，危废库设有</w:t>
                  </w:r>
                  <w:r>
                    <w:rPr>
                      <w:rFonts w:hint="default"/>
                      <w:color w:val="000000" w:themeColor="text1"/>
                      <w:kern w:val="0"/>
                      <w:sz w:val="21"/>
                      <w:szCs w:val="21"/>
                      <w:highlight w:val="none"/>
                      <w14:textFill>
                        <w14:solidFill>
                          <w14:schemeClr w14:val="tx1"/>
                        </w14:solidFill>
                      </w14:textFill>
                    </w:rPr>
                    <w:t>防风、防晒、防雨、防漏、防渗、防腐</w:t>
                  </w:r>
                  <w:r>
                    <w:rPr>
                      <w:rFonts w:hint="default" w:ascii="Times New Roman" w:hAnsi="Times New Roman" w:cs="Times New Roman"/>
                      <w:color w:val="000000" w:themeColor="text1"/>
                      <w:szCs w:val="21"/>
                      <w14:textFill>
                        <w14:solidFill>
                          <w14:schemeClr w14:val="tx1"/>
                        </w14:solidFill>
                      </w14:textFill>
                    </w:rPr>
                    <w:t>等措施</w:t>
                  </w:r>
                </w:p>
              </w:tc>
              <w:tc>
                <w:tcPr>
                  <w:tcW w:w="637" w:type="pct"/>
                  <w:vMerge w:val="continue"/>
                  <w:vAlign w:val="center"/>
                </w:tcPr>
                <w:p w14:paraId="626C69C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r>
            <w:tr w14:paraId="7D8C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1" w:type="pct"/>
                  <w:vMerge w:val="continue"/>
                  <w:vAlign w:val="center"/>
                </w:tcPr>
                <w:p w14:paraId="6890112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345" w:type="pct"/>
                  <w:vMerge w:val="continue"/>
                  <w:vAlign w:val="center"/>
                </w:tcPr>
                <w:p w14:paraId="23EA653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24" w:type="pct"/>
                  <w:vAlign w:val="center"/>
                </w:tcPr>
                <w:p w14:paraId="2CF882A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土壤及地下水防治</w:t>
                  </w:r>
                </w:p>
              </w:tc>
              <w:tc>
                <w:tcPr>
                  <w:tcW w:w="3151" w:type="pct"/>
                  <w:gridSpan w:val="3"/>
                  <w:vAlign w:val="center"/>
                </w:tcPr>
                <w:p w14:paraId="228979C2">
                  <w:pPr>
                    <w:pStyle w:val="27"/>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重点防渗：</w:t>
                  </w:r>
                  <w:r>
                    <w:rPr>
                      <w:rFonts w:hint="default" w:ascii="Times New Roman" w:hAnsi="Times New Roman" w:eastAsia="宋体" w:cs="Times New Roman"/>
                      <w:color w:val="000000" w:themeColor="text1"/>
                      <w:sz w:val="21"/>
                      <w:szCs w:val="21"/>
                      <w:highlight w:val="none"/>
                      <w14:textFill>
                        <w14:solidFill>
                          <w14:schemeClr w14:val="tx1"/>
                        </w14:solidFill>
                      </w14:textFill>
                    </w:rPr>
                    <w:t>危废暂存库、化学品仓库、喷漆区域、清洗区域、前处理区域、</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化学品仓库</w:t>
                  </w:r>
                  <w:r>
                    <w:rPr>
                      <w:rFonts w:hint="default" w:ascii="Times New Roman" w:hAnsi="Times New Roman" w:eastAsia="宋体" w:cs="Times New Roman"/>
                      <w:color w:val="000000" w:themeColor="text1"/>
                      <w:sz w:val="21"/>
                      <w:szCs w:val="21"/>
                      <w:highlight w:val="none"/>
                      <w14:textFill>
                        <w14:solidFill>
                          <w14:schemeClr w14:val="tx1"/>
                        </w14:solidFill>
                      </w14:textFill>
                    </w:rPr>
                    <w:t>、污水处理站</w:t>
                  </w:r>
                  <w:r>
                    <w:rPr>
                      <w:rFonts w:hint="eastAsia"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防渗措施：</w:t>
                  </w:r>
                  <w:r>
                    <w:rPr>
                      <w:rFonts w:hint="default" w:ascii="Times New Roman" w:hAnsi="Times New Roman" w:eastAsia="宋体" w:cs="Times New Roman"/>
                      <w:color w:val="000000" w:themeColor="text1"/>
                      <w:sz w:val="21"/>
                      <w:szCs w:val="21"/>
                      <w14:textFill>
                        <w14:solidFill>
                          <w14:schemeClr w14:val="tx1"/>
                        </w14:solidFill>
                      </w14:textFill>
                    </w:rPr>
                    <w:t>在混凝土硬化上方涂刷环氧树脂涂料；等效黏土防渗层Mb≥6.0m，K≤1×10</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-7</w:t>
                  </w:r>
                  <w:r>
                    <w:rPr>
                      <w:rFonts w:hint="default" w:ascii="Times New Roman" w:hAnsi="Times New Roman" w:eastAsia="宋体" w:cs="Times New Roman"/>
                      <w:color w:val="000000" w:themeColor="text1"/>
                      <w:sz w:val="21"/>
                      <w:szCs w:val="21"/>
                      <w14:textFill>
                        <w14:solidFill>
                          <w14:schemeClr w14:val="tx1"/>
                        </w14:solidFill>
                      </w14:textFill>
                    </w:rPr>
                    <w:t>cm/s</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eastAsia" w:cs="Times New Roman"/>
                      <w:color w:val="000000" w:themeColor="text1"/>
                      <w:sz w:val="21"/>
                      <w:szCs w:val="21"/>
                      <w:lang w:eastAsia="zh-CN"/>
                      <w14:textFill>
                        <w14:solidFill>
                          <w14:schemeClr w14:val="tx1"/>
                        </w14:solidFill>
                      </w14:textFill>
                    </w:rPr>
                    <w:t>其中危废暂存库按照《危险废物贮存污染控制标准》（GB18597-2023），至少1m厚黏土层（渗透系数不大于10</w:t>
                  </w:r>
                  <w:r>
                    <w:rPr>
                      <w:rFonts w:hint="eastAsia" w:cs="Times New Roman"/>
                      <w:color w:val="000000" w:themeColor="text1"/>
                      <w:sz w:val="21"/>
                      <w:szCs w:val="21"/>
                      <w:vertAlign w:val="superscript"/>
                      <w:lang w:eastAsia="zh-CN"/>
                      <w14:textFill>
                        <w14:solidFill>
                          <w14:schemeClr w14:val="tx1"/>
                        </w14:solidFill>
                      </w14:textFill>
                    </w:rPr>
                    <w:t>-7</w:t>
                  </w:r>
                  <w:r>
                    <w:rPr>
                      <w:rFonts w:hint="eastAsia" w:cs="Times New Roman"/>
                      <w:color w:val="000000" w:themeColor="text1"/>
                      <w:sz w:val="21"/>
                      <w:szCs w:val="21"/>
                      <w:lang w:eastAsia="zh-CN"/>
                      <w14:textFill>
                        <w14:solidFill>
                          <w14:schemeClr w14:val="tx1"/>
                        </w14:solidFill>
                      </w14:textFill>
                    </w:rPr>
                    <w:t>cm/s）；或至少2mm厚高密度聚乙烯膜等人工防渗材料（渗透系数不大于10</w:t>
                  </w:r>
                  <w:r>
                    <w:rPr>
                      <w:rFonts w:hint="eastAsia" w:cs="Times New Roman"/>
                      <w:color w:val="000000" w:themeColor="text1"/>
                      <w:sz w:val="21"/>
                      <w:szCs w:val="21"/>
                      <w:vertAlign w:val="superscript"/>
                      <w:lang w:eastAsia="zh-CN"/>
                      <w14:textFill>
                        <w14:solidFill>
                          <w14:schemeClr w14:val="tx1"/>
                        </w14:solidFill>
                      </w14:textFill>
                    </w:rPr>
                    <w:t>-10</w:t>
                  </w:r>
                  <w:r>
                    <w:rPr>
                      <w:rFonts w:hint="eastAsia" w:cs="Times New Roman"/>
                      <w:color w:val="000000" w:themeColor="text1"/>
                      <w:sz w:val="21"/>
                      <w:szCs w:val="21"/>
                      <w:lang w:eastAsia="zh-CN"/>
                      <w14:textFill>
                        <w14:solidFill>
                          <w14:schemeClr w14:val="tx1"/>
                        </w14:solidFill>
                      </w14:textFill>
                    </w:rPr>
                    <w:t>cm/s）；</w:t>
                  </w:r>
                </w:p>
                <w:p w14:paraId="0AEEBB8A">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一般防渗区：</w:t>
                  </w:r>
                  <w:r>
                    <w:rPr>
                      <w:rFonts w:hint="default" w:ascii="Times New Roman" w:hAnsi="Times New Roman" w:cs="Times New Roman" w:eastAsiaTheme="minorEastAsia"/>
                      <w:color w:val="000000" w:themeColor="text1"/>
                      <w:szCs w:val="21"/>
                      <w:highlight w:val="none"/>
                      <w14:textFill>
                        <w14:solidFill>
                          <w14:schemeClr w14:val="tx1"/>
                        </w14:solidFill>
                      </w14:textFill>
                    </w:rPr>
                    <w:t>生产车间、一般固废暂存场所、厂区道路</w:t>
                  </w:r>
                  <w:r>
                    <w:rPr>
                      <w:rFonts w:hint="default"/>
                      <w:color w:val="000000" w:themeColor="text1"/>
                      <w:szCs w:val="21"/>
                      <w14:textFill>
                        <w14:solidFill>
                          <w14:schemeClr w14:val="tx1"/>
                        </w14:solidFill>
                      </w14:textFill>
                    </w:rPr>
                    <w:t>、化粪池</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；防渗措施：</w:t>
                  </w:r>
                  <w:r>
                    <w:rPr>
                      <w:rFonts w:hint="default" w:ascii="Times New Roman" w:hAnsi="Times New Roman" w:eastAsia="宋体" w:cs="Times New Roman"/>
                      <w:color w:val="000000" w:themeColor="text1"/>
                      <w:sz w:val="21"/>
                      <w:szCs w:val="21"/>
                      <w14:textFill>
                        <w14:solidFill>
                          <w14:schemeClr w14:val="tx1"/>
                        </w14:solidFill>
                      </w14:textFill>
                    </w:rPr>
                    <w:t>采用防渗混凝土硬化，</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满足</w:t>
                  </w:r>
                  <w:r>
                    <w:rPr>
                      <w:rFonts w:hint="default" w:ascii="Times New Roman" w:hAnsi="Times New Roman" w:eastAsia="宋体" w:cs="Times New Roman"/>
                      <w:color w:val="000000" w:themeColor="text1"/>
                      <w:sz w:val="21"/>
                      <w:szCs w:val="21"/>
                      <w14:textFill>
                        <w14:solidFill>
                          <w14:schemeClr w14:val="tx1"/>
                        </w14:solidFill>
                      </w14:textFill>
                    </w:rPr>
                    <w:t>等效黏土防渗层Mb≥1.5m，K≤1×10</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-7</w:t>
                  </w:r>
                  <w:r>
                    <w:rPr>
                      <w:rFonts w:hint="default" w:ascii="Times New Roman" w:hAnsi="Times New Roman" w:eastAsia="宋体" w:cs="Times New Roman"/>
                      <w:color w:val="000000" w:themeColor="text1"/>
                      <w:sz w:val="21"/>
                      <w:szCs w:val="21"/>
                      <w14:textFill>
                        <w14:solidFill>
                          <w14:schemeClr w14:val="tx1"/>
                        </w14:solidFill>
                      </w14:textFill>
                    </w:rPr>
                    <w:t>cm/s</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p w14:paraId="57B1FE8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简单防渗：</w:t>
                  </w:r>
                  <w:r>
                    <w:rPr>
                      <w:rFonts w:hint="default" w:ascii="Times New Roman" w:hAnsi="Times New Roman" w:cs="Times New Roman" w:eastAsiaTheme="minorEastAsia"/>
                      <w:color w:val="000000" w:themeColor="text1"/>
                      <w:kern w:val="0"/>
                      <w:sz w:val="21"/>
                      <w:szCs w:val="21"/>
                      <w14:textFill>
                        <w14:solidFill>
                          <w14:schemeClr w14:val="tx1"/>
                        </w14:solidFill>
                      </w14:textFill>
                    </w:rPr>
                    <w:t>重点、一般污染防治区之外的区域</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等；防渗措施：</w:t>
                  </w:r>
                  <w:r>
                    <w:rPr>
                      <w:rFonts w:hint="default" w:ascii="Times New Roman" w:hAnsi="Times New Roman" w:eastAsia="宋体" w:cs="Times New Roman"/>
                      <w:color w:val="000000" w:themeColor="text1"/>
                      <w:sz w:val="21"/>
                      <w:szCs w:val="21"/>
                      <w14:textFill>
                        <w14:solidFill>
                          <w14:schemeClr w14:val="tx1"/>
                        </w14:solidFill>
                      </w14:textFill>
                    </w:rPr>
                    <w:t>采用普通水泥硬化</w:t>
                  </w:r>
                </w:p>
              </w:tc>
              <w:tc>
                <w:tcPr>
                  <w:tcW w:w="637" w:type="pct"/>
                  <w:vAlign w:val="center"/>
                </w:tcPr>
                <w:p w14:paraId="68B07D4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r w14:paraId="55E9E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341" w:type="pct"/>
                  <w:vMerge w:val="continue"/>
                  <w:vAlign w:val="center"/>
                </w:tcPr>
                <w:p w14:paraId="4C1ADBF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345" w:type="pct"/>
                  <w:vMerge w:val="continue"/>
                  <w:vAlign w:val="center"/>
                </w:tcPr>
                <w:p w14:paraId="6DCD037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24" w:type="pct"/>
                  <w:vAlign w:val="center"/>
                </w:tcPr>
                <w:p w14:paraId="2EDB26F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w:t>
                  </w:r>
                  <w:r>
                    <w:rPr>
                      <w:rFonts w:hint="default" w:ascii="Times New Roman" w:hAnsi="Times New Roman" w:cs="Times New Roman"/>
                      <w:color w:val="000000" w:themeColor="text1"/>
                      <w:szCs w:val="21"/>
                      <w:highlight w:val="none"/>
                      <w:lang w:val="zh-CN"/>
                      <w14:textFill>
                        <w14:solidFill>
                          <w14:schemeClr w14:val="tx1"/>
                        </w14:solidFill>
                      </w14:textFill>
                    </w:rPr>
                    <w:t>风险</w:t>
                  </w:r>
                  <w:r>
                    <w:rPr>
                      <w:rFonts w:hint="default"/>
                      <w:color w:val="000000" w:themeColor="text1"/>
                      <w14:textFill>
                        <w14:solidFill>
                          <w14:schemeClr w14:val="tx1"/>
                        </w14:solidFill>
                      </w14:textFill>
                    </w:rPr>
                    <w:commentReference w:id="15"/>
                  </w:r>
                  <w:r>
                    <w:rPr>
                      <w:rFonts w:hint="default" w:ascii="Times New Roman" w:hAnsi="Times New Roman" w:cs="Times New Roman"/>
                      <w:color w:val="000000" w:themeColor="text1"/>
                      <w:szCs w:val="21"/>
                      <w:highlight w:val="none"/>
                      <w:lang w:val="zh-CN"/>
                      <w14:textFill>
                        <w14:solidFill>
                          <w14:schemeClr w14:val="tx1"/>
                        </w14:solidFill>
                      </w14:textFill>
                    </w:rPr>
                    <w:t>防范措施</w:t>
                  </w:r>
                </w:p>
              </w:tc>
              <w:tc>
                <w:tcPr>
                  <w:tcW w:w="3151" w:type="pct"/>
                  <w:gridSpan w:val="3"/>
                  <w:shd w:val="clear" w:color="auto" w:fill="auto"/>
                  <w:vAlign w:val="center"/>
                </w:tcPr>
                <w:p w14:paraId="39FE3C9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lang w:val="zh-CN"/>
                      <w14:textFill>
                        <w14:solidFill>
                          <w14:schemeClr w14:val="tx1"/>
                        </w14:solidFill>
                      </w14:textFill>
                    </w:rPr>
                    <w:t>加强环境风险管理，严格遵守有关防爆、防火规章制度，加强岗位责任制，避免失误操作，进一步完善事故风险防范措施，并备有应急响应所需的物资；加强废气污染处理设施的运行和管理，保证其正常运行，杜绝事故性排放。</w:t>
                  </w:r>
                  <w:r>
                    <w:rPr>
                      <w:rFonts w:hint="eastAsia" w:cs="Times New Roman"/>
                      <w:color w:val="000000" w:themeColor="text1"/>
                      <w:lang w:val="zh-CN"/>
                      <w14:textFill>
                        <w14:solidFill>
                          <w14:schemeClr w14:val="tx1"/>
                        </w14:solidFill>
                      </w14:textFill>
                    </w:rPr>
                    <w:t>化学品仓库</w:t>
                  </w:r>
                  <w:r>
                    <w:rPr>
                      <w:rFonts w:hint="default" w:ascii="Times New Roman" w:hAnsi="Times New Roman" w:cs="Times New Roman"/>
                      <w:color w:val="000000" w:themeColor="text1"/>
                      <w:lang w:val="zh-CN"/>
                      <w14:textFill>
                        <w14:solidFill>
                          <w14:schemeClr w14:val="tx1"/>
                        </w14:solidFill>
                      </w14:textFill>
                    </w:rPr>
                    <w:t>、危废暂存间设置围堰、导流沟及收集池，油品存放配备防泄漏托盘</w:t>
                  </w:r>
                  <w:r>
                    <w:rPr>
                      <w:rFonts w:hint="eastAsia" w:cs="Times New Roman"/>
                      <w:color w:val="000000" w:themeColor="text1"/>
                      <w:lang w:val="zh-CN"/>
                      <w14:textFill>
                        <w14:solidFill>
                          <w14:schemeClr w14:val="tx1"/>
                        </w14:solidFill>
                      </w14:textFill>
                    </w:rPr>
                    <w:t>。</w:t>
                  </w:r>
                </w:p>
              </w:tc>
              <w:tc>
                <w:tcPr>
                  <w:tcW w:w="637" w:type="pct"/>
                  <w:vAlign w:val="center"/>
                </w:tcPr>
                <w:p w14:paraId="1101575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r>
                    <w:rPr>
                      <w:rStyle w:val="75"/>
                      <w:rFonts w:hint="eastAsia" w:cs="Times New Roman"/>
                      <w:color w:val="000000" w:themeColor="text1"/>
                      <w:highlight w:val="none"/>
                      <w:lang w:val="en-US" w:eastAsia="zh-CN"/>
                      <w14:textFill>
                        <w14:solidFill>
                          <w14:schemeClr w14:val="tx1"/>
                        </w14:solidFill>
                      </w14:textFill>
                    </w:rPr>
                    <w:t>新建</w:t>
                  </w:r>
                </w:p>
              </w:tc>
            </w:tr>
          </w:tbl>
          <w:p w14:paraId="4411E7EC">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highlight w:val="none"/>
                <w14:textFill>
                  <w14:solidFill>
                    <w14:schemeClr w14:val="tx1"/>
                  </w14:solidFill>
                </w14:textFill>
              </w:rPr>
            </w:pPr>
          </w:p>
          <w:p w14:paraId="680B7450">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E7EEEE7">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79B7EBC">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F29F8BB">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657E639F">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ED282A8">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303FB88">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3495FD7B">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0B6A3BC0">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1F46BCB">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6F6748EA">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0AFB527B">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A6BAB4F">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40FACC58">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8883A3C">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0AA819CE">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524F9231">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24DBF6DC">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9307BA3">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0F083EBE">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1C0E0F26">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5D4BB4EF">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3ACD4657">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250B563A">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6D3B6E2A">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111FCCC0">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989721D">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1D354E1E">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49F74D7B">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0D162521">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1B87853D">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3FB40D76">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339CADB3">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6BCF01D3">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3B17144B">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6E76C506">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062C1269">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49F9059D">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1EF6971B">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2932C31F">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4421B1D6">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796196AA">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6F9B70A1">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56AE7912">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p w14:paraId="346748C5">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tc>
      </w:tr>
      <w:tr w14:paraId="48E216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78" w:hRule="atLeast"/>
        </w:trPr>
        <w:tc>
          <w:tcPr>
            <w:tcW w:w="456" w:type="dxa"/>
            <w:shd w:val="clear" w:color="auto" w:fill="auto"/>
            <w:vAlign w:val="center"/>
          </w:tcPr>
          <w:p w14:paraId="019AFC9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建设内容</w:t>
            </w:r>
          </w:p>
        </w:tc>
        <w:tc>
          <w:tcPr>
            <w:tcW w:w="8605" w:type="dxa"/>
            <w:gridSpan w:val="2"/>
            <w:shd w:val="clear" w:color="auto" w:fill="auto"/>
            <w:vAlign w:val="center"/>
          </w:tcPr>
          <w:p w14:paraId="1CECCE1E">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3、产品方案</w:t>
            </w:r>
          </w:p>
          <w:p w14:paraId="0D8AA74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产品方案见下表。</w:t>
            </w:r>
            <w:r>
              <w:rPr>
                <w:rFonts w:hint="default"/>
                <w:color w:val="000000" w:themeColor="text1"/>
                <w14:textFill>
                  <w14:solidFill>
                    <w14:schemeClr w14:val="tx1"/>
                  </w14:solidFill>
                </w14:textFill>
              </w:rPr>
              <w:commentReference w:id="16"/>
            </w:r>
          </w:p>
          <w:p w14:paraId="1ACF2AA7">
            <w:pPr>
              <w:pStyle w:val="5"/>
              <w:suppressLineNumbers w:val="0"/>
              <w:spacing w:before="0" w:beforeAutospacing="0" w:after="0" w:afterAutospacing="0" w:line="240" w:lineRule="auto"/>
              <w:ind w:left="0" w:righ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highlight w:val="none"/>
                <w14:textFill>
                  <w14:solidFill>
                    <w14:schemeClr w14:val="tx1"/>
                  </w14:solidFill>
                </w14:textFill>
              </w:rPr>
              <w:t xml:space="preserve">  建设项目产品方案一览表</w:t>
            </w:r>
          </w:p>
          <w:tbl>
            <w:tblPr>
              <w:tblStyle w:val="6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508"/>
              <w:gridCol w:w="1718"/>
              <w:gridCol w:w="1523"/>
              <w:gridCol w:w="1523"/>
              <w:gridCol w:w="1601"/>
            </w:tblGrid>
            <w:tr w14:paraId="7DDBD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00" w:type="pct"/>
                  <w:vAlign w:val="center"/>
                </w:tcPr>
                <w:p w14:paraId="0B38471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bCs/>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14:textFill>
                        <w14:solidFill>
                          <w14:schemeClr w14:val="tx1"/>
                        </w14:solidFill>
                      </w14:textFill>
                    </w:rPr>
                    <w:t>序号</w:t>
                  </w:r>
                </w:p>
              </w:tc>
              <w:tc>
                <w:tcPr>
                  <w:tcW w:w="900" w:type="pct"/>
                  <w:vAlign w:val="center"/>
                </w:tcPr>
                <w:p w14:paraId="2378390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bCs/>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caps w:val="0"/>
                      <w:color w:val="000000" w:themeColor="text1"/>
                      <w:sz w:val="21"/>
                      <w:szCs w:val="21"/>
                      <w14:textFill>
                        <w14:solidFill>
                          <w14:schemeClr w14:val="tx1"/>
                        </w14:solidFill>
                      </w14:textFill>
                    </w:rPr>
                    <w:t>产品名称</w:t>
                  </w:r>
                </w:p>
              </w:tc>
              <w:tc>
                <w:tcPr>
                  <w:tcW w:w="1025" w:type="pct"/>
                  <w:vAlign w:val="center"/>
                </w:tcPr>
                <w:p w14:paraId="1968A1F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aps w:val="0"/>
                      <w:color w:val="000000" w:themeColor="text1"/>
                      <w:sz w:val="21"/>
                      <w:szCs w:val="21"/>
                      <w:lang w:val="en-US" w:eastAsia="zh-CN"/>
                      <w14:textFill>
                        <w14:solidFill>
                          <w14:schemeClr w14:val="tx1"/>
                        </w14:solidFill>
                      </w14:textFill>
                    </w:rPr>
                  </w:pPr>
                  <w:r>
                    <w:rPr>
                      <w:rFonts w:hint="eastAsia" w:ascii="Times New Roman" w:hAnsi="Times New Roman" w:cs="Times New Roman"/>
                      <w:b/>
                      <w:bCs w:val="0"/>
                      <w:caps w:val="0"/>
                      <w:color w:val="000000" w:themeColor="text1"/>
                      <w:sz w:val="21"/>
                      <w:szCs w:val="21"/>
                      <w:lang w:val="en-US" w:eastAsia="zh-CN"/>
                      <w14:textFill>
                        <w14:solidFill>
                          <w14:schemeClr w14:val="tx1"/>
                        </w14:solidFill>
                      </w14:textFill>
                    </w:rPr>
                    <w:t>迁建前</w:t>
                  </w:r>
                  <w:r>
                    <w:rPr>
                      <w:rFonts w:hint="default" w:ascii="Times New Roman" w:hAnsi="Times New Roman" w:eastAsia="宋体" w:cs="Times New Roman"/>
                      <w:b/>
                      <w:bCs w:val="0"/>
                      <w:caps w:val="0"/>
                      <w:color w:val="000000" w:themeColor="text1"/>
                      <w:sz w:val="21"/>
                      <w:szCs w:val="21"/>
                      <w:lang w:val="en-US" w:eastAsia="zh-CN"/>
                      <w14:textFill>
                        <w14:solidFill>
                          <w14:schemeClr w14:val="tx1"/>
                        </w14:solidFill>
                      </w14:textFill>
                    </w:rPr>
                    <w:t>现有项目</w:t>
                  </w:r>
                </w:p>
              </w:tc>
              <w:tc>
                <w:tcPr>
                  <w:tcW w:w="909" w:type="pct"/>
                  <w:vAlign w:val="center"/>
                </w:tcPr>
                <w:p w14:paraId="129D33F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aps w:val="0"/>
                      <w:color w:val="000000" w:themeColor="text1"/>
                      <w:sz w:val="21"/>
                      <w:szCs w:val="21"/>
                      <w:lang w:val="en-US"/>
                      <w14:textFill>
                        <w14:solidFill>
                          <w14:schemeClr w14:val="tx1"/>
                        </w14:solidFill>
                      </w14:textFill>
                    </w:rPr>
                  </w:pPr>
                  <w:r>
                    <w:rPr>
                      <w:rFonts w:hint="default" w:ascii="Times New Roman" w:hAnsi="Times New Roman" w:eastAsia="宋体" w:cs="Times New Roman"/>
                      <w:b/>
                      <w:bCs w:val="0"/>
                      <w:caps w:val="0"/>
                      <w:color w:val="000000" w:themeColor="text1"/>
                      <w:sz w:val="21"/>
                      <w:szCs w:val="21"/>
                      <w:lang w:val="en-US" w:eastAsia="zh-CN"/>
                      <w14:textFill>
                        <w14:solidFill>
                          <w14:schemeClr w14:val="tx1"/>
                        </w14:solidFill>
                      </w14:textFill>
                    </w:rPr>
                    <w:t>迁建后</w:t>
                  </w:r>
                  <w:r>
                    <w:rPr>
                      <w:rFonts w:hint="eastAsia" w:ascii="Times New Roman" w:hAnsi="Times New Roman" w:cs="Times New Roman"/>
                      <w:b/>
                      <w:bCs w:val="0"/>
                      <w:caps w:val="0"/>
                      <w:color w:val="000000" w:themeColor="text1"/>
                      <w:sz w:val="21"/>
                      <w:szCs w:val="21"/>
                      <w:lang w:val="en-US" w:eastAsia="zh-CN"/>
                      <w14:textFill>
                        <w14:solidFill>
                          <w14:schemeClr w14:val="tx1"/>
                        </w14:solidFill>
                      </w14:textFill>
                    </w:rPr>
                    <w:t>本项目</w:t>
                  </w:r>
                </w:p>
              </w:tc>
              <w:tc>
                <w:tcPr>
                  <w:tcW w:w="909" w:type="pct"/>
                  <w:vAlign w:val="center"/>
                </w:tcPr>
                <w:p w14:paraId="5B6E6A1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aps w:val="0"/>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w:t>
                  </w:r>
                  <w:r>
                    <w:rPr>
                      <w:rFonts w:hint="eastAsia" w:ascii="Times New Roman" w:hAnsi="Times New Roman" w:cs="Times New Roman"/>
                      <w:b/>
                      <w:bCs/>
                      <w:color w:val="000000" w:themeColor="text1"/>
                      <w:sz w:val="21"/>
                      <w:szCs w:val="21"/>
                      <w:lang w:val="en-US" w:eastAsia="zh-CN"/>
                      <w14:textFill>
                        <w14:solidFill>
                          <w14:schemeClr w14:val="tx1"/>
                        </w14:solidFill>
                      </w14:textFill>
                    </w:rPr>
                    <w:t>单件</w:t>
                  </w:r>
                  <w:r>
                    <w:rPr>
                      <w:rFonts w:hint="default" w:ascii="Times New Roman" w:hAnsi="Times New Roman" w:cs="Times New Roman"/>
                      <w:b/>
                      <w:bCs/>
                      <w:color w:val="000000" w:themeColor="text1"/>
                      <w:sz w:val="21"/>
                      <w:szCs w:val="21"/>
                      <w14:textFill>
                        <w14:solidFill>
                          <w14:schemeClr w14:val="tx1"/>
                        </w14:solidFill>
                      </w14:textFill>
                    </w:rPr>
                    <w:t>品重量</w:t>
                  </w:r>
                </w:p>
              </w:tc>
              <w:tc>
                <w:tcPr>
                  <w:tcW w:w="955" w:type="pct"/>
                  <w:vAlign w:val="center"/>
                </w:tcPr>
                <w:p w14:paraId="17D86C4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aps w:val="0"/>
                      <w:color w:val="000000" w:themeColor="text1"/>
                      <w:sz w:val="21"/>
                      <w:szCs w:val="21"/>
                      <w14:textFill>
                        <w14:solidFill>
                          <w14:schemeClr w14:val="tx1"/>
                        </w14:solidFill>
                      </w14:textFill>
                    </w:rPr>
                  </w:pPr>
                  <w:r>
                    <w:rPr>
                      <w:rFonts w:hint="default" w:ascii="Times New Roman" w:hAnsi="Times New Roman" w:eastAsia="宋体" w:cs="Times New Roman"/>
                      <w:b/>
                      <w:caps w:val="0"/>
                      <w:color w:val="000000" w:themeColor="text1"/>
                      <w:sz w:val="21"/>
                      <w:szCs w:val="21"/>
                      <w14:textFill>
                        <w14:solidFill>
                          <w14:schemeClr w14:val="tx1"/>
                        </w14:solidFill>
                      </w14:textFill>
                    </w:rPr>
                    <w:t>备注</w:t>
                  </w:r>
                </w:p>
              </w:tc>
            </w:tr>
            <w:tr w14:paraId="336E9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00" w:type="pct"/>
                  <w:vAlign w:val="center"/>
                </w:tcPr>
                <w:p w14:paraId="2CF8209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1</w:t>
                  </w:r>
                </w:p>
              </w:tc>
              <w:tc>
                <w:tcPr>
                  <w:tcW w:w="900" w:type="pct"/>
                  <w:shd w:val="clear" w:color="auto" w:fill="auto"/>
                  <w:vAlign w:val="center"/>
                </w:tcPr>
                <w:p w14:paraId="4D2FBB9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光电设备配件</w:t>
                  </w:r>
                </w:p>
              </w:tc>
              <w:tc>
                <w:tcPr>
                  <w:tcW w:w="1025" w:type="pct"/>
                  <w:vAlign w:val="center"/>
                </w:tcPr>
                <w:p w14:paraId="6C36A1D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500</w:t>
                  </w:r>
                  <w:r>
                    <w:rPr>
                      <w:rFonts w:hint="eastAsia" w:ascii="Times New Roman" w:hAnsi="Times New Roman" w:eastAsia="宋体" w:cs="Times New Roman"/>
                      <w:b w:val="0"/>
                      <w:bCs/>
                      <w:caps w:val="0"/>
                      <w:color w:val="000000" w:themeColor="text1"/>
                      <w:sz w:val="21"/>
                      <w:szCs w:val="21"/>
                      <w:lang w:val="en-US" w:eastAsia="zh-CN"/>
                      <w14:textFill>
                        <w14:solidFill>
                          <w14:schemeClr w14:val="tx1"/>
                        </w14:solidFill>
                      </w14:textFill>
                    </w:rPr>
                    <w:t>套</w:t>
                  </w:r>
                </w:p>
              </w:tc>
              <w:tc>
                <w:tcPr>
                  <w:tcW w:w="909" w:type="pct"/>
                  <w:vAlign w:val="center"/>
                </w:tcPr>
                <w:p w14:paraId="355F601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500</w:t>
                  </w:r>
                  <w:r>
                    <w:rPr>
                      <w:rFonts w:hint="eastAsia" w:ascii="Times New Roman" w:hAnsi="Times New Roman" w:eastAsia="宋体" w:cs="Times New Roman"/>
                      <w:b w:val="0"/>
                      <w:bCs/>
                      <w:caps w:val="0"/>
                      <w:color w:val="000000" w:themeColor="text1"/>
                      <w:sz w:val="21"/>
                      <w:szCs w:val="21"/>
                      <w:lang w:val="en-US" w:eastAsia="zh-CN"/>
                      <w14:textFill>
                        <w14:solidFill>
                          <w14:schemeClr w14:val="tx1"/>
                        </w14:solidFill>
                      </w14:textFill>
                    </w:rPr>
                    <w:t>万件/a</w:t>
                  </w:r>
                </w:p>
              </w:tc>
              <w:tc>
                <w:tcPr>
                  <w:tcW w:w="909" w:type="pct"/>
                  <w:shd w:val="clear" w:color="auto" w:fill="auto"/>
                  <w:vAlign w:val="center"/>
                </w:tcPr>
                <w:p w14:paraId="654F11D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1kg~30kg</w:t>
                  </w:r>
                </w:p>
              </w:tc>
              <w:tc>
                <w:tcPr>
                  <w:tcW w:w="955" w:type="pct"/>
                  <w:vAlign w:val="center"/>
                </w:tcPr>
                <w:p w14:paraId="7C18319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eastAsia" w:cs="Times New Roman"/>
                      <w:b w:val="0"/>
                      <w:bCs/>
                      <w:caps w:val="0"/>
                      <w:color w:val="000000" w:themeColor="text1"/>
                      <w:sz w:val="21"/>
                      <w:szCs w:val="21"/>
                      <w:lang w:val="en-US" w:eastAsia="zh-CN"/>
                      <w14:textFill>
                        <w14:solidFill>
                          <w14:schemeClr w14:val="tx1"/>
                        </w14:solidFill>
                      </w14:textFill>
                    </w:rPr>
                    <w:t>50万件喷粉、150万件喷漆</w:t>
                  </w:r>
                </w:p>
              </w:tc>
            </w:tr>
            <w:tr w14:paraId="053EF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00" w:type="pct"/>
                  <w:vAlign w:val="center"/>
                </w:tcPr>
                <w:p w14:paraId="7961618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2</w:t>
                  </w:r>
                </w:p>
              </w:tc>
              <w:tc>
                <w:tcPr>
                  <w:tcW w:w="900" w:type="pct"/>
                  <w:shd w:val="clear" w:color="auto" w:fill="auto"/>
                  <w:vAlign w:val="center"/>
                </w:tcPr>
                <w:p w14:paraId="69AFA4B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汽车零部件</w:t>
                  </w:r>
                </w:p>
              </w:tc>
              <w:tc>
                <w:tcPr>
                  <w:tcW w:w="1025" w:type="pct"/>
                  <w:vAlign w:val="center"/>
                </w:tcPr>
                <w:p w14:paraId="243D885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aps w:val="0"/>
                      <w:color w:val="000000" w:themeColor="text1"/>
                      <w:sz w:val="21"/>
                      <w:szCs w:val="21"/>
                      <w:lang w:val="en-US" w:eastAsia="zh-CN"/>
                      <w14:textFill>
                        <w14:solidFill>
                          <w14:schemeClr w14:val="tx1"/>
                        </w14:solidFill>
                      </w14:textFill>
                    </w:rPr>
                    <w:t>0</w:t>
                  </w:r>
                </w:p>
              </w:tc>
              <w:tc>
                <w:tcPr>
                  <w:tcW w:w="909" w:type="pct"/>
                  <w:vAlign w:val="center"/>
                </w:tcPr>
                <w:p w14:paraId="4332AE1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aps w:val="0"/>
                      <w:color w:val="000000" w:themeColor="text1"/>
                      <w:sz w:val="21"/>
                      <w:szCs w:val="21"/>
                      <w:lang w:val="en-US" w:eastAsia="zh-CN"/>
                      <w14:textFill>
                        <w14:solidFill>
                          <w14:schemeClr w14:val="tx1"/>
                        </w14:solidFill>
                      </w14:textFill>
                    </w:rPr>
                    <w:t>750万件/a</w:t>
                  </w:r>
                </w:p>
              </w:tc>
              <w:tc>
                <w:tcPr>
                  <w:tcW w:w="909" w:type="pct"/>
                  <w:shd w:val="clear" w:color="auto" w:fill="auto"/>
                  <w:vAlign w:val="center"/>
                </w:tcPr>
                <w:p w14:paraId="3D7FBDA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0.5kg~10kg</w:t>
                  </w:r>
                </w:p>
              </w:tc>
              <w:tc>
                <w:tcPr>
                  <w:tcW w:w="955" w:type="pct"/>
                  <w:vAlign w:val="center"/>
                </w:tcPr>
                <w:p w14:paraId="37E73A8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eastAsia" w:cs="Times New Roman"/>
                      <w:b w:val="0"/>
                      <w:bCs/>
                      <w:caps w:val="0"/>
                      <w:color w:val="000000" w:themeColor="text1"/>
                      <w:sz w:val="21"/>
                      <w:szCs w:val="21"/>
                      <w:lang w:val="en-US" w:eastAsia="zh-CN"/>
                      <w14:textFill>
                        <w14:solidFill>
                          <w14:schemeClr w14:val="tx1"/>
                        </w14:solidFill>
                      </w14:textFill>
                    </w:rPr>
                    <w:t>375万件喷粉、20万件喷漆</w:t>
                  </w:r>
                </w:p>
              </w:tc>
            </w:tr>
            <w:tr w14:paraId="31E3B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00" w:type="pct"/>
                  <w:vAlign w:val="center"/>
                </w:tcPr>
                <w:p w14:paraId="0C90EF2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3</w:t>
                  </w:r>
                </w:p>
              </w:tc>
              <w:tc>
                <w:tcPr>
                  <w:tcW w:w="900" w:type="pct"/>
                  <w:shd w:val="clear" w:color="auto" w:fill="auto"/>
                  <w:vAlign w:val="center"/>
                </w:tcPr>
                <w:p w14:paraId="5BFFFE80">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通讯五金部件</w:t>
                  </w:r>
                </w:p>
              </w:tc>
              <w:tc>
                <w:tcPr>
                  <w:tcW w:w="1025" w:type="pct"/>
                  <w:vAlign w:val="center"/>
                </w:tcPr>
                <w:p w14:paraId="66953AC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aps w:val="0"/>
                      <w:color w:val="000000" w:themeColor="text1"/>
                      <w:sz w:val="21"/>
                      <w:szCs w:val="21"/>
                      <w:lang w:val="en-US" w:eastAsia="zh-CN"/>
                      <w14:textFill>
                        <w14:solidFill>
                          <w14:schemeClr w14:val="tx1"/>
                        </w14:solidFill>
                      </w14:textFill>
                    </w:rPr>
                    <w:t>0</w:t>
                  </w:r>
                </w:p>
              </w:tc>
              <w:tc>
                <w:tcPr>
                  <w:tcW w:w="909" w:type="pct"/>
                  <w:vAlign w:val="center"/>
                </w:tcPr>
                <w:p w14:paraId="0A53DE7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aps w:val="0"/>
                      <w:color w:val="000000" w:themeColor="text1"/>
                      <w:sz w:val="21"/>
                      <w:szCs w:val="21"/>
                      <w:lang w:val="en-US" w:eastAsia="zh-CN"/>
                      <w14:textFill>
                        <w14:solidFill>
                          <w14:schemeClr w14:val="tx1"/>
                        </w14:solidFill>
                      </w14:textFill>
                    </w:rPr>
                    <w:t>150万件/a</w:t>
                  </w:r>
                </w:p>
              </w:tc>
              <w:tc>
                <w:tcPr>
                  <w:tcW w:w="909" w:type="pct"/>
                  <w:shd w:val="clear" w:color="auto" w:fill="auto"/>
                  <w:vAlign w:val="center"/>
                </w:tcPr>
                <w:p w14:paraId="77C440E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5kg~25kg</w:t>
                  </w:r>
                </w:p>
              </w:tc>
              <w:tc>
                <w:tcPr>
                  <w:tcW w:w="955" w:type="pct"/>
                  <w:vAlign w:val="center"/>
                </w:tcPr>
                <w:p w14:paraId="3538F6C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pPr>
                  <w:r>
                    <w:rPr>
                      <w:rFonts w:hint="eastAsia" w:cs="Times New Roman"/>
                      <w:b w:val="0"/>
                      <w:bCs/>
                      <w:caps w:val="0"/>
                      <w:color w:val="000000" w:themeColor="text1"/>
                      <w:sz w:val="21"/>
                      <w:szCs w:val="21"/>
                      <w:lang w:val="en-US" w:eastAsia="zh-CN"/>
                      <w14:textFill>
                        <w14:solidFill>
                          <w14:schemeClr w14:val="tx1"/>
                        </w14:solidFill>
                      </w14:textFill>
                    </w:rPr>
                    <w:t>150万件喷粉</w:t>
                  </w:r>
                </w:p>
              </w:tc>
            </w:tr>
          </w:tbl>
          <w:p w14:paraId="28872C2C">
            <w:pPr>
              <w:keepNext w:val="0"/>
              <w:keepLines w:val="0"/>
              <w:widowControl/>
              <w:suppressLineNumbers w:val="0"/>
              <w:spacing w:before="0" w:beforeAutospacing="0" w:after="0" w:afterAutospacing="0"/>
              <w:ind w:left="0" w:right="0"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经查《产业结构调整指导目录（2024年本）》，上述产品均不属于“限制类”和“淘汰类”产品。</w:t>
            </w:r>
          </w:p>
          <w:p w14:paraId="0DB13EAF">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4、主要生产设备</w:t>
            </w:r>
          </w:p>
          <w:p w14:paraId="6394F8C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该项目主要生产设备见下表。</w:t>
            </w:r>
          </w:p>
          <w:p w14:paraId="724F3A73">
            <w:pPr>
              <w:pStyle w:val="5"/>
              <w:suppressLineNumbers w:val="0"/>
              <w:spacing w:before="0" w:beforeAutospacing="0" w:after="0" w:afterAutospacing="0" w:line="240" w:lineRule="auto"/>
              <w:ind w:left="0" w:righ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highlight w:val="none"/>
                <w14:textFill>
                  <w14:solidFill>
                    <w14:schemeClr w14:val="tx1"/>
                  </w14:solidFill>
                </w14:textFill>
              </w:rPr>
              <w:t xml:space="preserve">  项目主要设备</w:t>
            </w:r>
            <w:r>
              <w:rPr>
                <w:rFonts w:hint="default"/>
                <w:color w:val="000000" w:themeColor="text1"/>
                <w14:textFill>
                  <w14:solidFill>
                    <w14:schemeClr w14:val="tx1"/>
                  </w14:solidFill>
                </w14:textFill>
              </w:rPr>
              <w:commentReference w:id="17"/>
            </w:r>
            <w:r>
              <w:rPr>
                <w:rFonts w:hint="default" w:ascii="Times New Roman" w:hAnsi="Times New Roman" w:eastAsia="宋体" w:cs="Times New Roman"/>
                <w:color w:val="000000" w:themeColor="text1"/>
                <w:kern w:val="0"/>
                <w:sz w:val="24"/>
                <w:highlight w:val="none"/>
                <w14:textFill>
                  <w14:solidFill>
                    <w14:schemeClr w14:val="tx1"/>
                  </w14:solidFill>
                </w14:textFill>
              </w:rPr>
              <w:t>一览表</w:t>
            </w:r>
          </w:p>
          <w:tbl>
            <w:tblPr>
              <w:tblStyle w:val="6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1594"/>
              <w:gridCol w:w="2758"/>
              <w:gridCol w:w="1220"/>
              <w:gridCol w:w="1220"/>
              <w:gridCol w:w="1093"/>
            </w:tblGrid>
            <w:tr w14:paraId="16169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noWrap w:val="0"/>
                  <w:vAlign w:val="center"/>
                </w:tcPr>
                <w:p w14:paraId="67BE20D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951" w:type="pct"/>
                  <w:noWrap w:val="0"/>
                  <w:vAlign w:val="center"/>
                </w:tcPr>
                <w:p w14:paraId="6141D92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设备名称</w:t>
                  </w:r>
                </w:p>
              </w:tc>
              <w:tc>
                <w:tcPr>
                  <w:tcW w:w="1646" w:type="pct"/>
                  <w:noWrap w:val="0"/>
                  <w:vAlign w:val="center"/>
                </w:tcPr>
                <w:p w14:paraId="7E12A87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设备参数（型号</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功率）</w:t>
                  </w:r>
                </w:p>
              </w:tc>
              <w:tc>
                <w:tcPr>
                  <w:tcW w:w="728" w:type="pct"/>
                  <w:noWrap w:val="0"/>
                  <w:vAlign w:val="center"/>
                </w:tcPr>
                <w:p w14:paraId="2A859B9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现有项目数量</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（台）</w:t>
                  </w:r>
                </w:p>
              </w:tc>
              <w:tc>
                <w:tcPr>
                  <w:tcW w:w="728" w:type="pct"/>
                  <w:noWrap w:val="0"/>
                  <w:vAlign w:val="center"/>
                </w:tcPr>
                <w:p w14:paraId="6AE58D2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迁建后</w:t>
                  </w:r>
                  <w:r>
                    <w:rPr>
                      <w:rFonts w:hint="default" w:ascii="Times New Roman" w:hAnsi="Times New Roman" w:eastAsia="宋体" w:cs="Times New Roman"/>
                      <w:b/>
                      <w:bCs/>
                      <w:color w:val="000000" w:themeColor="text1"/>
                      <w:sz w:val="21"/>
                      <w:szCs w:val="21"/>
                      <w14:textFill>
                        <w14:solidFill>
                          <w14:schemeClr w14:val="tx1"/>
                        </w14:solidFill>
                      </w14:textFill>
                    </w:rPr>
                    <w:t>数量</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（台）</w:t>
                  </w:r>
                </w:p>
              </w:tc>
              <w:tc>
                <w:tcPr>
                  <w:tcW w:w="652" w:type="pct"/>
                  <w:noWrap w:val="0"/>
                  <w:vAlign w:val="center"/>
                </w:tcPr>
                <w:p w14:paraId="18ABBCA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工序</w:t>
                  </w:r>
                </w:p>
              </w:tc>
            </w:tr>
            <w:tr w14:paraId="297AD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07457F8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951" w:type="pct"/>
                  <w:shd w:val="clear" w:color="auto" w:fill="FFFFFF"/>
                  <w:noWrap w:val="0"/>
                  <w:vAlign w:val="center"/>
                </w:tcPr>
                <w:p w14:paraId="3B64148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数控车床</w:t>
                  </w:r>
                </w:p>
              </w:tc>
              <w:tc>
                <w:tcPr>
                  <w:tcW w:w="1646" w:type="pct"/>
                  <w:shd w:val="clear" w:color="auto" w:fill="FFFFFF"/>
                  <w:noWrap w:val="0"/>
                  <w:vAlign w:val="center"/>
                </w:tcPr>
                <w:p w14:paraId="3AE7CF9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小铁人QT400*400*5</w:t>
                  </w:r>
                </w:p>
              </w:tc>
              <w:tc>
                <w:tcPr>
                  <w:tcW w:w="728" w:type="pct"/>
                  <w:shd w:val="clear" w:color="auto" w:fill="FFFFFF"/>
                  <w:noWrap w:val="0"/>
                  <w:vAlign w:val="center"/>
                </w:tcPr>
                <w:p w14:paraId="37CFE98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728" w:type="pct"/>
                  <w:shd w:val="clear" w:color="auto" w:fill="FFFFFF"/>
                  <w:noWrap w:val="0"/>
                  <w:vAlign w:val="center"/>
                </w:tcPr>
                <w:p w14:paraId="28EE3BD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w:t>
                  </w:r>
                </w:p>
              </w:tc>
              <w:tc>
                <w:tcPr>
                  <w:tcW w:w="652" w:type="pct"/>
                  <w:vMerge w:val="restart"/>
                  <w:noWrap w:val="0"/>
                  <w:vAlign w:val="center"/>
                </w:tcPr>
                <w:p w14:paraId="032207D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机加工</w:t>
                  </w:r>
                </w:p>
              </w:tc>
            </w:tr>
            <w:tr w14:paraId="544E8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1D6B500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951" w:type="pct"/>
                  <w:shd w:val="clear" w:color="auto" w:fill="FFFFFF"/>
                  <w:noWrap w:val="0"/>
                  <w:vAlign w:val="center"/>
                </w:tcPr>
                <w:p w14:paraId="34140F9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小型加工中心（车铣一体）</w:t>
                  </w:r>
                </w:p>
              </w:tc>
              <w:tc>
                <w:tcPr>
                  <w:tcW w:w="1646" w:type="pct"/>
                  <w:shd w:val="clear" w:color="auto" w:fill="FFFFFF"/>
                  <w:noWrap w:val="0"/>
                  <w:vAlign w:val="center"/>
                </w:tcPr>
                <w:p w14:paraId="2ABE8F6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凯博FH-855L</w:t>
                  </w:r>
                </w:p>
              </w:tc>
              <w:tc>
                <w:tcPr>
                  <w:tcW w:w="728" w:type="pct"/>
                  <w:shd w:val="clear" w:color="auto" w:fill="FFFFFF"/>
                  <w:noWrap w:val="0"/>
                  <w:vAlign w:val="center"/>
                </w:tcPr>
                <w:p w14:paraId="5F62E62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728" w:type="pct"/>
                  <w:shd w:val="clear" w:color="auto" w:fill="FFFFFF"/>
                  <w:noWrap w:val="0"/>
                  <w:vAlign w:val="center"/>
                </w:tcPr>
                <w:p w14:paraId="09BAA2A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35</w:t>
                  </w:r>
                </w:p>
              </w:tc>
              <w:tc>
                <w:tcPr>
                  <w:tcW w:w="652" w:type="pct"/>
                  <w:vMerge w:val="continue"/>
                  <w:noWrap w:val="0"/>
                  <w:vAlign w:val="center"/>
                </w:tcPr>
                <w:p w14:paraId="68072AB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66FF7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076891D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951" w:type="pct"/>
                  <w:shd w:val="clear" w:color="auto" w:fill="FFFFFF"/>
                  <w:noWrap w:val="0"/>
                  <w:vAlign w:val="center"/>
                </w:tcPr>
                <w:p w14:paraId="43EA49E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大型加工中心（车铣一体）</w:t>
                  </w:r>
                </w:p>
              </w:tc>
              <w:tc>
                <w:tcPr>
                  <w:tcW w:w="1646" w:type="pct"/>
                  <w:shd w:val="clear" w:color="auto" w:fill="FFFFFF"/>
                  <w:noWrap w:val="0"/>
                  <w:vAlign w:val="center"/>
                </w:tcPr>
                <w:p w14:paraId="012339F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凯博DC2025</w:t>
                  </w:r>
                </w:p>
              </w:tc>
              <w:tc>
                <w:tcPr>
                  <w:tcW w:w="728" w:type="pct"/>
                  <w:shd w:val="clear" w:color="auto" w:fill="FFFFFF"/>
                  <w:noWrap w:val="0"/>
                  <w:vAlign w:val="center"/>
                </w:tcPr>
                <w:p w14:paraId="182347B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728" w:type="pct"/>
                  <w:shd w:val="clear" w:color="auto" w:fill="FFFFFF"/>
                  <w:noWrap w:val="0"/>
                  <w:vAlign w:val="center"/>
                </w:tcPr>
                <w:p w14:paraId="5DA78D1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p>
              </w:tc>
              <w:tc>
                <w:tcPr>
                  <w:tcW w:w="652" w:type="pct"/>
                  <w:vMerge w:val="continue"/>
                  <w:noWrap w:val="0"/>
                  <w:vAlign w:val="center"/>
                </w:tcPr>
                <w:p w14:paraId="202F326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4E8EF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noWrap w:val="0"/>
                  <w:vAlign w:val="center"/>
                </w:tcPr>
                <w:p w14:paraId="67244C3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951" w:type="pct"/>
                  <w:noWrap w:val="0"/>
                  <w:vAlign w:val="center"/>
                </w:tcPr>
                <w:p w14:paraId="355F8F1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电动攻丝机</w:t>
                  </w:r>
                </w:p>
              </w:tc>
              <w:tc>
                <w:tcPr>
                  <w:tcW w:w="1646" w:type="pct"/>
                  <w:noWrap w:val="0"/>
                  <w:vAlign w:val="center"/>
                </w:tcPr>
                <w:p w14:paraId="7B47F4F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28" w:type="pct"/>
                  <w:noWrap w:val="0"/>
                  <w:vAlign w:val="center"/>
                </w:tcPr>
                <w:p w14:paraId="6B5EF9D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728" w:type="pct"/>
                  <w:noWrap w:val="0"/>
                  <w:vAlign w:val="center"/>
                </w:tcPr>
                <w:p w14:paraId="2DF68F4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p>
              </w:tc>
              <w:tc>
                <w:tcPr>
                  <w:tcW w:w="652" w:type="pct"/>
                  <w:vMerge w:val="continue"/>
                  <w:noWrap w:val="0"/>
                  <w:vAlign w:val="center"/>
                </w:tcPr>
                <w:p w14:paraId="05B264B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3A41C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noWrap w:val="0"/>
                  <w:vAlign w:val="center"/>
                </w:tcPr>
                <w:p w14:paraId="3D69810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951" w:type="pct"/>
                  <w:noWrap w:val="0"/>
                  <w:vAlign w:val="center"/>
                </w:tcPr>
                <w:p w14:paraId="1640684D">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数控精雕机</w:t>
                  </w:r>
                </w:p>
              </w:tc>
              <w:tc>
                <w:tcPr>
                  <w:tcW w:w="1646" w:type="pct"/>
                  <w:noWrap w:val="0"/>
                  <w:vAlign w:val="center"/>
                </w:tcPr>
                <w:p w14:paraId="154A48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凯博DC6050A</w:t>
                  </w:r>
                </w:p>
              </w:tc>
              <w:tc>
                <w:tcPr>
                  <w:tcW w:w="728" w:type="pct"/>
                  <w:noWrap w:val="0"/>
                  <w:vAlign w:val="center"/>
                </w:tcPr>
                <w:p w14:paraId="7D31AE47">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728" w:type="pct"/>
                  <w:noWrap w:val="0"/>
                  <w:vAlign w:val="center"/>
                </w:tcPr>
                <w:p w14:paraId="0315BB26">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continue"/>
                  <w:noWrap w:val="0"/>
                  <w:vAlign w:val="center"/>
                </w:tcPr>
                <w:p w14:paraId="66D6728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2BC5C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33C7561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c>
                <w:tcPr>
                  <w:tcW w:w="951" w:type="pct"/>
                  <w:shd w:val="clear" w:color="auto" w:fill="FFFFFF"/>
                  <w:noWrap w:val="0"/>
                  <w:vAlign w:val="center"/>
                </w:tcPr>
                <w:p w14:paraId="16404F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磁力研磨机</w:t>
                  </w:r>
                </w:p>
              </w:tc>
              <w:tc>
                <w:tcPr>
                  <w:tcW w:w="1646" w:type="pct"/>
                  <w:noWrap w:val="0"/>
                  <w:vAlign w:val="center"/>
                </w:tcPr>
                <w:p w14:paraId="1851CAF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28" w:type="pct"/>
                  <w:noWrap w:val="0"/>
                  <w:vAlign w:val="center"/>
                </w:tcPr>
                <w:p w14:paraId="099EC87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6388E40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652" w:type="pct"/>
                  <w:noWrap w:val="0"/>
                  <w:vAlign w:val="center"/>
                </w:tcPr>
                <w:p w14:paraId="232E09C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磁力研磨</w:t>
                  </w:r>
                </w:p>
              </w:tc>
            </w:tr>
            <w:tr w14:paraId="4B1DC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1C12F38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951" w:type="pct"/>
                  <w:shd w:val="clear" w:color="auto" w:fill="FFFFFF"/>
                  <w:noWrap w:val="0"/>
                  <w:vAlign w:val="center"/>
                </w:tcPr>
                <w:p w14:paraId="54D3AD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手持去毛刺机</w:t>
                  </w:r>
                </w:p>
              </w:tc>
              <w:tc>
                <w:tcPr>
                  <w:tcW w:w="1646" w:type="pct"/>
                  <w:noWrap w:val="0"/>
                  <w:vAlign w:val="center"/>
                </w:tcPr>
                <w:p w14:paraId="117DA28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28" w:type="pct"/>
                  <w:noWrap w:val="0"/>
                  <w:vAlign w:val="center"/>
                </w:tcPr>
                <w:p w14:paraId="599FB38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6A5B27C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652" w:type="pct"/>
                  <w:noWrap w:val="0"/>
                  <w:vAlign w:val="center"/>
                </w:tcPr>
                <w:p w14:paraId="7081140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人工去毛刺</w:t>
                  </w:r>
                </w:p>
              </w:tc>
            </w:tr>
            <w:tr w14:paraId="29C3A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2A4A2E3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p>
              </w:tc>
              <w:tc>
                <w:tcPr>
                  <w:tcW w:w="951" w:type="pct"/>
                  <w:shd w:val="clear" w:color="auto" w:fill="FFFFFF"/>
                  <w:noWrap w:val="0"/>
                  <w:vAlign w:val="center"/>
                </w:tcPr>
                <w:p w14:paraId="2A4552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磨床</w:t>
                  </w:r>
                </w:p>
              </w:tc>
              <w:tc>
                <w:tcPr>
                  <w:tcW w:w="1646" w:type="pct"/>
                  <w:noWrap w:val="0"/>
                  <w:vAlign w:val="center"/>
                </w:tcPr>
                <w:p w14:paraId="3A8D459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728" w:type="pct"/>
                  <w:noWrap w:val="0"/>
                  <w:vAlign w:val="center"/>
                </w:tcPr>
                <w:p w14:paraId="4442C5B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2554B6E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652" w:type="pct"/>
                  <w:noWrap w:val="0"/>
                  <w:vAlign w:val="center"/>
                </w:tcPr>
                <w:p w14:paraId="49A0E30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打磨</w:t>
                  </w:r>
                </w:p>
              </w:tc>
            </w:tr>
            <w:tr w14:paraId="3F6E3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1B1AC33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w:t>
                  </w:r>
                </w:p>
              </w:tc>
              <w:tc>
                <w:tcPr>
                  <w:tcW w:w="951" w:type="pct"/>
                  <w:shd w:val="clear" w:color="auto" w:fill="FFFFFF"/>
                  <w:noWrap w:val="0"/>
                  <w:vAlign w:val="center"/>
                </w:tcPr>
                <w:p w14:paraId="42AADB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喷砂机</w:t>
                  </w:r>
                </w:p>
              </w:tc>
              <w:tc>
                <w:tcPr>
                  <w:tcW w:w="1646" w:type="pct"/>
                  <w:noWrap w:val="0"/>
                  <w:vAlign w:val="center"/>
                </w:tcPr>
                <w:p w14:paraId="5028D7B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28" w:type="pct"/>
                  <w:noWrap w:val="0"/>
                  <w:vAlign w:val="center"/>
                </w:tcPr>
                <w:p w14:paraId="3C4B649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3AC3A310">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652" w:type="pct"/>
                  <w:noWrap w:val="0"/>
                  <w:vAlign w:val="center"/>
                </w:tcPr>
                <w:p w14:paraId="10562EF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喷砂</w:t>
                  </w:r>
                </w:p>
              </w:tc>
            </w:tr>
            <w:tr w14:paraId="13F61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45ABEF7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951" w:type="pct"/>
                  <w:shd w:val="clear" w:color="auto" w:fill="FFFFFF"/>
                  <w:noWrap w:val="0"/>
                  <w:vAlign w:val="center"/>
                </w:tcPr>
                <w:p w14:paraId="3E6003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抛</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丸机</w:t>
                  </w:r>
                </w:p>
              </w:tc>
              <w:tc>
                <w:tcPr>
                  <w:tcW w:w="1646" w:type="pct"/>
                  <w:noWrap w:val="0"/>
                  <w:vAlign w:val="center"/>
                </w:tcPr>
                <w:p w14:paraId="69BDC15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28" w:type="pct"/>
                  <w:noWrap w:val="0"/>
                  <w:vAlign w:val="center"/>
                </w:tcPr>
                <w:p w14:paraId="6D45D34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1FC5CBB0">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652" w:type="pct"/>
                  <w:noWrap w:val="0"/>
                  <w:vAlign w:val="center"/>
                </w:tcPr>
                <w:p w14:paraId="193B0289">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抛丸</w:t>
                  </w:r>
                </w:p>
              </w:tc>
            </w:tr>
            <w:tr w14:paraId="7523E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48B4016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11</w:t>
                  </w:r>
                </w:p>
              </w:tc>
              <w:tc>
                <w:tcPr>
                  <w:tcW w:w="951" w:type="pct"/>
                  <w:shd w:val="clear" w:color="auto" w:fill="FFFFFF"/>
                  <w:noWrap w:val="0"/>
                  <w:vAlign w:val="center"/>
                </w:tcPr>
                <w:p w14:paraId="48FED1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抛光机</w:t>
                  </w:r>
                </w:p>
              </w:tc>
              <w:tc>
                <w:tcPr>
                  <w:tcW w:w="1646" w:type="pct"/>
                  <w:noWrap w:val="0"/>
                  <w:vAlign w:val="center"/>
                </w:tcPr>
                <w:p w14:paraId="702F8DD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28" w:type="pct"/>
                  <w:noWrap w:val="0"/>
                  <w:vAlign w:val="center"/>
                </w:tcPr>
                <w:p w14:paraId="7B76FB5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4978F4B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652" w:type="pct"/>
                  <w:noWrap w:val="0"/>
                  <w:vAlign w:val="center"/>
                </w:tcPr>
                <w:p w14:paraId="3E131D8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抛光</w:t>
                  </w:r>
                </w:p>
              </w:tc>
            </w:tr>
            <w:tr w14:paraId="7F37A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noWrap w:val="0"/>
                  <w:vAlign w:val="center"/>
                </w:tcPr>
                <w:p w14:paraId="7868AB7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951" w:type="pct"/>
                  <w:noWrap w:val="0"/>
                  <w:vAlign w:val="center"/>
                </w:tcPr>
                <w:p w14:paraId="77854AF7">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拉丝机</w:t>
                  </w:r>
                </w:p>
              </w:tc>
              <w:tc>
                <w:tcPr>
                  <w:tcW w:w="1646" w:type="pct"/>
                  <w:noWrap w:val="0"/>
                  <w:vAlign w:val="center"/>
                </w:tcPr>
                <w:p w14:paraId="4116F4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4FB65D9D">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60BF07B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noWrap w:val="0"/>
                  <w:vAlign w:val="center"/>
                </w:tcPr>
                <w:p w14:paraId="4B4CC5A2">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拉丝机</w:t>
                  </w:r>
                </w:p>
              </w:tc>
            </w:tr>
            <w:tr w14:paraId="39AF0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noWrap w:val="0"/>
                  <w:vAlign w:val="center"/>
                </w:tcPr>
                <w:p w14:paraId="3BA8D89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w:t>
                  </w:r>
                </w:p>
              </w:tc>
              <w:tc>
                <w:tcPr>
                  <w:tcW w:w="951" w:type="pct"/>
                  <w:noWrap w:val="0"/>
                  <w:vAlign w:val="center"/>
                </w:tcPr>
                <w:p w14:paraId="540AF9D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超声波清洗机</w:t>
                  </w:r>
                </w:p>
              </w:tc>
              <w:tc>
                <w:tcPr>
                  <w:tcW w:w="1646" w:type="pct"/>
                  <w:noWrap w:val="0"/>
                  <w:vAlign w:val="center"/>
                </w:tcPr>
                <w:p w14:paraId="1810C7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*H</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0.5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m</w:t>
                  </w:r>
                </w:p>
                <w:p w14:paraId="44A695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（有效容积1.2</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4"/>
                      <w:highlight w:val="none"/>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2FA3D63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2E5BC803">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652" w:type="pct"/>
                  <w:noWrap w:val="0"/>
                  <w:vAlign w:val="center"/>
                </w:tcPr>
                <w:p w14:paraId="7AAEBD9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超声波清洗</w:t>
                  </w:r>
                </w:p>
              </w:tc>
            </w:tr>
            <w:tr w14:paraId="41D54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575404A7">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951" w:type="pct"/>
                  <w:noWrap w:val="0"/>
                  <w:vAlign w:val="center"/>
                </w:tcPr>
                <w:p w14:paraId="75FFC89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预脱脂</w:t>
                  </w:r>
                </w:p>
              </w:tc>
              <w:tc>
                <w:tcPr>
                  <w:tcW w:w="1646" w:type="pct"/>
                  <w:noWrap w:val="0"/>
                  <w:vAlign w:val="center"/>
                </w:tcPr>
                <w:p w14:paraId="20A040C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*W1.2*H1m</w:t>
                  </w:r>
                </w:p>
                <w:p w14:paraId="3D1478D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（有效容积1.44</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4"/>
                      <w:highlight w:val="none"/>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3CD18A1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21FD0AC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restart"/>
                  <w:noWrap w:val="0"/>
                  <w:vAlign w:val="center"/>
                </w:tcPr>
                <w:p w14:paraId="6265CFA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前处理线</w:t>
                  </w:r>
                </w:p>
              </w:tc>
            </w:tr>
            <w:tr w14:paraId="58394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2307E90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951" w:type="pct"/>
                  <w:noWrap w:val="0"/>
                  <w:vAlign w:val="center"/>
                </w:tcPr>
                <w:p w14:paraId="2EF8DC2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主脱脂槽</w:t>
                  </w:r>
                </w:p>
              </w:tc>
              <w:tc>
                <w:tcPr>
                  <w:tcW w:w="1646" w:type="pct"/>
                  <w:noWrap w:val="0"/>
                  <w:vAlign w:val="center"/>
                </w:tcPr>
                <w:p w14:paraId="32133F0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cs="Times New Roman"/>
                      <w:b w:val="0"/>
                      <w:bCs w:val="0"/>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*W1.2*H1m</w:t>
                  </w:r>
                </w:p>
                <w:p w14:paraId="4505B23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（有效容积2.88</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4"/>
                      <w:highlight w:val="none"/>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1FC3369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6FB485DE">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continue"/>
                  <w:noWrap w:val="0"/>
                  <w:vAlign w:val="center"/>
                </w:tcPr>
                <w:p w14:paraId="6130850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58C73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548BAE06">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16</w:t>
                  </w:r>
                </w:p>
              </w:tc>
              <w:tc>
                <w:tcPr>
                  <w:tcW w:w="951" w:type="pct"/>
                  <w:noWrap w:val="0"/>
                  <w:vAlign w:val="center"/>
                </w:tcPr>
                <w:p w14:paraId="60753BB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水洗1</w:t>
                  </w:r>
                </w:p>
              </w:tc>
              <w:tc>
                <w:tcPr>
                  <w:tcW w:w="1646" w:type="pct"/>
                  <w:noWrap w:val="0"/>
                  <w:vAlign w:val="center"/>
                </w:tcPr>
                <w:p w14:paraId="1EB3078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*W1.2*H1m</w:t>
                  </w:r>
                </w:p>
                <w:p w14:paraId="202B940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（有效容积1.44</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4"/>
                      <w:highlight w:val="none"/>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4BA2742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0252AD84">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continue"/>
                  <w:noWrap w:val="0"/>
                  <w:vAlign w:val="center"/>
                </w:tcPr>
                <w:p w14:paraId="0DE349C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7D5A7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23C38D2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17</w:t>
                  </w:r>
                </w:p>
              </w:tc>
              <w:tc>
                <w:tcPr>
                  <w:tcW w:w="951" w:type="pct"/>
                  <w:noWrap w:val="0"/>
                  <w:vAlign w:val="center"/>
                </w:tcPr>
                <w:p w14:paraId="5DE585B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水洗2</w:t>
                  </w:r>
                </w:p>
              </w:tc>
              <w:tc>
                <w:tcPr>
                  <w:tcW w:w="1646" w:type="pct"/>
                  <w:noWrap w:val="0"/>
                  <w:vAlign w:val="center"/>
                </w:tcPr>
                <w:p w14:paraId="06DF6EC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*W1.2*H1m</w:t>
                  </w:r>
                </w:p>
                <w:p w14:paraId="04F8F52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（有效容积1.44</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4"/>
                      <w:highlight w:val="none"/>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142C8CCB">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51896E0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continue"/>
                  <w:noWrap w:val="0"/>
                  <w:vAlign w:val="center"/>
                </w:tcPr>
                <w:p w14:paraId="57D018A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55E3A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40EEEEE7">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18</w:t>
                  </w:r>
                </w:p>
              </w:tc>
              <w:tc>
                <w:tcPr>
                  <w:tcW w:w="951" w:type="pct"/>
                  <w:noWrap w:val="0"/>
                  <w:vAlign w:val="center"/>
                </w:tcPr>
                <w:p w14:paraId="14BD622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硅烷槽</w:t>
                  </w:r>
                </w:p>
              </w:tc>
              <w:tc>
                <w:tcPr>
                  <w:tcW w:w="1646" w:type="pct"/>
                  <w:noWrap w:val="0"/>
                  <w:vAlign w:val="center"/>
                </w:tcPr>
                <w:p w14:paraId="25EDC6E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*W1.2*H1m</w:t>
                  </w:r>
                </w:p>
                <w:p w14:paraId="4BAF40B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（有效容积1.44</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4"/>
                      <w:highlight w:val="none"/>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5FFBB0D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4A8357AD">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continue"/>
                  <w:noWrap w:val="0"/>
                  <w:vAlign w:val="center"/>
                </w:tcPr>
                <w:p w14:paraId="64263F2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6712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6F2AC244">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19</w:t>
                  </w:r>
                </w:p>
              </w:tc>
              <w:tc>
                <w:tcPr>
                  <w:tcW w:w="951" w:type="pct"/>
                  <w:noWrap w:val="0"/>
                  <w:vAlign w:val="center"/>
                </w:tcPr>
                <w:p w14:paraId="38C7249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前处理烘干通道</w:t>
                  </w:r>
                </w:p>
              </w:tc>
              <w:tc>
                <w:tcPr>
                  <w:tcW w:w="1646" w:type="pct"/>
                  <w:noWrap w:val="0"/>
                  <w:vAlign w:val="center"/>
                </w:tcPr>
                <w:p w14:paraId="059E62E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eastAsia="宋体"/>
                      <w:color w:val="000000" w:themeColor="text1"/>
                      <w:kern w:val="0"/>
                      <w:szCs w:val="21"/>
                      <w:highlight w:val="none"/>
                      <w:lang w:val="en-US" w:eastAsia="zh-CN" w:bidi="ar"/>
                      <w14:textFill>
                        <w14:solidFill>
                          <w14:schemeClr w14:val="tx1"/>
                        </w14:solidFill>
                      </w14:textFill>
                    </w:rPr>
                    <w:t>10</w:t>
                  </w:r>
                  <w:r>
                    <w:rPr>
                      <w:rFonts w:hint="default"/>
                      <w:color w:val="000000" w:themeColor="text1"/>
                      <w:kern w:val="0"/>
                      <w:szCs w:val="21"/>
                      <w:highlight w:val="none"/>
                      <w:lang w:bidi="ar"/>
                      <w14:textFill>
                        <w14:solidFill>
                          <w14:schemeClr w14:val="tx1"/>
                        </w14:solidFill>
                      </w14:textFill>
                    </w:rPr>
                    <w:t>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w:t>
                  </w:r>
                  <w:r>
                    <w:rPr>
                      <w:rFonts w:hint="default"/>
                      <w:color w:val="000000" w:themeColor="text1"/>
                      <w:kern w:val="0"/>
                      <w:szCs w:val="21"/>
                      <w:highlight w:val="none"/>
                      <w:lang w:bidi="ar"/>
                      <w14:textFill>
                        <w14:solidFill>
                          <w14:schemeClr w14:val="tx1"/>
                        </w14:solidFill>
                      </w14:textFill>
                    </w:rPr>
                    <w:t>2m×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H</w:t>
                  </w:r>
                  <w:r>
                    <w:rPr>
                      <w:rFonts w:hint="default"/>
                      <w:color w:val="000000" w:themeColor="text1"/>
                      <w:kern w:val="0"/>
                      <w:szCs w:val="21"/>
                      <w:highlight w:val="none"/>
                      <w:lang w:bidi="ar"/>
                      <w14:textFill>
                        <w14:solidFill>
                          <w14:schemeClr w14:val="tx1"/>
                        </w14:solidFill>
                      </w14:textFill>
                    </w:rPr>
                    <w:t>2.</w:t>
                  </w:r>
                  <w:r>
                    <w:rPr>
                      <w:rFonts w:hint="eastAsia"/>
                      <w:color w:val="000000" w:themeColor="text1"/>
                      <w:kern w:val="0"/>
                      <w:szCs w:val="21"/>
                      <w:highlight w:val="none"/>
                      <w:lang w:val="en-US" w:eastAsia="zh-CN" w:bidi="ar"/>
                      <w14:textFill>
                        <w14:solidFill>
                          <w14:schemeClr w14:val="tx1"/>
                        </w14:solidFill>
                      </w14:textFill>
                    </w:rPr>
                    <w:t>5</w:t>
                  </w:r>
                  <w:r>
                    <w:rPr>
                      <w:rFonts w:hint="default"/>
                      <w:color w:val="000000" w:themeColor="text1"/>
                      <w:kern w:val="0"/>
                      <w:szCs w:val="21"/>
                      <w:highlight w:val="none"/>
                      <w:lang w:bidi="ar"/>
                      <w14:textFill>
                        <w14:solidFill>
                          <w14:schemeClr w14:val="tx1"/>
                        </w14:solidFill>
                      </w14:textFill>
                    </w:rPr>
                    <w:t>m</w:t>
                  </w:r>
                </w:p>
              </w:tc>
              <w:tc>
                <w:tcPr>
                  <w:tcW w:w="728" w:type="pct"/>
                  <w:noWrap w:val="0"/>
                  <w:vAlign w:val="center"/>
                </w:tcPr>
                <w:p w14:paraId="3BFEE97E">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5FD79CDE">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continue"/>
                  <w:noWrap w:val="0"/>
                  <w:vAlign w:val="center"/>
                </w:tcPr>
                <w:p w14:paraId="0276BCE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1C3E4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06B626F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951" w:type="pct"/>
                  <w:noWrap w:val="0"/>
                  <w:vAlign w:val="center"/>
                </w:tcPr>
                <w:p w14:paraId="171827B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调漆间</w:t>
                  </w:r>
                </w:p>
              </w:tc>
              <w:tc>
                <w:tcPr>
                  <w:tcW w:w="1646" w:type="pct"/>
                  <w:noWrap w:val="0"/>
                  <w:vAlign w:val="center"/>
                </w:tcPr>
                <w:p w14:paraId="06C2B19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H</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m</w:t>
                  </w:r>
                </w:p>
              </w:tc>
              <w:tc>
                <w:tcPr>
                  <w:tcW w:w="728" w:type="pct"/>
                  <w:noWrap w:val="0"/>
                  <w:vAlign w:val="center"/>
                </w:tcPr>
                <w:p w14:paraId="19C23C4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shd w:val="clear" w:color="auto" w:fill="auto"/>
                  <w:noWrap w:val="0"/>
                  <w:vAlign w:val="center"/>
                </w:tcPr>
                <w:p w14:paraId="4162FBC5">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52" w:type="pct"/>
                  <w:vMerge w:val="restart"/>
                  <w:noWrap w:val="0"/>
                  <w:vAlign w:val="center"/>
                </w:tcPr>
                <w:p w14:paraId="32DAC60E">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喷漆</w:t>
                  </w:r>
                </w:p>
              </w:tc>
            </w:tr>
            <w:tr w14:paraId="3BE64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52796800">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21</w:t>
                  </w:r>
                </w:p>
              </w:tc>
              <w:tc>
                <w:tcPr>
                  <w:tcW w:w="951" w:type="pct"/>
                  <w:noWrap w:val="0"/>
                  <w:vAlign w:val="center"/>
                </w:tcPr>
                <w:p w14:paraId="0D88413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喷漆房</w:t>
                  </w:r>
                </w:p>
              </w:tc>
              <w:tc>
                <w:tcPr>
                  <w:tcW w:w="1646" w:type="pct"/>
                  <w:noWrap w:val="0"/>
                  <w:vAlign w:val="center"/>
                </w:tcPr>
                <w:p w14:paraId="55DB8CD9">
                  <w:pPr>
                    <w:keepNext w:val="0"/>
                    <w:keepLines w:val="0"/>
                    <w:suppressLineNumbers w:val="0"/>
                    <w:spacing w:before="0" w:beforeAutospacing="0" w:after="0" w:afterAutospacing="0" w:line="240" w:lineRule="auto"/>
                    <w:ind w:left="0" w:right="0" w:firstLine="0" w:firstLineChars="0"/>
                    <w:jc w:val="center"/>
                    <w:rPr>
                      <w:rFonts w:hint="default" w:ascii="Arial" w:hAnsi="Arial" w:eastAsia="宋体" w:cs="Arial"/>
                      <w:color w:val="000000" w:themeColor="text1"/>
                      <w:kern w:val="2"/>
                      <w:sz w:val="24"/>
                      <w:szCs w:val="18"/>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H</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m</w:t>
                  </w:r>
                </w:p>
              </w:tc>
              <w:tc>
                <w:tcPr>
                  <w:tcW w:w="728" w:type="pct"/>
                  <w:noWrap w:val="0"/>
                  <w:vAlign w:val="center"/>
                </w:tcPr>
                <w:p w14:paraId="3B53912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28" w:type="pct"/>
                  <w:shd w:val="clear" w:color="auto" w:fill="auto"/>
                  <w:noWrap w:val="0"/>
                  <w:vAlign w:val="center"/>
                </w:tcPr>
                <w:p w14:paraId="5E8115F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652" w:type="pct"/>
                  <w:vMerge w:val="continue"/>
                  <w:noWrap w:val="0"/>
                  <w:vAlign w:val="center"/>
                </w:tcPr>
                <w:p w14:paraId="7D698A8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1678C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15DCF98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22</w:t>
                  </w:r>
                </w:p>
              </w:tc>
              <w:tc>
                <w:tcPr>
                  <w:tcW w:w="951" w:type="pct"/>
                  <w:noWrap w:val="0"/>
                  <w:vAlign w:val="center"/>
                </w:tcPr>
                <w:p w14:paraId="2CA813D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喷漆机器人</w:t>
                  </w:r>
                </w:p>
              </w:tc>
              <w:tc>
                <w:tcPr>
                  <w:tcW w:w="1646" w:type="pct"/>
                  <w:noWrap w:val="0"/>
                  <w:vAlign w:val="center"/>
                </w:tcPr>
                <w:p w14:paraId="70865084">
                  <w:pPr>
                    <w:keepNext w:val="0"/>
                    <w:keepLines w:val="0"/>
                    <w:suppressLineNumbers w:val="0"/>
                    <w:spacing w:before="0" w:beforeAutospacing="0" w:after="0" w:afterAutospacing="0" w:line="240" w:lineRule="auto"/>
                    <w:ind w:left="0" w:right="0" w:firstLine="0" w:firstLineChars="0"/>
                    <w:jc w:val="center"/>
                    <w:rPr>
                      <w:rFonts w:hint="default" w:ascii="Arial" w:hAnsi="Arial" w:eastAsia="宋体" w:cs="Arial"/>
                      <w:color w:val="000000" w:themeColor="text1"/>
                      <w:kern w:val="2"/>
                      <w:sz w:val="24"/>
                      <w:szCs w:val="18"/>
                      <w:lang w:val="en-US" w:eastAsia="zh-CN" w:bidi="ar-SA"/>
                      <w14:textFill>
                        <w14:solidFill>
                          <w14:schemeClr w14:val="tx1"/>
                        </w14:solidFill>
                      </w14:textFill>
                    </w:rPr>
                  </w:pPr>
                  <w:r>
                    <w:rPr>
                      <w:rFonts w:hint="eastAsia" w:ascii="Arial" w:hAnsi="Arial" w:eastAsia="宋体" w:cs="Arial"/>
                      <w:color w:val="000000" w:themeColor="text1"/>
                      <w:kern w:val="2"/>
                      <w:sz w:val="24"/>
                      <w:szCs w:val="18"/>
                      <w:lang w:val="en-US" w:eastAsia="zh-CN" w:bidi="ar-SA"/>
                      <w14:textFill>
                        <w14:solidFill>
                          <w14:schemeClr w14:val="tx1"/>
                        </w14:solidFill>
                      </w14:textFill>
                    </w:rPr>
                    <w:t>/</w:t>
                  </w:r>
                </w:p>
              </w:tc>
              <w:tc>
                <w:tcPr>
                  <w:tcW w:w="728" w:type="pct"/>
                  <w:noWrap w:val="0"/>
                  <w:vAlign w:val="center"/>
                </w:tcPr>
                <w:p w14:paraId="71B5E568">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28" w:type="pct"/>
                  <w:shd w:val="clear" w:color="auto" w:fill="auto"/>
                  <w:noWrap w:val="0"/>
                  <w:vAlign w:val="center"/>
                </w:tcPr>
                <w:p w14:paraId="7ECFFCF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652" w:type="pct"/>
                  <w:vMerge w:val="continue"/>
                  <w:noWrap w:val="0"/>
                  <w:vAlign w:val="center"/>
                </w:tcPr>
                <w:p w14:paraId="42CF0B7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15F01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5CDE7AB1">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23</w:t>
                  </w:r>
                </w:p>
              </w:tc>
              <w:tc>
                <w:tcPr>
                  <w:tcW w:w="951" w:type="pct"/>
                  <w:noWrap w:val="0"/>
                  <w:vAlign w:val="center"/>
                </w:tcPr>
                <w:p w14:paraId="1FADA7C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喷漆水帘柜</w:t>
                  </w:r>
                </w:p>
              </w:tc>
              <w:tc>
                <w:tcPr>
                  <w:tcW w:w="1646" w:type="pct"/>
                  <w:noWrap w:val="0"/>
                  <w:vAlign w:val="center"/>
                </w:tcPr>
                <w:p w14:paraId="6B469CBC">
                  <w:pPr>
                    <w:keepNext w:val="0"/>
                    <w:keepLines w:val="0"/>
                    <w:suppressLineNumbers w:val="0"/>
                    <w:spacing w:before="0" w:beforeAutospacing="0" w:after="0" w:afterAutospacing="0" w:line="240" w:lineRule="auto"/>
                    <w:ind w:left="0" w:right="0" w:firstLine="0" w:firstLineChars="0"/>
                    <w:jc w:val="center"/>
                    <w:rPr>
                      <w:rFonts w:hint="eastAsia" w:ascii="Arial" w:hAnsi="Arial" w:eastAsia="宋体" w:cs="Arial"/>
                      <w:color w:val="000000" w:themeColor="text1"/>
                      <w:kern w:val="2"/>
                      <w:sz w:val="24"/>
                      <w:szCs w:val="18"/>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default"/>
                      <w:color w:val="000000" w:themeColor="text1"/>
                      <w:szCs w:val="21"/>
                      <w14:textFill>
                        <w14:solidFill>
                          <w14:schemeClr w14:val="tx1"/>
                        </w14:solidFill>
                      </w14:textFill>
                    </w:rPr>
                    <w:t>2m*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w:t>
                  </w:r>
                  <w:r>
                    <w:rPr>
                      <w:rFonts w:hint="default"/>
                      <w:color w:val="000000" w:themeColor="text1"/>
                      <w:szCs w:val="21"/>
                      <w14:textFill>
                        <w14:solidFill>
                          <w14:schemeClr w14:val="tx1"/>
                        </w14:solidFill>
                      </w14:textFill>
                    </w:rPr>
                    <w:t>1m*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H</w:t>
                  </w:r>
                  <w:r>
                    <w:rPr>
                      <w:rFonts w:hint="default"/>
                      <w:color w:val="000000" w:themeColor="text1"/>
                      <w:szCs w:val="21"/>
                      <w14:textFill>
                        <w14:solidFill>
                          <w14:schemeClr w14:val="tx1"/>
                        </w14:solidFill>
                      </w14:textFill>
                    </w:rPr>
                    <w:t>3</w:t>
                  </w:r>
                </w:p>
              </w:tc>
              <w:tc>
                <w:tcPr>
                  <w:tcW w:w="728" w:type="pct"/>
                  <w:noWrap w:val="0"/>
                  <w:vAlign w:val="center"/>
                </w:tcPr>
                <w:p w14:paraId="2EE2E86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28" w:type="pct"/>
                  <w:shd w:val="clear" w:color="auto" w:fill="auto"/>
                  <w:noWrap w:val="0"/>
                  <w:vAlign w:val="center"/>
                </w:tcPr>
                <w:p w14:paraId="4D8344D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652" w:type="pct"/>
                  <w:vMerge w:val="continue"/>
                  <w:noWrap w:val="0"/>
                  <w:vAlign w:val="center"/>
                </w:tcPr>
                <w:p w14:paraId="18A2EAD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50FCA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7B79BD79">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24</w:t>
                  </w:r>
                </w:p>
              </w:tc>
              <w:tc>
                <w:tcPr>
                  <w:tcW w:w="951" w:type="pct"/>
                  <w:noWrap w:val="0"/>
                  <w:vAlign w:val="center"/>
                </w:tcPr>
                <w:p w14:paraId="6689EC0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喷漆烘干通道</w:t>
                  </w:r>
                </w:p>
              </w:tc>
              <w:tc>
                <w:tcPr>
                  <w:tcW w:w="1646" w:type="pct"/>
                  <w:noWrap w:val="0"/>
                  <w:vAlign w:val="center"/>
                </w:tcPr>
                <w:p w14:paraId="44D2F8C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eastAsia="宋体"/>
                      <w:color w:val="000000" w:themeColor="text1"/>
                      <w:kern w:val="0"/>
                      <w:szCs w:val="21"/>
                      <w:highlight w:val="none"/>
                      <w:lang w:val="en-US" w:eastAsia="zh-CN" w:bidi="ar"/>
                      <w14:textFill>
                        <w14:solidFill>
                          <w14:schemeClr w14:val="tx1"/>
                        </w14:solidFill>
                      </w14:textFill>
                    </w:rPr>
                    <w:t>8</w:t>
                  </w:r>
                  <w:r>
                    <w:rPr>
                      <w:rFonts w:hint="default"/>
                      <w:color w:val="000000" w:themeColor="text1"/>
                      <w:kern w:val="0"/>
                      <w:szCs w:val="21"/>
                      <w:highlight w:val="none"/>
                      <w:lang w:bidi="ar"/>
                      <w14:textFill>
                        <w14:solidFill>
                          <w14:schemeClr w14:val="tx1"/>
                        </w14:solidFill>
                      </w14:textFill>
                    </w:rPr>
                    <w:t>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w:t>
                  </w:r>
                  <w:r>
                    <w:rPr>
                      <w:rFonts w:hint="default"/>
                      <w:color w:val="000000" w:themeColor="text1"/>
                      <w:kern w:val="0"/>
                      <w:szCs w:val="21"/>
                      <w:highlight w:val="none"/>
                      <w:lang w:bidi="ar"/>
                      <w14:textFill>
                        <w14:solidFill>
                          <w14:schemeClr w14:val="tx1"/>
                        </w14:solidFill>
                      </w14:textFill>
                    </w:rPr>
                    <w:t>2m×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H</w:t>
                  </w:r>
                  <w:r>
                    <w:rPr>
                      <w:rFonts w:hint="default"/>
                      <w:color w:val="000000" w:themeColor="text1"/>
                      <w:kern w:val="0"/>
                      <w:szCs w:val="21"/>
                      <w:highlight w:val="none"/>
                      <w:lang w:bidi="ar"/>
                      <w14:textFill>
                        <w14:solidFill>
                          <w14:schemeClr w14:val="tx1"/>
                        </w14:solidFill>
                      </w14:textFill>
                    </w:rPr>
                    <w:t>2.</w:t>
                  </w:r>
                  <w:r>
                    <w:rPr>
                      <w:rFonts w:hint="eastAsia"/>
                      <w:color w:val="000000" w:themeColor="text1"/>
                      <w:kern w:val="0"/>
                      <w:szCs w:val="21"/>
                      <w:highlight w:val="none"/>
                      <w:lang w:val="en-US" w:eastAsia="zh-CN" w:bidi="ar"/>
                      <w14:textFill>
                        <w14:solidFill>
                          <w14:schemeClr w14:val="tx1"/>
                        </w14:solidFill>
                      </w14:textFill>
                    </w:rPr>
                    <w:t>5</w:t>
                  </w:r>
                  <w:r>
                    <w:rPr>
                      <w:rFonts w:hint="default"/>
                      <w:color w:val="000000" w:themeColor="text1"/>
                      <w:kern w:val="0"/>
                      <w:szCs w:val="21"/>
                      <w:highlight w:val="none"/>
                      <w:lang w:bidi="ar"/>
                      <w14:textFill>
                        <w14:solidFill>
                          <w14:schemeClr w14:val="tx1"/>
                        </w14:solidFill>
                      </w14:textFill>
                    </w:rPr>
                    <w:t>m</w:t>
                  </w:r>
                </w:p>
              </w:tc>
              <w:tc>
                <w:tcPr>
                  <w:tcW w:w="728" w:type="pct"/>
                  <w:noWrap w:val="0"/>
                  <w:vAlign w:val="center"/>
                </w:tcPr>
                <w:p w14:paraId="214CA76F">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35CF9D56">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652" w:type="pct"/>
                  <w:vMerge w:val="continue"/>
                  <w:noWrap w:val="0"/>
                  <w:vAlign w:val="center"/>
                </w:tcPr>
                <w:p w14:paraId="7EDB50A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68233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651D31F3">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25</w:t>
                  </w:r>
                </w:p>
              </w:tc>
              <w:tc>
                <w:tcPr>
                  <w:tcW w:w="951" w:type="pct"/>
                  <w:noWrap w:val="0"/>
                  <w:vAlign w:val="center"/>
                </w:tcPr>
                <w:p w14:paraId="3F154EC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静电喷粉房</w:t>
                  </w:r>
                </w:p>
              </w:tc>
              <w:tc>
                <w:tcPr>
                  <w:tcW w:w="1646" w:type="pct"/>
                  <w:noWrap w:val="0"/>
                  <w:vAlign w:val="center"/>
                </w:tcPr>
                <w:p w14:paraId="3BA772E1">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color w:val="000000" w:themeColor="text1"/>
                      <w:kern w:val="0"/>
                      <w:szCs w:val="21"/>
                      <w:highlight w:val="none"/>
                      <w:lang w:val="en-US" w:eastAsia="zh-CN" w:bidi="ar"/>
                      <w14:textFill>
                        <w14:solidFill>
                          <w14:schemeClr w14:val="tx1"/>
                        </w14:solidFill>
                      </w14:textFill>
                    </w:rPr>
                    <w:t>5</w:t>
                  </w:r>
                  <w:r>
                    <w:rPr>
                      <w:rFonts w:hint="default"/>
                      <w:color w:val="000000" w:themeColor="text1"/>
                      <w:kern w:val="0"/>
                      <w:szCs w:val="21"/>
                      <w:highlight w:val="none"/>
                      <w:lang w:bidi="ar"/>
                      <w14:textFill>
                        <w14:solidFill>
                          <w14:schemeClr w14:val="tx1"/>
                        </w14:solidFill>
                      </w14:textFill>
                    </w:rPr>
                    <w:t>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w:t>
                  </w:r>
                  <w:r>
                    <w:rPr>
                      <w:rFonts w:hint="default"/>
                      <w:color w:val="000000" w:themeColor="text1"/>
                      <w:kern w:val="0"/>
                      <w:szCs w:val="21"/>
                      <w:highlight w:val="none"/>
                      <w:lang w:bidi="ar"/>
                      <w14:textFill>
                        <w14:solidFill>
                          <w14:schemeClr w14:val="tx1"/>
                        </w14:solidFill>
                      </w14:textFill>
                    </w:rPr>
                    <w:t>3.5m×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H</w:t>
                  </w:r>
                  <w:r>
                    <w:rPr>
                      <w:rFonts w:hint="eastAsia" w:eastAsia="宋体"/>
                      <w:color w:val="000000" w:themeColor="text1"/>
                      <w:kern w:val="0"/>
                      <w:szCs w:val="21"/>
                      <w:highlight w:val="none"/>
                      <w:lang w:val="en-US" w:eastAsia="zh-CN" w:bidi="ar"/>
                      <w14:textFill>
                        <w14:solidFill>
                          <w14:schemeClr w14:val="tx1"/>
                        </w14:solidFill>
                      </w14:textFill>
                    </w:rPr>
                    <w:t>3</w:t>
                  </w:r>
                  <w:r>
                    <w:rPr>
                      <w:rFonts w:hint="default"/>
                      <w:color w:val="000000" w:themeColor="text1"/>
                      <w:kern w:val="0"/>
                      <w:szCs w:val="21"/>
                      <w:highlight w:val="none"/>
                      <w:lang w:bidi="ar"/>
                      <w14:textFill>
                        <w14:solidFill>
                          <w14:schemeClr w14:val="tx1"/>
                        </w14:solidFill>
                      </w14:textFill>
                    </w:rPr>
                    <w:t>m</w:t>
                  </w:r>
                </w:p>
              </w:tc>
              <w:tc>
                <w:tcPr>
                  <w:tcW w:w="728" w:type="pct"/>
                  <w:noWrap w:val="0"/>
                  <w:vAlign w:val="center"/>
                </w:tcPr>
                <w:p w14:paraId="35871A09">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28" w:type="pct"/>
                  <w:noWrap w:val="0"/>
                  <w:vAlign w:val="center"/>
                </w:tcPr>
                <w:p w14:paraId="059D4045">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p>
              </w:tc>
              <w:tc>
                <w:tcPr>
                  <w:tcW w:w="652" w:type="pct"/>
                  <w:vMerge w:val="restart"/>
                  <w:noWrap w:val="0"/>
                  <w:vAlign w:val="center"/>
                </w:tcPr>
                <w:p w14:paraId="5645394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喷粉</w:t>
                  </w:r>
                </w:p>
              </w:tc>
            </w:tr>
            <w:tr w14:paraId="1812A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6E096E76">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26</w:t>
                  </w:r>
                </w:p>
              </w:tc>
              <w:tc>
                <w:tcPr>
                  <w:tcW w:w="951" w:type="pct"/>
                  <w:noWrap w:val="0"/>
                  <w:vAlign w:val="center"/>
                </w:tcPr>
                <w:p w14:paraId="4270922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人工补粉房</w:t>
                  </w:r>
                </w:p>
              </w:tc>
              <w:tc>
                <w:tcPr>
                  <w:tcW w:w="1646" w:type="pct"/>
                  <w:noWrap w:val="0"/>
                  <w:vAlign w:val="center"/>
                </w:tcPr>
                <w:p w14:paraId="6C1B1AB3">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eastAsia="宋体"/>
                      <w:color w:val="000000" w:themeColor="text1"/>
                      <w:kern w:val="0"/>
                      <w:szCs w:val="21"/>
                      <w:highlight w:val="none"/>
                      <w:lang w:val="en-US" w:eastAsia="zh-CN" w:bidi="ar"/>
                      <w14:textFill>
                        <w14:solidFill>
                          <w14:schemeClr w14:val="tx1"/>
                        </w14:solidFill>
                      </w14:textFill>
                    </w:rPr>
                    <w:t>3</w:t>
                  </w:r>
                  <w:r>
                    <w:rPr>
                      <w:rFonts w:hint="default"/>
                      <w:color w:val="000000" w:themeColor="text1"/>
                      <w:kern w:val="0"/>
                      <w:szCs w:val="21"/>
                      <w:highlight w:val="none"/>
                      <w:lang w:bidi="ar"/>
                      <w14:textFill>
                        <w14:solidFill>
                          <w14:schemeClr w14:val="tx1"/>
                        </w14:solidFill>
                      </w14:textFill>
                    </w:rPr>
                    <w:t>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w:t>
                  </w:r>
                  <w:r>
                    <w:rPr>
                      <w:rFonts w:hint="eastAsia" w:eastAsia="宋体"/>
                      <w:color w:val="000000" w:themeColor="text1"/>
                      <w:kern w:val="0"/>
                      <w:szCs w:val="21"/>
                      <w:highlight w:val="none"/>
                      <w:lang w:val="en-US" w:eastAsia="zh-CN" w:bidi="ar"/>
                      <w14:textFill>
                        <w14:solidFill>
                          <w14:schemeClr w14:val="tx1"/>
                        </w14:solidFill>
                      </w14:textFill>
                    </w:rPr>
                    <w:t>1.5</w:t>
                  </w:r>
                  <w:r>
                    <w:rPr>
                      <w:rFonts w:hint="default"/>
                      <w:color w:val="000000" w:themeColor="text1"/>
                      <w:kern w:val="0"/>
                      <w:szCs w:val="21"/>
                      <w:highlight w:val="none"/>
                      <w:lang w:bidi="ar"/>
                      <w14:textFill>
                        <w14:solidFill>
                          <w14:schemeClr w14:val="tx1"/>
                        </w14:solidFill>
                      </w14:textFill>
                    </w:rPr>
                    <w:t>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H</w:t>
                  </w:r>
                  <w:r>
                    <w:rPr>
                      <w:rFonts w:hint="eastAsia" w:eastAsia="宋体"/>
                      <w:color w:val="000000" w:themeColor="text1"/>
                      <w:kern w:val="0"/>
                      <w:szCs w:val="21"/>
                      <w:highlight w:val="none"/>
                      <w:lang w:val="en-US" w:eastAsia="zh-CN" w:bidi="ar"/>
                      <w14:textFill>
                        <w14:solidFill>
                          <w14:schemeClr w14:val="tx1"/>
                        </w14:solidFill>
                      </w14:textFill>
                    </w:rPr>
                    <w:t>3</w:t>
                  </w:r>
                  <w:r>
                    <w:rPr>
                      <w:rFonts w:hint="default"/>
                      <w:color w:val="000000" w:themeColor="text1"/>
                      <w:kern w:val="0"/>
                      <w:szCs w:val="21"/>
                      <w:highlight w:val="none"/>
                      <w:lang w:bidi="ar"/>
                      <w14:textFill>
                        <w14:solidFill>
                          <w14:schemeClr w14:val="tx1"/>
                        </w14:solidFill>
                      </w14:textFill>
                    </w:rPr>
                    <w:t>m</w:t>
                  </w:r>
                </w:p>
              </w:tc>
              <w:tc>
                <w:tcPr>
                  <w:tcW w:w="728" w:type="pct"/>
                  <w:noWrap w:val="0"/>
                  <w:vAlign w:val="center"/>
                </w:tcPr>
                <w:p w14:paraId="2EE42B5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28" w:type="pct"/>
                  <w:noWrap w:val="0"/>
                  <w:vAlign w:val="center"/>
                </w:tcPr>
                <w:p w14:paraId="35931C29">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c>
                <w:tcPr>
                  <w:tcW w:w="652" w:type="pct"/>
                  <w:vMerge w:val="continue"/>
                  <w:noWrap w:val="0"/>
                  <w:vAlign w:val="center"/>
                </w:tcPr>
                <w:p w14:paraId="6BA244FC">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r>
            <w:tr w14:paraId="5CF0D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3A3F64B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27</w:t>
                  </w:r>
                </w:p>
              </w:tc>
              <w:tc>
                <w:tcPr>
                  <w:tcW w:w="951" w:type="pct"/>
                  <w:noWrap w:val="0"/>
                  <w:vAlign w:val="center"/>
                </w:tcPr>
                <w:p w14:paraId="46B0180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喷粉粉末固化通道</w:t>
                  </w:r>
                </w:p>
              </w:tc>
              <w:tc>
                <w:tcPr>
                  <w:tcW w:w="1646" w:type="pct"/>
                  <w:noWrap w:val="0"/>
                  <w:vAlign w:val="center"/>
                </w:tcPr>
                <w:p w14:paraId="10D5CD09">
                  <w:pPr>
                    <w:keepNext w:val="0"/>
                    <w:keepLines w:val="0"/>
                    <w:suppressLineNumbers w:val="0"/>
                    <w:spacing w:before="0" w:beforeAutospacing="0" w:after="0" w:afterAutospacing="0" w:line="240" w:lineRule="auto"/>
                    <w:ind w:left="0" w:right="0" w:firstLine="0" w:firstLineChars="0"/>
                    <w:jc w:val="center"/>
                    <w:rPr>
                      <w:rFonts w:hint="default" w:ascii="Arial" w:hAnsi="Arial" w:eastAsia="宋体" w:cs="Arial"/>
                      <w:color w:val="000000" w:themeColor="text1"/>
                      <w:sz w:val="24"/>
                      <w:szCs w:val="18"/>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L</w:t>
                  </w:r>
                  <w:r>
                    <w:rPr>
                      <w:rFonts w:hint="eastAsia" w:eastAsia="宋体"/>
                      <w:color w:val="000000" w:themeColor="text1"/>
                      <w:kern w:val="0"/>
                      <w:szCs w:val="21"/>
                      <w:highlight w:val="none"/>
                      <w:lang w:val="en-US" w:eastAsia="zh-CN" w:bidi="ar"/>
                      <w14:textFill>
                        <w14:solidFill>
                          <w14:schemeClr w14:val="tx1"/>
                        </w14:solidFill>
                      </w14:textFill>
                    </w:rPr>
                    <w:t>8</w:t>
                  </w:r>
                  <w:r>
                    <w:rPr>
                      <w:rFonts w:hint="default"/>
                      <w:color w:val="000000" w:themeColor="text1"/>
                      <w:kern w:val="0"/>
                      <w:szCs w:val="21"/>
                      <w:highlight w:val="none"/>
                      <w:lang w:bidi="ar"/>
                      <w14:textFill>
                        <w14:solidFill>
                          <w14:schemeClr w14:val="tx1"/>
                        </w14:solidFill>
                      </w14:textFill>
                    </w:rPr>
                    <w:t>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w:t>
                  </w:r>
                  <w:r>
                    <w:rPr>
                      <w:rFonts w:hint="default"/>
                      <w:color w:val="000000" w:themeColor="text1"/>
                      <w:kern w:val="0"/>
                      <w:szCs w:val="21"/>
                      <w:highlight w:val="none"/>
                      <w:lang w:bidi="ar"/>
                      <w14:textFill>
                        <w14:solidFill>
                          <w14:schemeClr w14:val="tx1"/>
                        </w14:solidFill>
                      </w14:textFill>
                    </w:rPr>
                    <w:t>2m×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H</w:t>
                  </w:r>
                  <w:r>
                    <w:rPr>
                      <w:rFonts w:hint="default"/>
                      <w:color w:val="000000" w:themeColor="text1"/>
                      <w:kern w:val="0"/>
                      <w:szCs w:val="21"/>
                      <w:highlight w:val="none"/>
                      <w:lang w:bidi="ar"/>
                      <w14:textFill>
                        <w14:solidFill>
                          <w14:schemeClr w14:val="tx1"/>
                        </w14:solidFill>
                      </w14:textFill>
                    </w:rPr>
                    <w:t>2.</w:t>
                  </w:r>
                  <w:r>
                    <w:rPr>
                      <w:rFonts w:hint="eastAsia"/>
                      <w:color w:val="000000" w:themeColor="text1"/>
                      <w:kern w:val="0"/>
                      <w:szCs w:val="21"/>
                      <w:highlight w:val="none"/>
                      <w:lang w:val="en-US" w:eastAsia="zh-CN" w:bidi="ar"/>
                      <w14:textFill>
                        <w14:solidFill>
                          <w14:schemeClr w14:val="tx1"/>
                        </w14:solidFill>
                      </w14:textFill>
                    </w:rPr>
                    <w:t>5</w:t>
                  </w:r>
                  <w:r>
                    <w:rPr>
                      <w:rFonts w:hint="default"/>
                      <w:color w:val="000000" w:themeColor="text1"/>
                      <w:kern w:val="0"/>
                      <w:szCs w:val="21"/>
                      <w:highlight w:val="none"/>
                      <w:lang w:bidi="ar"/>
                      <w14:textFill>
                        <w14:solidFill>
                          <w14:schemeClr w14:val="tx1"/>
                        </w14:solidFill>
                      </w14:textFill>
                    </w:rPr>
                    <w:t>m</w:t>
                  </w:r>
                </w:p>
              </w:tc>
              <w:tc>
                <w:tcPr>
                  <w:tcW w:w="728" w:type="pct"/>
                  <w:noWrap w:val="0"/>
                  <w:vAlign w:val="center"/>
                </w:tcPr>
                <w:p w14:paraId="5D379688">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728" w:type="pct"/>
                  <w:noWrap w:val="0"/>
                  <w:vAlign w:val="center"/>
                </w:tcPr>
                <w:p w14:paraId="54477FD7">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s="Times New Roman"/>
                      <w:b w:val="0"/>
                      <w:bCs/>
                      <w:color w:val="000000" w:themeColor="text1"/>
                      <w:kern w:val="0"/>
                      <w:sz w:val="21"/>
                      <w:szCs w:val="21"/>
                      <w:lang w:val="en-US" w:eastAsia="zh-CN" w:bidi="ar-SA"/>
                      <w14:textFill>
                        <w14:solidFill>
                          <w14:schemeClr w14:val="tx1"/>
                        </w14:solidFill>
                      </w14:textFill>
                    </w:rPr>
                    <w:t>2</w:t>
                  </w:r>
                </w:p>
              </w:tc>
              <w:tc>
                <w:tcPr>
                  <w:tcW w:w="652" w:type="pct"/>
                  <w:vMerge w:val="continue"/>
                  <w:noWrap w:val="0"/>
                  <w:vAlign w:val="center"/>
                </w:tcPr>
                <w:p w14:paraId="03F09EC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21629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439A96F1">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28</w:t>
                  </w:r>
                </w:p>
              </w:tc>
              <w:tc>
                <w:tcPr>
                  <w:tcW w:w="951" w:type="pct"/>
                  <w:noWrap w:val="0"/>
                  <w:vAlign w:val="center"/>
                </w:tcPr>
                <w:p w14:paraId="5320422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喷枪</w:t>
                  </w:r>
                </w:p>
              </w:tc>
              <w:tc>
                <w:tcPr>
                  <w:tcW w:w="1646" w:type="pct"/>
                  <w:noWrap w:val="0"/>
                  <w:vAlign w:val="center"/>
                </w:tcPr>
                <w:p w14:paraId="5859A08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5C2DDC9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28" w:type="pct"/>
                  <w:noWrap w:val="0"/>
                  <w:vAlign w:val="center"/>
                </w:tcPr>
                <w:p w14:paraId="44BAC84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8</w:t>
                  </w:r>
                </w:p>
              </w:tc>
              <w:tc>
                <w:tcPr>
                  <w:tcW w:w="652" w:type="pct"/>
                  <w:noWrap w:val="0"/>
                  <w:vAlign w:val="center"/>
                </w:tcPr>
                <w:p w14:paraId="1C25C3F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喷漆、喷粉</w:t>
                  </w:r>
                </w:p>
              </w:tc>
            </w:tr>
            <w:tr w14:paraId="709A2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00A1E61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29</w:t>
                  </w:r>
                </w:p>
              </w:tc>
              <w:tc>
                <w:tcPr>
                  <w:tcW w:w="951" w:type="pct"/>
                  <w:noWrap w:val="0"/>
                  <w:vAlign w:val="center"/>
                </w:tcPr>
                <w:p w14:paraId="04B605CD">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三坐标</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测量仪</w:t>
                  </w:r>
                </w:p>
              </w:tc>
              <w:tc>
                <w:tcPr>
                  <w:tcW w:w="1646" w:type="pct"/>
                  <w:noWrap w:val="0"/>
                  <w:vAlign w:val="center"/>
                </w:tcPr>
                <w:p w14:paraId="74021D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3D134546">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28" w:type="pct"/>
                  <w:noWrap w:val="0"/>
                  <w:vAlign w:val="center"/>
                </w:tcPr>
                <w:p w14:paraId="0ADD9076">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652" w:type="pct"/>
                  <w:noWrap w:val="0"/>
                  <w:vAlign w:val="center"/>
                </w:tcPr>
                <w:p w14:paraId="5B34A11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检测</w:t>
                  </w:r>
                </w:p>
              </w:tc>
            </w:tr>
            <w:tr w14:paraId="3518D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6EBE7C7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951" w:type="pct"/>
                  <w:noWrap w:val="0"/>
                  <w:vAlign w:val="center"/>
                </w:tcPr>
                <w:p w14:paraId="3C58E11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包装机</w:t>
                  </w:r>
                </w:p>
              </w:tc>
              <w:tc>
                <w:tcPr>
                  <w:tcW w:w="1646" w:type="pct"/>
                  <w:noWrap w:val="0"/>
                  <w:vAlign w:val="center"/>
                </w:tcPr>
                <w:p w14:paraId="2A595E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p>
              </w:tc>
              <w:tc>
                <w:tcPr>
                  <w:tcW w:w="728" w:type="pct"/>
                  <w:noWrap w:val="0"/>
                  <w:vAlign w:val="center"/>
                </w:tcPr>
                <w:p w14:paraId="5DDFB408">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w:t>
                  </w:r>
                </w:p>
              </w:tc>
              <w:tc>
                <w:tcPr>
                  <w:tcW w:w="728" w:type="pct"/>
                  <w:noWrap w:val="0"/>
                  <w:vAlign w:val="center"/>
                </w:tcPr>
                <w:p w14:paraId="09D4373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652" w:type="pct"/>
                  <w:noWrap w:val="0"/>
                  <w:vAlign w:val="center"/>
                </w:tcPr>
                <w:p w14:paraId="32F8F06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包装</w:t>
                  </w:r>
                </w:p>
              </w:tc>
            </w:tr>
            <w:tr w14:paraId="2A116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39149B00">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31</w:t>
                  </w:r>
                </w:p>
              </w:tc>
              <w:tc>
                <w:tcPr>
                  <w:tcW w:w="951" w:type="pct"/>
                  <w:noWrap w:val="0"/>
                  <w:vAlign w:val="center"/>
                </w:tcPr>
                <w:p w14:paraId="7FB861A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空压机</w:t>
                  </w:r>
                </w:p>
              </w:tc>
              <w:tc>
                <w:tcPr>
                  <w:tcW w:w="1646" w:type="pct"/>
                  <w:noWrap w:val="0"/>
                  <w:vAlign w:val="center"/>
                </w:tcPr>
                <w:p w14:paraId="2B31D3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FFV37E-8</w:t>
                  </w:r>
                </w:p>
              </w:tc>
              <w:tc>
                <w:tcPr>
                  <w:tcW w:w="728" w:type="pct"/>
                  <w:noWrap w:val="0"/>
                  <w:vAlign w:val="center"/>
                </w:tcPr>
                <w:p w14:paraId="0CD78C75">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w:t>
                  </w:r>
                </w:p>
              </w:tc>
              <w:tc>
                <w:tcPr>
                  <w:tcW w:w="728" w:type="pct"/>
                  <w:noWrap w:val="0"/>
                  <w:vAlign w:val="center"/>
                </w:tcPr>
                <w:p w14:paraId="717F6D8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652" w:type="pct"/>
                  <w:vMerge w:val="restart"/>
                  <w:noWrap w:val="0"/>
                  <w:vAlign w:val="center"/>
                </w:tcPr>
                <w:p w14:paraId="18F74523">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压缩空气作为动力</w:t>
                  </w:r>
                </w:p>
              </w:tc>
            </w:tr>
            <w:tr w14:paraId="6F546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52915D0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32</w:t>
                  </w:r>
                </w:p>
              </w:tc>
              <w:tc>
                <w:tcPr>
                  <w:tcW w:w="951" w:type="pct"/>
                  <w:noWrap w:val="0"/>
                  <w:vAlign w:val="center"/>
                </w:tcPr>
                <w:p w14:paraId="520CAA3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储气罐</w:t>
                  </w:r>
                </w:p>
              </w:tc>
              <w:tc>
                <w:tcPr>
                  <w:tcW w:w="1646" w:type="pct"/>
                  <w:noWrap w:val="0"/>
                  <w:vAlign w:val="center"/>
                </w:tcPr>
                <w:p w14:paraId="10CB34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1m</w:t>
                  </w:r>
                  <w:r>
                    <w:rPr>
                      <w:rFonts w:hint="eastAsia" w:cs="Times New Roman"/>
                      <w:color w:val="000000" w:themeColor="text1"/>
                      <w:kern w:val="0"/>
                      <w:sz w:val="21"/>
                      <w:szCs w:val="21"/>
                      <w:vertAlign w:val="superscript"/>
                      <w:lang w:val="en-US" w:eastAsia="zh-CN" w:bidi="ar-SA"/>
                      <w14:textFill>
                        <w14:solidFill>
                          <w14:schemeClr w14:val="tx1"/>
                        </w14:solidFill>
                      </w14:textFill>
                    </w:rPr>
                    <w:t>3</w:t>
                  </w:r>
                </w:p>
              </w:tc>
              <w:tc>
                <w:tcPr>
                  <w:tcW w:w="728" w:type="pct"/>
                  <w:noWrap w:val="0"/>
                  <w:vAlign w:val="center"/>
                </w:tcPr>
                <w:p w14:paraId="7A7F2A5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2</w:t>
                  </w:r>
                </w:p>
              </w:tc>
              <w:tc>
                <w:tcPr>
                  <w:tcW w:w="728" w:type="pct"/>
                  <w:noWrap w:val="0"/>
                  <w:vAlign w:val="center"/>
                </w:tcPr>
                <w:p w14:paraId="22E97D6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w:t>
                  </w:r>
                </w:p>
              </w:tc>
              <w:tc>
                <w:tcPr>
                  <w:tcW w:w="652" w:type="pct"/>
                  <w:vMerge w:val="continue"/>
                  <w:noWrap w:val="0"/>
                  <w:vAlign w:val="center"/>
                </w:tcPr>
                <w:p w14:paraId="29C389E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p>
              </w:tc>
            </w:tr>
            <w:tr w14:paraId="2021C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3" w:type="pct"/>
                  <w:shd w:val="clear" w:color="auto" w:fill="auto"/>
                  <w:noWrap w:val="0"/>
                  <w:vAlign w:val="center"/>
                </w:tcPr>
                <w:p w14:paraId="23219529">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33</w:t>
                  </w:r>
                </w:p>
              </w:tc>
              <w:tc>
                <w:tcPr>
                  <w:tcW w:w="951" w:type="pct"/>
                  <w:noWrap w:val="0"/>
                  <w:vAlign w:val="center"/>
                </w:tcPr>
                <w:p w14:paraId="3546F169">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纯水机</w:t>
                  </w:r>
                </w:p>
              </w:tc>
              <w:tc>
                <w:tcPr>
                  <w:tcW w:w="1646" w:type="pct"/>
                  <w:noWrap w:val="0"/>
                  <w:vAlign w:val="center"/>
                </w:tcPr>
                <w:p w14:paraId="5AED55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t/h</w:t>
                  </w:r>
                </w:p>
              </w:tc>
              <w:tc>
                <w:tcPr>
                  <w:tcW w:w="728" w:type="pct"/>
                  <w:noWrap w:val="0"/>
                  <w:vAlign w:val="center"/>
                </w:tcPr>
                <w:p w14:paraId="3ADC87B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28" w:type="pct"/>
                  <w:noWrap w:val="0"/>
                  <w:vAlign w:val="center"/>
                </w:tcPr>
                <w:p w14:paraId="7338B7D3">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w:t>
                  </w:r>
                </w:p>
              </w:tc>
              <w:tc>
                <w:tcPr>
                  <w:tcW w:w="652" w:type="pct"/>
                  <w:noWrap w:val="0"/>
                  <w:vAlign w:val="center"/>
                </w:tcPr>
                <w:p w14:paraId="60C6A60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kern w:val="2"/>
                      <w:sz w:val="21"/>
                      <w:szCs w:val="21"/>
                      <w:lang w:val="en-US" w:eastAsia="zh-CN" w:bidi="ar-SA"/>
                      <w14:textFill>
                        <w14:solidFill>
                          <w14:schemeClr w14:val="tx1"/>
                        </w14:solidFill>
                      </w14:textFill>
                    </w:rPr>
                    <w:t>制备纯水</w:t>
                  </w:r>
                </w:p>
              </w:tc>
            </w:tr>
          </w:tbl>
          <w:p w14:paraId="26DC527C">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经查询《产业结构调整指导目录（2024年本）》，本项目使用的设备均不属于其中淘汰落后设备。</w:t>
            </w:r>
          </w:p>
          <w:p w14:paraId="39F14E3B">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5、主要原辅材料及能源消耗</w:t>
            </w:r>
          </w:p>
          <w:p w14:paraId="050B25E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项目主要原辅材料及能源消耗见下表。</w:t>
            </w:r>
            <w:r>
              <w:rPr>
                <w:rFonts w:hint="default"/>
                <w:color w:val="000000" w:themeColor="text1"/>
                <w14:textFill>
                  <w14:solidFill>
                    <w14:schemeClr w14:val="tx1"/>
                  </w14:solidFill>
                </w14:textFill>
              </w:rPr>
              <w:commentReference w:id="18"/>
            </w:r>
          </w:p>
          <w:p w14:paraId="5A28F885">
            <w:pPr>
              <w:pStyle w:val="5"/>
              <w:suppressLineNumbers w:val="0"/>
              <w:spacing w:before="0" w:beforeAutospacing="0" w:after="0" w:afterAutospacing="0" w:line="240" w:lineRule="auto"/>
              <w:ind w:left="0" w:righ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kern w:val="0"/>
                <w:sz w:val="24"/>
                <w:highlight w:val="none"/>
                <w14:textFill>
                  <w14:solidFill>
                    <w14:schemeClr w14:val="tx1"/>
                  </w14:solidFill>
                </w14:textFill>
              </w:rPr>
              <w:t xml:space="preserve">  本项目主要原辅</w:t>
            </w:r>
            <w:r>
              <w:rPr>
                <w:rFonts w:hint="default"/>
                <w:color w:val="000000" w:themeColor="text1"/>
                <w14:textFill>
                  <w14:solidFill>
                    <w14:schemeClr w14:val="tx1"/>
                  </w14:solidFill>
                </w14:textFill>
              </w:rPr>
              <w:commentReference w:id="19"/>
            </w:r>
            <w:r>
              <w:rPr>
                <w:rFonts w:hint="default" w:ascii="Times New Roman" w:hAnsi="Times New Roman" w:eastAsia="宋体" w:cs="Times New Roman"/>
                <w:color w:val="000000" w:themeColor="text1"/>
                <w:kern w:val="0"/>
                <w:sz w:val="24"/>
                <w:highlight w:val="none"/>
                <w14:textFill>
                  <w14:solidFill>
                    <w14:schemeClr w14:val="tx1"/>
                  </w14:solidFill>
                </w14:textFill>
              </w:rPr>
              <w:t>材料及能源消耗一览表</w:t>
            </w:r>
          </w:p>
          <w:tbl>
            <w:tblPr>
              <w:tblStyle w:val="6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754"/>
              <w:gridCol w:w="1170"/>
              <w:gridCol w:w="1132"/>
              <w:gridCol w:w="1182"/>
              <w:gridCol w:w="956"/>
              <w:gridCol w:w="838"/>
              <w:gridCol w:w="726"/>
              <w:gridCol w:w="1081"/>
            </w:tblGrid>
            <w:tr w14:paraId="7184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0" w:type="pct"/>
                  <w:noWrap w:val="0"/>
                  <w:vAlign w:val="center"/>
                </w:tcPr>
                <w:p w14:paraId="225E229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450" w:type="pct"/>
                  <w:noWrap w:val="0"/>
                  <w:vAlign w:val="center"/>
                </w:tcPr>
                <w:p w14:paraId="07433C2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eastAsia" w:eastAsia="宋体" w:cs="Times New Roman"/>
                      <w:b/>
                      <w:bCs/>
                      <w:color w:val="000000" w:themeColor="text1"/>
                      <w:sz w:val="21"/>
                      <w:szCs w:val="21"/>
                      <w:lang w:val="en-US" w:eastAsia="zh-CN"/>
                      <w14:textFill>
                        <w14:solidFill>
                          <w14:schemeClr w14:val="tx1"/>
                        </w14:solidFill>
                      </w14:textFill>
                    </w:rPr>
                    <w:t>生产工序</w:t>
                  </w:r>
                </w:p>
              </w:tc>
              <w:tc>
                <w:tcPr>
                  <w:tcW w:w="698" w:type="pct"/>
                  <w:noWrap w:val="0"/>
                  <w:vAlign w:val="center"/>
                </w:tcPr>
                <w:p w14:paraId="267E3FF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原辅材料</w:t>
                  </w:r>
                </w:p>
                <w:p w14:paraId="590E93B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名称</w:t>
                  </w:r>
                </w:p>
              </w:tc>
              <w:tc>
                <w:tcPr>
                  <w:tcW w:w="675" w:type="pct"/>
                  <w:noWrap w:val="0"/>
                  <w:vAlign w:val="center"/>
                </w:tcPr>
                <w:p w14:paraId="46C4627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现有项目</w:t>
                  </w:r>
                  <w:r>
                    <w:rPr>
                      <w:rFonts w:hint="default" w:ascii="Times New Roman" w:hAnsi="Times New Roman" w:eastAsia="宋体" w:cs="Times New Roman"/>
                      <w:b/>
                      <w:bCs/>
                      <w:color w:val="000000" w:themeColor="text1"/>
                      <w:sz w:val="21"/>
                      <w:szCs w:val="21"/>
                      <w14:textFill>
                        <w14:solidFill>
                          <w14:schemeClr w14:val="tx1"/>
                        </w14:solidFill>
                      </w14:textFill>
                    </w:rPr>
                    <w:t>年消耗量</w:t>
                  </w:r>
                </w:p>
              </w:tc>
              <w:tc>
                <w:tcPr>
                  <w:tcW w:w="705" w:type="pct"/>
                  <w:noWrap w:val="0"/>
                  <w:vAlign w:val="center"/>
                </w:tcPr>
                <w:p w14:paraId="711D644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迁建后</w:t>
                  </w:r>
                  <w:r>
                    <w:rPr>
                      <w:rFonts w:hint="default" w:ascii="Times New Roman" w:hAnsi="Times New Roman" w:eastAsia="宋体" w:cs="Times New Roman"/>
                      <w:b/>
                      <w:bCs/>
                      <w:color w:val="000000" w:themeColor="text1"/>
                      <w:sz w:val="21"/>
                      <w:szCs w:val="21"/>
                      <w14:textFill>
                        <w14:solidFill>
                          <w14:schemeClr w14:val="tx1"/>
                        </w14:solidFill>
                      </w14:textFill>
                    </w:rPr>
                    <w:t>年消耗量</w:t>
                  </w:r>
                </w:p>
              </w:tc>
              <w:tc>
                <w:tcPr>
                  <w:tcW w:w="570" w:type="pct"/>
                  <w:shd w:val="clear" w:color="auto" w:fill="auto"/>
                  <w:noWrap w:val="0"/>
                  <w:vAlign w:val="center"/>
                </w:tcPr>
                <w:p w14:paraId="25EB6FD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单位</w:t>
                  </w:r>
                </w:p>
              </w:tc>
              <w:tc>
                <w:tcPr>
                  <w:tcW w:w="500" w:type="pct"/>
                  <w:shd w:val="clear" w:color="auto" w:fill="auto"/>
                  <w:noWrap w:val="0"/>
                  <w:vAlign w:val="center"/>
                </w:tcPr>
                <w:p w14:paraId="03C6ACCC">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最大储存量</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p>
              </w:tc>
              <w:tc>
                <w:tcPr>
                  <w:tcW w:w="433" w:type="pct"/>
                  <w:shd w:val="clear" w:color="auto" w:fill="auto"/>
                  <w:noWrap w:val="0"/>
                  <w:vAlign w:val="center"/>
                </w:tcPr>
                <w:p w14:paraId="1A08074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eastAsia" w:eastAsia="宋体" w:cs="Times New Roman"/>
                      <w:b/>
                      <w:bCs/>
                      <w:color w:val="000000" w:themeColor="text1"/>
                      <w:sz w:val="21"/>
                      <w:szCs w:val="21"/>
                      <w:lang w:val="en-US" w:eastAsia="zh-CN"/>
                      <w14:textFill>
                        <w14:solidFill>
                          <w14:schemeClr w14:val="tx1"/>
                        </w14:solidFill>
                      </w14:textFill>
                    </w:rPr>
                    <w:t>性状</w:t>
                  </w:r>
                </w:p>
              </w:tc>
              <w:tc>
                <w:tcPr>
                  <w:tcW w:w="645" w:type="pct"/>
                  <w:shd w:val="clear" w:color="auto" w:fill="auto"/>
                  <w:noWrap w:val="0"/>
                  <w:vAlign w:val="center"/>
                </w:tcPr>
                <w:p w14:paraId="49C4636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包装</w:t>
                  </w:r>
                </w:p>
                <w:p w14:paraId="28152CE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方式</w:t>
                  </w:r>
                </w:p>
              </w:tc>
            </w:tr>
            <w:tr w14:paraId="431A5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5B76A92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50" w:type="pct"/>
                  <w:vMerge w:val="restart"/>
                  <w:noWrap w:val="0"/>
                  <w:vAlign w:val="center"/>
                </w:tcPr>
                <w:p w14:paraId="20285F0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来料</w:t>
                  </w:r>
                </w:p>
              </w:tc>
              <w:tc>
                <w:tcPr>
                  <w:tcW w:w="698" w:type="pct"/>
                  <w:noWrap w:val="0"/>
                  <w:vAlign w:val="center"/>
                </w:tcPr>
                <w:p w14:paraId="12F6308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铝材</w:t>
                  </w:r>
                </w:p>
              </w:tc>
              <w:tc>
                <w:tcPr>
                  <w:tcW w:w="675" w:type="pct"/>
                  <w:noWrap w:val="0"/>
                  <w:vAlign w:val="center"/>
                </w:tcPr>
                <w:p w14:paraId="483FD78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Cs w:val="21"/>
                      <w:highlight w:val="none"/>
                      <w:lang w:val="en-US" w:eastAsia="zh-CN"/>
                      <w14:textFill>
                        <w14:solidFill>
                          <w14:schemeClr w14:val="tx1"/>
                        </w14:solidFill>
                      </w14:textFill>
                    </w:rPr>
                    <w:t>30</w:t>
                  </w:r>
                </w:p>
              </w:tc>
              <w:tc>
                <w:tcPr>
                  <w:tcW w:w="705" w:type="pct"/>
                  <w:noWrap w:val="0"/>
                  <w:vAlign w:val="center"/>
                </w:tcPr>
                <w:p w14:paraId="7EC464F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800</w:t>
                  </w:r>
                </w:p>
              </w:tc>
              <w:tc>
                <w:tcPr>
                  <w:tcW w:w="570" w:type="pct"/>
                  <w:shd w:val="clear" w:color="auto" w:fill="auto"/>
                  <w:noWrap w:val="0"/>
                  <w:vAlign w:val="center"/>
                </w:tcPr>
                <w:p w14:paraId="7CEBC7A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376C8016">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80</w:t>
                  </w:r>
                </w:p>
              </w:tc>
              <w:tc>
                <w:tcPr>
                  <w:tcW w:w="433" w:type="pct"/>
                  <w:shd w:val="clear" w:color="auto" w:fill="auto"/>
                  <w:noWrap w:val="0"/>
                  <w:vAlign w:val="center"/>
                </w:tcPr>
                <w:p w14:paraId="0D9F32F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6F81CC9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1t/捆</w:t>
                  </w:r>
                </w:p>
              </w:tc>
            </w:tr>
            <w:tr w14:paraId="586A9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4B27D25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450" w:type="pct"/>
                  <w:vMerge w:val="continue"/>
                  <w:noWrap w:val="0"/>
                  <w:vAlign w:val="center"/>
                </w:tcPr>
                <w:p w14:paraId="2832425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8" w:type="pct"/>
                  <w:noWrap w:val="0"/>
                  <w:vAlign w:val="center"/>
                </w:tcPr>
                <w:p w14:paraId="6DB13D6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钢材</w:t>
                  </w:r>
                </w:p>
              </w:tc>
              <w:tc>
                <w:tcPr>
                  <w:tcW w:w="675" w:type="pct"/>
                  <w:noWrap w:val="0"/>
                  <w:vAlign w:val="center"/>
                </w:tcPr>
                <w:p w14:paraId="6FFDD7F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05" w:type="pct"/>
                  <w:noWrap w:val="0"/>
                  <w:vAlign w:val="center"/>
                </w:tcPr>
                <w:p w14:paraId="36B0BFC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500</w:t>
                  </w:r>
                </w:p>
              </w:tc>
              <w:tc>
                <w:tcPr>
                  <w:tcW w:w="570" w:type="pct"/>
                  <w:shd w:val="clear" w:color="auto" w:fill="auto"/>
                  <w:noWrap w:val="0"/>
                  <w:vAlign w:val="center"/>
                </w:tcPr>
                <w:p w14:paraId="1B1AFF7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09E7FAAE">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50</w:t>
                  </w:r>
                </w:p>
              </w:tc>
              <w:tc>
                <w:tcPr>
                  <w:tcW w:w="433" w:type="pct"/>
                  <w:shd w:val="clear" w:color="auto" w:fill="auto"/>
                  <w:noWrap w:val="0"/>
                  <w:vAlign w:val="center"/>
                </w:tcPr>
                <w:p w14:paraId="476184C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46CB608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2t/捆</w:t>
                  </w:r>
                </w:p>
              </w:tc>
            </w:tr>
            <w:tr w14:paraId="2ADC4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6574219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450" w:type="pct"/>
                  <w:vMerge w:val="continue"/>
                  <w:noWrap w:val="0"/>
                  <w:vAlign w:val="center"/>
                </w:tcPr>
                <w:p w14:paraId="555C9A4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8" w:type="pct"/>
                  <w:noWrap w:val="0"/>
                  <w:vAlign w:val="center"/>
                </w:tcPr>
                <w:p w14:paraId="1FDC357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不锈钢</w:t>
                  </w:r>
                </w:p>
              </w:tc>
              <w:tc>
                <w:tcPr>
                  <w:tcW w:w="675" w:type="pct"/>
                  <w:noWrap w:val="0"/>
                  <w:vAlign w:val="center"/>
                </w:tcPr>
                <w:p w14:paraId="0375FA9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705" w:type="pct"/>
                  <w:noWrap w:val="0"/>
                  <w:vAlign w:val="center"/>
                </w:tcPr>
                <w:p w14:paraId="6BDDEA6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100</w:t>
                  </w:r>
                </w:p>
              </w:tc>
              <w:tc>
                <w:tcPr>
                  <w:tcW w:w="570" w:type="pct"/>
                  <w:shd w:val="clear" w:color="auto" w:fill="auto"/>
                  <w:noWrap w:val="0"/>
                  <w:vAlign w:val="center"/>
                </w:tcPr>
                <w:p w14:paraId="642C016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010382D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433" w:type="pct"/>
                  <w:shd w:val="clear" w:color="auto" w:fill="auto"/>
                  <w:noWrap w:val="0"/>
                  <w:vAlign w:val="center"/>
                </w:tcPr>
                <w:p w14:paraId="1BA32C6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555BD3D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2t/捆</w:t>
                  </w:r>
                </w:p>
              </w:tc>
            </w:tr>
            <w:tr w14:paraId="4E48D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51C9334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450" w:type="pct"/>
                  <w:vMerge w:val="continue"/>
                  <w:noWrap w:val="0"/>
                  <w:vAlign w:val="center"/>
                </w:tcPr>
                <w:p w14:paraId="74F3A9D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8" w:type="pct"/>
                  <w:noWrap w:val="0"/>
                  <w:vAlign w:val="center"/>
                </w:tcPr>
                <w:p w14:paraId="72CABE0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钛合金</w:t>
                  </w:r>
                </w:p>
              </w:tc>
              <w:tc>
                <w:tcPr>
                  <w:tcW w:w="675" w:type="pct"/>
                  <w:noWrap w:val="0"/>
                  <w:vAlign w:val="center"/>
                </w:tcPr>
                <w:p w14:paraId="1C87671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705" w:type="pct"/>
                  <w:noWrap w:val="0"/>
                  <w:vAlign w:val="center"/>
                </w:tcPr>
                <w:p w14:paraId="4D3DC38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570" w:type="pct"/>
                  <w:shd w:val="clear" w:color="auto" w:fill="auto"/>
                  <w:noWrap w:val="0"/>
                  <w:vAlign w:val="center"/>
                </w:tcPr>
                <w:p w14:paraId="0D0BA6F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7776AD7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433" w:type="pct"/>
                  <w:shd w:val="clear" w:color="auto" w:fill="auto"/>
                  <w:noWrap w:val="0"/>
                  <w:vAlign w:val="center"/>
                </w:tcPr>
                <w:p w14:paraId="1FF056F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43A14B3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0.5t/捆</w:t>
                  </w:r>
                </w:p>
              </w:tc>
            </w:tr>
            <w:tr w14:paraId="4E134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2F49663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450" w:type="pct"/>
                  <w:vMerge w:val="continue"/>
                  <w:noWrap w:val="0"/>
                  <w:vAlign w:val="center"/>
                </w:tcPr>
                <w:p w14:paraId="31B6F53C">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698" w:type="pct"/>
                  <w:noWrap w:val="0"/>
                  <w:vAlign w:val="center"/>
                </w:tcPr>
                <w:p w14:paraId="01DA8F8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PEEK塑料</w:t>
                  </w:r>
                </w:p>
              </w:tc>
              <w:tc>
                <w:tcPr>
                  <w:tcW w:w="675" w:type="pct"/>
                  <w:noWrap w:val="0"/>
                  <w:vAlign w:val="center"/>
                </w:tcPr>
                <w:p w14:paraId="6C7FACD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05" w:type="pct"/>
                  <w:noWrap w:val="0"/>
                  <w:vAlign w:val="center"/>
                </w:tcPr>
                <w:p w14:paraId="78D4B26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w:t>
                  </w:r>
                </w:p>
              </w:tc>
              <w:tc>
                <w:tcPr>
                  <w:tcW w:w="570" w:type="pct"/>
                  <w:shd w:val="clear" w:color="auto" w:fill="auto"/>
                  <w:noWrap w:val="0"/>
                  <w:vAlign w:val="center"/>
                </w:tcPr>
                <w:p w14:paraId="2077A1B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5CBE660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0.5</w:t>
                  </w:r>
                </w:p>
              </w:tc>
              <w:tc>
                <w:tcPr>
                  <w:tcW w:w="433" w:type="pct"/>
                  <w:shd w:val="clear" w:color="auto" w:fill="auto"/>
                  <w:noWrap w:val="0"/>
                  <w:vAlign w:val="center"/>
                </w:tcPr>
                <w:p w14:paraId="78D34FB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45DCD1D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袋装</w:t>
                  </w:r>
                </w:p>
              </w:tc>
            </w:tr>
            <w:tr w14:paraId="693A0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06D40ED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p>
              </w:tc>
              <w:tc>
                <w:tcPr>
                  <w:tcW w:w="450" w:type="pct"/>
                  <w:shd w:val="clear" w:color="auto" w:fill="auto"/>
                  <w:noWrap w:val="0"/>
                  <w:vAlign w:val="center"/>
                </w:tcPr>
                <w:p w14:paraId="262DBD1A">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机加工</w:t>
                  </w:r>
                </w:p>
              </w:tc>
              <w:tc>
                <w:tcPr>
                  <w:tcW w:w="698" w:type="pct"/>
                  <w:noWrap w:val="0"/>
                  <w:vAlign w:val="center"/>
                </w:tcPr>
                <w:p w14:paraId="6D62763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切削液</w:t>
                  </w:r>
                </w:p>
              </w:tc>
              <w:tc>
                <w:tcPr>
                  <w:tcW w:w="675" w:type="pct"/>
                  <w:noWrap w:val="0"/>
                  <w:vAlign w:val="center"/>
                </w:tcPr>
                <w:p w14:paraId="1B217F2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0.3</w:t>
                  </w:r>
                </w:p>
              </w:tc>
              <w:tc>
                <w:tcPr>
                  <w:tcW w:w="705" w:type="pct"/>
                  <w:noWrap w:val="0"/>
                  <w:vAlign w:val="center"/>
                </w:tcPr>
                <w:p w14:paraId="7145CF9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570" w:type="pct"/>
                  <w:shd w:val="clear" w:color="auto" w:fill="auto"/>
                  <w:noWrap w:val="0"/>
                  <w:vAlign w:val="center"/>
                </w:tcPr>
                <w:p w14:paraId="5B45913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02BD4F4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0.3</w:t>
                  </w:r>
                </w:p>
              </w:tc>
              <w:tc>
                <w:tcPr>
                  <w:tcW w:w="433" w:type="pct"/>
                  <w:shd w:val="clear" w:color="auto" w:fill="auto"/>
                  <w:noWrap w:val="0"/>
                  <w:vAlign w:val="center"/>
                </w:tcPr>
                <w:p w14:paraId="02AC81B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液态</w:t>
                  </w:r>
                </w:p>
              </w:tc>
              <w:tc>
                <w:tcPr>
                  <w:tcW w:w="645" w:type="pct"/>
                  <w:shd w:val="clear" w:color="auto" w:fill="auto"/>
                  <w:noWrap w:val="0"/>
                  <w:vAlign w:val="center"/>
                </w:tcPr>
                <w:p w14:paraId="5C883DC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25kg/</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桶</w:t>
                  </w:r>
                </w:p>
              </w:tc>
            </w:tr>
            <w:tr w14:paraId="62491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320" w:type="pct"/>
                  <w:noWrap w:val="0"/>
                  <w:vAlign w:val="center"/>
                </w:tcPr>
                <w:p w14:paraId="173DA45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w:t>
                  </w:r>
                </w:p>
              </w:tc>
              <w:tc>
                <w:tcPr>
                  <w:tcW w:w="450" w:type="pct"/>
                  <w:shd w:val="clear" w:color="auto" w:fill="auto"/>
                  <w:noWrap w:val="0"/>
                  <w:vAlign w:val="center"/>
                </w:tcPr>
                <w:p w14:paraId="77A751B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磁力研磨</w:t>
                  </w:r>
                </w:p>
              </w:tc>
              <w:tc>
                <w:tcPr>
                  <w:tcW w:w="698" w:type="pct"/>
                  <w:noWrap w:val="0"/>
                  <w:vAlign w:val="center"/>
                </w:tcPr>
                <w:p w14:paraId="7CC2501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水性光亮剂</w:t>
                  </w:r>
                </w:p>
              </w:tc>
              <w:tc>
                <w:tcPr>
                  <w:tcW w:w="675" w:type="pct"/>
                  <w:noWrap w:val="0"/>
                  <w:vAlign w:val="center"/>
                </w:tcPr>
                <w:p w14:paraId="086FEAC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05" w:type="pct"/>
                  <w:noWrap w:val="0"/>
                  <w:vAlign w:val="center"/>
                </w:tcPr>
                <w:p w14:paraId="35D015E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570" w:type="pct"/>
                  <w:shd w:val="clear" w:color="auto" w:fill="auto"/>
                  <w:noWrap w:val="0"/>
                  <w:vAlign w:val="center"/>
                </w:tcPr>
                <w:p w14:paraId="4DCB614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6BE8BE1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0.5</w:t>
                  </w:r>
                </w:p>
              </w:tc>
              <w:tc>
                <w:tcPr>
                  <w:tcW w:w="433" w:type="pct"/>
                  <w:shd w:val="clear" w:color="auto" w:fill="auto"/>
                  <w:noWrap w:val="0"/>
                  <w:vAlign w:val="center"/>
                </w:tcPr>
                <w:p w14:paraId="4CE82ED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液态</w:t>
                  </w:r>
                </w:p>
              </w:tc>
              <w:tc>
                <w:tcPr>
                  <w:tcW w:w="645" w:type="pct"/>
                  <w:shd w:val="clear" w:color="auto" w:fill="auto"/>
                  <w:noWrap w:val="0"/>
                  <w:vAlign w:val="center"/>
                </w:tcPr>
                <w:p w14:paraId="0795CDB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25kg/</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桶</w:t>
                  </w:r>
                </w:p>
              </w:tc>
            </w:tr>
            <w:tr w14:paraId="221B2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0E84C9B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8</w:t>
                  </w:r>
                </w:p>
              </w:tc>
              <w:tc>
                <w:tcPr>
                  <w:tcW w:w="450" w:type="pct"/>
                  <w:shd w:val="clear" w:color="auto" w:fill="auto"/>
                  <w:noWrap w:val="0"/>
                  <w:vAlign w:val="center"/>
                </w:tcPr>
                <w:p w14:paraId="5D456EFD">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抛丸</w:t>
                  </w:r>
                </w:p>
              </w:tc>
              <w:tc>
                <w:tcPr>
                  <w:tcW w:w="698" w:type="pct"/>
                  <w:noWrap w:val="0"/>
                  <w:vAlign w:val="center"/>
                </w:tcPr>
                <w:p w14:paraId="3B55CEB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钢丸</w:t>
                  </w:r>
                </w:p>
              </w:tc>
              <w:tc>
                <w:tcPr>
                  <w:tcW w:w="675" w:type="pct"/>
                  <w:noWrap w:val="0"/>
                  <w:vAlign w:val="center"/>
                </w:tcPr>
                <w:p w14:paraId="66F5CBD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05" w:type="pct"/>
                  <w:noWrap w:val="0"/>
                  <w:vAlign w:val="center"/>
                </w:tcPr>
                <w:p w14:paraId="74E110D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570" w:type="pct"/>
                  <w:shd w:val="clear" w:color="auto" w:fill="auto"/>
                  <w:noWrap w:val="0"/>
                  <w:vAlign w:val="center"/>
                </w:tcPr>
                <w:p w14:paraId="464FAB3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25B8A7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10</w:t>
                  </w:r>
                </w:p>
              </w:tc>
              <w:tc>
                <w:tcPr>
                  <w:tcW w:w="433" w:type="pct"/>
                  <w:shd w:val="clear" w:color="auto" w:fill="auto"/>
                  <w:noWrap w:val="0"/>
                  <w:vAlign w:val="center"/>
                </w:tcPr>
                <w:p w14:paraId="78407EA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15FD027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25kg/袋</w:t>
                  </w:r>
                </w:p>
              </w:tc>
            </w:tr>
            <w:tr w14:paraId="2DB63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noWrap w:val="0"/>
                  <w:vAlign w:val="center"/>
                </w:tcPr>
                <w:p w14:paraId="1980EF1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w:t>
                  </w:r>
                </w:p>
              </w:tc>
              <w:tc>
                <w:tcPr>
                  <w:tcW w:w="450" w:type="pct"/>
                  <w:shd w:val="clear" w:color="auto" w:fill="auto"/>
                  <w:noWrap w:val="0"/>
                  <w:vAlign w:val="center"/>
                </w:tcPr>
                <w:p w14:paraId="3704390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喷砂</w:t>
                  </w:r>
                </w:p>
              </w:tc>
              <w:tc>
                <w:tcPr>
                  <w:tcW w:w="698" w:type="pct"/>
                  <w:noWrap w:val="0"/>
                  <w:vAlign w:val="center"/>
                </w:tcPr>
                <w:p w14:paraId="267F45A9">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钢砂</w:t>
                  </w:r>
                </w:p>
              </w:tc>
              <w:tc>
                <w:tcPr>
                  <w:tcW w:w="675" w:type="pct"/>
                  <w:noWrap w:val="0"/>
                  <w:vAlign w:val="center"/>
                </w:tcPr>
                <w:p w14:paraId="6EDD0D5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705" w:type="pct"/>
                  <w:noWrap w:val="0"/>
                  <w:vAlign w:val="center"/>
                </w:tcPr>
                <w:p w14:paraId="23DBA40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570" w:type="pct"/>
                  <w:shd w:val="clear" w:color="auto" w:fill="auto"/>
                  <w:noWrap w:val="0"/>
                  <w:vAlign w:val="center"/>
                </w:tcPr>
                <w:p w14:paraId="6039E6D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1D6743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10</w:t>
                  </w:r>
                </w:p>
              </w:tc>
              <w:tc>
                <w:tcPr>
                  <w:tcW w:w="433" w:type="pct"/>
                  <w:shd w:val="clear" w:color="auto" w:fill="auto"/>
                  <w:noWrap w:val="0"/>
                  <w:vAlign w:val="center"/>
                </w:tcPr>
                <w:p w14:paraId="6D634DF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712DDF9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25kg/袋</w:t>
                  </w:r>
                </w:p>
              </w:tc>
            </w:tr>
            <w:tr w14:paraId="7CFE0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12CF7B5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0</w:t>
                  </w:r>
                </w:p>
              </w:tc>
              <w:tc>
                <w:tcPr>
                  <w:tcW w:w="450" w:type="pct"/>
                  <w:shd w:val="clear" w:color="auto" w:fill="auto"/>
                  <w:noWrap w:val="0"/>
                  <w:vAlign w:val="center"/>
                </w:tcPr>
                <w:p w14:paraId="789A55B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抛光</w:t>
                  </w:r>
                </w:p>
              </w:tc>
              <w:tc>
                <w:tcPr>
                  <w:tcW w:w="698" w:type="pct"/>
                  <w:noWrap w:val="0"/>
                  <w:vAlign w:val="center"/>
                </w:tcPr>
                <w:p w14:paraId="57513A5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砂带</w:t>
                  </w:r>
                </w:p>
              </w:tc>
              <w:tc>
                <w:tcPr>
                  <w:tcW w:w="675" w:type="pct"/>
                  <w:noWrap w:val="0"/>
                  <w:vAlign w:val="center"/>
                </w:tcPr>
                <w:p w14:paraId="6F17558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182" w:type="dxa"/>
                  <w:noWrap w:val="0"/>
                  <w:vAlign w:val="center"/>
                </w:tcPr>
                <w:p w14:paraId="2F2D18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0.1</w:t>
                  </w:r>
                </w:p>
              </w:tc>
              <w:tc>
                <w:tcPr>
                  <w:tcW w:w="956" w:type="dxa"/>
                  <w:shd w:val="clear" w:color="auto" w:fill="auto"/>
                  <w:noWrap w:val="0"/>
                  <w:vAlign w:val="center"/>
                </w:tcPr>
                <w:p w14:paraId="7497729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39DD87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0.01</w:t>
                  </w:r>
                </w:p>
              </w:tc>
              <w:tc>
                <w:tcPr>
                  <w:tcW w:w="433" w:type="pct"/>
                  <w:shd w:val="clear" w:color="auto" w:fill="auto"/>
                  <w:noWrap w:val="0"/>
                  <w:vAlign w:val="center"/>
                </w:tcPr>
                <w:p w14:paraId="46DE42A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固态</w:t>
                  </w:r>
                </w:p>
              </w:tc>
              <w:tc>
                <w:tcPr>
                  <w:tcW w:w="645" w:type="pct"/>
                  <w:shd w:val="clear" w:color="auto" w:fill="auto"/>
                  <w:noWrap w:val="0"/>
                  <w:vAlign w:val="center"/>
                </w:tcPr>
                <w:p w14:paraId="5788226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散装</w:t>
                  </w:r>
                </w:p>
              </w:tc>
            </w:tr>
            <w:tr w14:paraId="56FCD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7588781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11</w:t>
                  </w:r>
                </w:p>
              </w:tc>
              <w:tc>
                <w:tcPr>
                  <w:tcW w:w="450" w:type="pct"/>
                  <w:shd w:val="clear" w:color="auto" w:fill="auto"/>
                  <w:noWrap w:val="0"/>
                  <w:vAlign w:val="center"/>
                </w:tcPr>
                <w:p w14:paraId="25C57D00">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脱脂</w:t>
                  </w:r>
                </w:p>
              </w:tc>
              <w:tc>
                <w:tcPr>
                  <w:tcW w:w="698" w:type="pct"/>
                  <w:noWrap w:val="0"/>
                  <w:vAlign w:val="center"/>
                </w:tcPr>
                <w:p w14:paraId="230BD45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中性脱脂剂</w:t>
                  </w:r>
                </w:p>
              </w:tc>
              <w:tc>
                <w:tcPr>
                  <w:tcW w:w="675" w:type="pct"/>
                  <w:noWrap w:val="0"/>
                  <w:vAlign w:val="center"/>
                </w:tcPr>
                <w:p w14:paraId="606B9927">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05" w:type="pct"/>
                  <w:noWrap w:val="0"/>
                  <w:vAlign w:val="center"/>
                </w:tcPr>
                <w:p w14:paraId="6207A17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0.5</w:t>
                  </w:r>
                </w:p>
              </w:tc>
              <w:tc>
                <w:tcPr>
                  <w:tcW w:w="570" w:type="pct"/>
                  <w:shd w:val="clear" w:color="auto" w:fill="auto"/>
                  <w:noWrap w:val="0"/>
                  <w:vAlign w:val="center"/>
                </w:tcPr>
                <w:p w14:paraId="296A0A5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5A6900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0.5</w:t>
                  </w:r>
                </w:p>
              </w:tc>
              <w:tc>
                <w:tcPr>
                  <w:tcW w:w="433" w:type="pct"/>
                  <w:shd w:val="clear" w:color="auto" w:fill="auto"/>
                  <w:noWrap w:val="0"/>
                  <w:vAlign w:val="center"/>
                </w:tcPr>
                <w:p w14:paraId="599F80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液态</w:t>
                  </w:r>
                </w:p>
              </w:tc>
              <w:tc>
                <w:tcPr>
                  <w:tcW w:w="645" w:type="pct"/>
                  <w:shd w:val="clear" w:color="auto" w:fill="auto"/>
                  <w:noWrap w:val="0"/>
                  <w:vAlign w:val="center"/>
                </w:tcPr>
                <w:p w14:paraId="36C6CC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20kg/桶</w:t>
                  </w:r>
                </w:p>
              </w:tc>
            </w:tr>
            <w:tr w14:paraId="57054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0396A4E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450" w:type="pct"/>
                  <w:shd w:val="clear" w:color="auto" w:fill="auto"/>
                  <w:noWrap w:val="0"/>
                  <w:vAlign w:val="center"/>
                </w:tcPr>
                <w:p w14:paraId="1CE0D459">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硅烷化</w:t>
                  </w:r>
                </w:p>
              </w:tc>
              <w:tc>
                <w:tcPr>
                  <w:tcW w:w="698" w:type="pct"/>
                  <w:noWrap w:val="0"/>
                  <w:vAlign w:val="center"/>
                </w:tcPr>
                <w:p w14:paraId="30E373D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硅烷处理剂</w:t>
                  </w:r>
                </w:p>
              </w:tc>
              <w:tc>
                <w:tcPr>
                  <w:tcW w:w="675" w:type="pct"/>
                  <w:noWrap w:val="0"/>
                  <w:vAlign w:val="center"/>
                </w:tcPr>
                <w:p w14:paraId="51E00AD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05" w:type="pct"/>
                  <w:noWrap w:val="0"/>
                  <w:vAlign w:val="center"/>
                </w:tcPr>
                <w:p w14:paraId="0BC115C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p>
              </w:tc>
              <w:tc>
                <w:tcPr>
                  <w:tcW w:w="570" w:type="pct"/>
                  <w:shd w:val="clear" w:color="auto" w:fill="auto"/>
                  <w:noWrap w:val="0"/>
                  <w:vAlign w:val="center"/>
                </w:tcPr>
                <w:p w14:paraId="578036B6">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1A708B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0.8</w:t>
                  </w:r>
                </w:p>
              </w:tc>
              <w:tc>
                <w:tcPr>
                  <w:tcW w:w="433" w:type="pct"/>
                  <w:shd w:val="clear" w:color="auto" w:fill="auto"/>
                  <w:noWrap w:val="0"/>
                  <w:vAlign w:val="center"/>
                </w:tcPr>
                <w:p w14:paraId="20E859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液态</w:t>
                  </w:r>
                </w:p>
              </w:tc>
              <w:tc>
                <w:tcPr>
                  <w:tcW w:w="645" w:type="pct"/>
                  <w:shd w:val="clear" w:color="auto" w:fill="auto"/>
                  <w:noWrap w:val="0"/>
                  <w:vAlign w:val="center"/>
                </w:tcPr>
                <w:p w14:paraId="3A69E9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50kg/桶</w:t>
                  </w:r>
                </w:p>
              </w:tc>
            </w:tr>
            <w:tr w14:paraId="11BD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1669AE5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450" w:type="pct"/>
                  <w:shd w:val="clear" w:color="auto" w:fill="auto"/>
                  <w:noWrap w:val="0"/>
                  <w:vAlign w:val="center"/>
                </w:tcPr>
                <w:p w14:paraId="271F89D6">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喷漆</w:t>
                  </w:r>
                </w:p>
              </w:tc>
              <w:tc>
                <w:tcPr>
                  <w:tcW w:w="698" w:type="pct"/>
                  <w:noWrap w:val="0"/>
                  <w:vAlign w:val="center"/>
                </w:tcPr>
                <w:p w14:paraId="2AFC0CE3">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水性</w:t>
                  </w:r>
                  <w:r>
                    <w:rPr>
                      <w:rFonts w:hint="eastAsia" w:cs="Times New Roman"/>
                      <w:color w:val="000000" w:themeColor="text1"/>
                      <w:sz w:val="21"/>
                      <w:szCs w:val="21"/>
                      <w:lang w:val="en-US" w:eastAsia="zh-CN"/>
                      <w14:textFill>
                        <w14:solidFill>
                          <w14:schemeClr w14:val="tx1"/>
                        </w14:solidFill>
                      </w14:textFill>
                    </w:rPr>
                    <w:t>底</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漆</w:t>
                  </w:r>
                </w:p>
              </w:tc>
              <w:tc>
                <w:tcPr>
                  <w:tcW w:w="675" w:type="pct"/>
                  <w:noWrap w:val="0"/>
                  <w:vAlign w:val="center"/>
                </w:tcPr>
                <w:p w14:paraId="14C43E3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05" w:type="pct"/>
                  <w:noWrap w:val="0"/>
                  <w:vAlign w:val="center"/>
                </w:tcPr>
                <w:p w14:paraId="3080849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5.368</w:t>
                  </w:r>
                </w:p>
              </w:tc>
              <w:tc>
                <w:tcPr>
                  <w:tcW w:w="570" w:type="pct"/>
                  <w:shd w:val="clear" w:color="auto" w:fill="auto"/>
                  <w:noWrap w:val="0"/>
                  <w:vAlign w:val="center"/>
                </w:tcPr>
                <w:p w14:paraId="26CCD7D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4C1D0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0.</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1</w:t>
                  </w:r>
                </w:p>
              </w:tc>
              <w:tc>
                <w:tcPr>
                  <w:tcW w:w="433" w:type="pct"/>
                  <w:shd w:val="clear" w:color="auto" w:fill="auto"/>
                  <w:noWrap w:val="0"/>
                  <w:vAlign w:val="center"/>
                </w:tcPr>
                <w:p w14:paraId="09C7B8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液态</w:t>
                  </w:r>
                </w:p>
              </w:tc>
              <w:tc>
                <w:tcPr>
                  <w:tcW w:w="645" w:type="pct"/>
                  <w:shd w:val="clear" w:color="auto" w:fill="auto"/>
                  <w:noWrap w:val="0"/>
                  <w:vAlign w:val="center"/>
                </w:tcPr>
                <w:p w14:paraId="4E704F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25kg/</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桶</w:t>
                  </w:r>
                </w:p>
              </w:tc>
            </w:tr>
            <w:tr w14:paraId="140C1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3CB94EA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450" w:type="pct"/>
                  <w:shd w:val="clear" w:color="auto" w:fill="auto"/>
                  <w:noWrap w:val="0"/>
                  <w:vAlign w:val="center"/>
                </w:tcPr>
                <w:p w14:paraId="74FD7945">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喷粉</w:t>
                  </w:r>
                </w:p>
              </w:tc>
              <w:tc>
                <w:tcPr>
                  <w:tcW w:w="698" w:type="pct"/>
                  <w:noWrap w:val="0"/>
                  <w:vAlign w:val="center"/>
                </w:tcPr>
                <w:p w14:paraId="733F939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塑粉</w:t>
                  </w:r>
                </w:p>
              </w:tc>
              <w:tc>
                <w:tcPr>
                  <w:tcW w:w="675" w:type="pct"/>
                  <w:noWrap w:val="0"/>
                  <w:vAlign w:val="center"/>
                </w:tcPr>
                <w:p w14:paraId="5286DA6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50</w:t>
                  </w:r>
                </w:p>
              </w:tc>
              <w:tc>
                <w:tcPr>
                  <w:tcW w:w="705" w:type="pct"/>
                  <w:noWrap w:val="0"/>
                  <w:vAlign w:val="center"/>
                </w:tcPr>
                <w:p w14:paraId="073815E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155.292</w:t>
                  </w:r>
                </w:p>
              </w:tc>
              <w:tc>
                <w:tcPr>
                  <w:tcW w:w="570" w:type="pct"/>
                  <w:shd w:val="clear" w:color="auto" w:fill="auto"/>
                  <w:noWrap w:val="0"/>
                  <w:vAlign w:val="center"/>
                </w:tcPr>
                <w:p w14:paraId="76689A47">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2FD3E3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w:t>
                  </w:r>
                </w:p>
              </w:tc>
              <w:tc>
                <w:tcPr>
                  <w:tcW w:w="433" w:type="pct"/>
                  <w:shd w:val="clear" w:color="auto" w:fill="auto"/>
                  <w:noWrap w:val="0"/>
                  <w:vAlign w:val="center"/>
                </w:tcPr>
                <w:p w14:paraId="4191F2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粉状</w:t>
                  </w:r>
                </w:p>
              </w:tc>
              <w:tc>
                <w:tcPr>
                  <w:tcW w:w="645" w:type="pct"/>
                  <w:shd w:val="clear" w:color="auto" w:fill="auto"/>
                  <w:noWrap w:val="0"/>
                  <w:vAlign w:val="center"/>
                </w:tcPr>
                <w:p w14:paraId="13CD5F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25kg/袋</w:t>
                  </w:r>
                </w:p>
              </w:tc>
            </w:tr>
            <w:tr w14:paraId="53FF5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43C7015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5</w:t>
                  </w:r>
                </w:p>
              </w:tc>
              <w:tc>
                <w:tcPr>
                  <w:tcW w:w="450" w:type="pct"/>
                  <w:vMerge w:val="restart"/>
                  <w:noWrap w:val="0"/>
                  <w:vAlign w:val="center"/>
                </w:tcPr>
                <w:p w14:paraId="2684AB6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6"/>
                      <w:sz w:val="21"/>
                      <w:szCs w:val="21"/>
                      <w:lang w:val="en-US" w:eastAsia="zh-CN"/>
                      <w14:textFill>
                        <w14:solidFill>
                          <w14:schemeClr w14:val="tx1"/>
                        </w14:solidFill>
                      </w14:textFill>
                    </w:rPr>
                    <w:t>设备维修和保养</w:t>
                  </w:r>
                </w:p>
              </w:tc>
              <w:tc>
                <w:tcPr>
                  <w:tcW w:w="698" w:type="pct"/>
                  <w:noWrap w:val="0"/>
                  <w:vAlign w:val="center"/>
                </w:tcPr>
                <w:p w14:paraId="1CAE55DD">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液压油</w:t>
                  </w:r>
                </w:p>
              </w:tc>
              <w:tc>
                <w:tcPr>
                  <w:tcW w:w="675" w:type="pct"/>
                  <w:noWrap w:val="0"/>
                  <w:vAlign w:val="center"/>
                </w:tcPr>
                <w:p w14:paraId="00FE4C4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0.5</w:t>
                  </w:r>
                </w:p>
              </w:tc>
              <w:tc>
                <w:tcPr>
                  <w:tcW w:w="705" w:type="pct"/>
                  <w:noWrap w:val="0"/>
                  <w:vAlign w:val="center"/>
                </w:tcPr>
                <w:p w14:paraId="731F9F0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2</w:t>
                  </w:r>
                </w:p>
              </w:tc>
              <w:tc>
                <w:tcPr>
                  <w:tcW w:w="570" w:type="pct"/>
                  <w:shd w:val="clear" w:color="auto" w:fill="auto"/>
                  <w:noWrap w:val="0"/>
                  <w:vAlign w:val="center"/>
                </w:tcPr>
                <w:p w14:paraId="0BDA32D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0507E1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0.17</w:t>
                  </w:r>
                </w:p>
              </w:tc>
              <w:tc>
                <w:tcPr>
                  <w:tcW w:w="433" w:type="pct"/>
                  <w:shd w:val="clear" w:color="auto" w:fill="auto"/>
                  <w:noWrap w:val="0"/>
                  <w:vAlign w:val="center"/>
                </w:tcPr>
                <w:p w14:paraId="006572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液态</w:t>
                  </w:r>
                </w:p>
              </w:tc>
              <w:tc>
                <w:tcPr>
                  <w:tcW w:w="645" w:type="pct"/>
                  <w:shd w:val="clear" w:color="auto" w:fill="auto"/>
                  <w:noWrap w:val="0"/>
                  <w:vAlign w:val="center"/>
                </w:tcPr>
                <w:p w14:paraId="392706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170</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kg/</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桶</w:t>
                  </w:r>
                </w:p>
              </w:tc>
            </w:tr>
            <w:tr w14:paraId="574B6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065E986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6</w:t>
                  </w:r>
                </w:p>
              </w:tc>
              <w:tc>
                <w:tcPr>
                  <w:tcW w:w="450" w:type="pct"/>
                  <w:vMerge w:val="continue"/>
                  <w:noWrap w:val="0"/>
                  <w:vAlign w:val="center"/>
                </w:tcPr>
                <w:p w14:paraId="25C0AA9D">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698" w:type="pct"/>
                  <w:noWrap w:val="0"/>
                  <w:vAlign w:val="center"/>
                </w:tcPr>
                <w:p w14:paraId="3598743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润滑油</w:t>
                  </w:r>
                </w:p>
              </w:tc>
              <w:tc>
                <w:tcPr>
                  <w:tcW w:w="675" w:type="pct"/>
                  <w:noWrap w:val="0"/>
                  <w:vAlign w:val="center"/>
                </w:tcPr>
                <w:p w14:paraId="7745E04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0.5</w:t>
                  </w:r>
                </w:p>
              </w:tc>
              <w:tc>
                <w:tcPr>
                  <w:tcW w:w="705" w:type="pct"/>
                  <w:noWrap w:val="0"/>
                  <w:vAlign w:val="center"/>
                </w:tcPr>
                <w:p w14:paraId="55078B7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w:t>
                  </w:r>
                </w:p>
              </w:tc>
              <w:tc>
                <w:tcPr>
                  <w:tcW w:w="570" w:type="pct"/>
                  <w:shd w:val="clear" w:color="auto" w:fill="auto"/>
                  <w:noWrap w:val="0"/>
                  <w:vAlign w:val="center"/>
                </w:tcPr>
                <w:p w14:paraId="4E750B53">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500" w:type="pct"/>
                  <w:shd w:val="clear" w:color="auto" w:fill="auto"/>
                  <w:noWrap w:val="0"/>
                  <w:vAlign w:val="center"/>
                </w:tcPr>
                <w:p w14:paraId="2178A3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0.17</w:t>
                  </w:r>
                </w:p>
              </w:tc>
              <w:tc>
                <w:tcPr>
                  <w:tcW w:w="433" w:type="pct"/>
                  <w:shd w:val="clear" w:color="auto" w:fill="auto"/>
                  <w:noWrap w:val="0"/>
                  <w:vAlign w:val="center"/>
                </w:tcPr>
                <w:p w14:paraId="061A40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液态</w:t>
                  </w:r>
                </w:p>
              </w:tc>
              <w:tc>
                <w:tcPr>
                  <w:tcW w:w="645" w:type="pct"/>
                  <w:shd w:val="clear" w:color="auto" w:fill="auto"/>
                  <w:noWrap w:val="0"/>
                  <w:vAlign w:val="center"/>
                </w:tcPr>
                <w:p w14:paraId="688384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170</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kg/</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桶</w:t>
                  </w:r>
                </w:p>
              </w:tc>
            </w:tr>
            <w:tr w14:paraId="3D334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0" w:type="pct"/>
                  <w:shd w:val="clear" w:color="auto" w:fill="auto"/>
                  <w:noWrap w:val="0"/>
                  <w:vAlign w:val="center"/>
                </w:tcPr>
                <w:p w14:paraId="43BE7AA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17</w:t>
                  </w:r>
                </w:p>
              </w:tc>
              <w:tc>
                <w:tcPr>
                  <w:tcW w:w="450" w:type="pct"/>
                  <w:vMerge w:val="restart"/>
                  <w:noWrap w:val="0"/>
                  <w:vAlign w:val="center"/>
                </w:tcPr>
                <w:p w14:paraId="06FF7125">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能源</w:t>
                  </w:r>
                </w:p>
              </w:tc>
              <w:tc>
                <w:tcPr>
                  <w:tcW w:w="698" w:type="pct"/>
                  <w:noWrap w:val="0"/>
                  <w:vAlign w:val="center"/>
                </w:tcPr>
                <w:p w14:paraId="443ED43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电</w:t>
                  </w:r>
                </w:p>
              </w:tc>
              <w:tc>
                <w:tcPr>
                  <w:tcW w:w="675" w:type="pct"/>
                  <w:noWrap w:val="0"/>
                  <w:vAlign w:val="center"/>
                </w:tcPr>
                <w:p w14:paraId="4AB509F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40</w:t>
                  </w:r>
                </w:p>
              </w:tc>
              <w:tc>
                <w:tcPr>
                  <w:tcW w:w="705" w:type="pct"/>
                  <w:noWrap w:val="0"/>
                  <w:vAlign w:val="center"/>
                </w:tcPr>
                <w:p w14:paraId="7DB48E6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120</w:t>
                  </w:r>
                </w:p>
              </w:tc>
              <w:tc>
                <w:tcPr>
                  <w:tcW w:w="570" w:type="pct"/>
                  <w:shd w:val="clear" w:color="auto" w:fill="auto"/>
                  <w:noWrap w:val="0"/>
                  <w:vAlign w:val="center"/>
                </w:tcPr>
                <w:p w14:paraId="2632CBCD">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万千瓦时/年</w:t>
                  </w:r>
                </w:p>
              </w:tc>
              <w:tc>
                <w:tcPr>
                  <w:tcW w:w="1578" w:type="pct"/>
                  <w:gridSpan w:val="3"/>
                  <w:shd w:val="clear" w:color="auto" w:fill="auto"/>
                  <w:noWrap w:val="0"/>
                  <w:vAlign w:val="center"/>
                </w:tcPr>
                <w:p w14:paraId="264D2C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21"/>
                      <w:szCs w:val="21"/>
                      <w:lang w:val="en-US" w:eastAsia="zh-CN"/>
                      <w14:textFill>
                        <w14:solidFill>
                          <w14:schemeClr w14:val="tx1"/>
                        </w14:solidFill>
                      </w14:textFill>
                    </w:rPr>
                    <w:t>市政</w:t>
                  </w:r>
                  <w:r>
                    <w:rPr>
                      <w:rFonts w:hint="default" w:ascii="Times New Roman" w:hAnsi="Times New Roman" w:cs="Times New Roman"/>
                      <w:color w:val="000000" w:themeColor="text1"/>
                      <w:spacing w:val="-2"/>
                      <w:sz w:val="21"/>
                      <w:szCs w:val="21"/>
                      <w:lang w:val="en-US" w:eastAsia="zh-CN"/>
                      <w14:textFill>
                        <w14:solidFill>
                          <w14:schemeClr w14:val="tx1"/>
                        </w14:solidFill>
                      </w14:textFill>
                    </w:rPr>
                    <w:t>供</w:t>
                  </w:r>
                  <w:r>
                    <w:rPr>
                      <w:rFonts w:hint="default" w:ascii="Times New Roman" w:hAnsi="Times New Roman" w:eastAsia="宋体" w:cs="Times New Roman"/>
                      <w:color w:val="000000" w:themeColor="text1"/>
                      <w:spacing w:val="-2"/>
                      <w:sz w:val="21"/>
                      <w:szCs w:val="21"/>
                      <w:lang w:val="en-US" w:eastAsia="zh-CN"/>
                      <w14:textFill>
                        <w14:solidFill>
                          <w14:schemeClr w14:val="tx1"/>
                        </w14:solidFill>
                      </w14:textFill>
                    </w:rPr>
                    <w:t>电管网</w:t>
                  </w:r>
                </w:p>
              </w:tc>
            </w:tr>
            <w:tr w14:paraId="02EA2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6FD9030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450" w:type="pct"/>
                  <w:vMerge w:val="continue"/>
                  <w:noWrap w:val="0"/>
                  <w:vAlign w:val="center"/>
                </w:tcPr>
                <w:p w14:paraId="23743B55">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cs="Times New Roman"/>
                      <w:color w:val="000000" w:themeColor="text1"/>
                      <w:sz w:val="21"/>
                      <w:szCs w:val="21"/>
                      <w:lang w:val="en-US" w:eastAsia="zh-CN"/>
                      <w14:textFill>
                        <w14:solidFill>
                          <w14:schemeClr w14:val="tx1"/>
                        </w14:solidFill>
                      </w14:textFill>
                    </w:rPr>
                  </w:pPr>
                </w:p>
              </w:tc>
              <w:tc>
                <w:tcPr>
                  <w:tcW w:w="698" w:type="pct"/>
                  <w:noWrap w:val="0"/>
                  <w:vAlign w:val="center"/>
                </w:tcPr>
                <w:p w14:paraId="0F022FE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水</w:t>
                  </w:r>
                </w:p>
              </w:tc>
              <w:tc>
                <w:tcPr>
                  <w:tcW w:w="675" w:type="pct"/>
                  <w:noWrap w:val="0"/>
                  <w:vAlign w:val="center"/>
                </w:tcPr>
                <w:p w14:paraId="578E3B99">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0"/>
                      <w:szCs w:val="21"/>
                      <w:highlight w:val="none"/>
                      <w:lang w:val="en-US" w:eastAsia="zh-CN"/>
                      <w14:textFill>
                        <w14:solidFill>
                          <w14:schemeClr w14:val="tx1"/>
                        </w14:solidFill>
                      </w14:textFill>
                    </w:rPr>
                    <w:t>450</w:t>
                  </w:r>
                </w:p>
              </w:tc>
              <w:tc>
                <w:tcPr>
                  <w:tcW w:w="705" w:type="pct"/>
                  <w:noWrap w:val="0"/>
                  <w:vAlign w:val="center"/>
                </w:tcPr>
                <w:p w14:paraId="6A1C10B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3259.57</w:t>
                  </w:r>
                </w:p>
              </w:tc>
              <w:tc>
                <w:tcPr>
                  <w:tcW w:w="570" w:type="pct"/>
                  <w:shd w:val="clear" w:color="auto" w:fill="auto"/>
                  <w:noWrap w:val="0"/>
                  <w:vAlign w:val="center"/>
                </w:tcPr>
                <w:p w14:paraId="68F824E6">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1578" w:type="pct"/>
                  <w:gridSpan w:val="3"/>
                  <w:shd w:val="clear" w:color="auto" w:fill="auto"/>
                  <w:noWrap w:val="0"/>
                  <w:vAlign w:val="center"/>
                </w:tcPr>
                <w:p w14:paraId="316998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21"/>
                      <w:szCs w:val="21"/>
                      <w:lang w:val="en-US" w:eastAsia="zh-CN"/>
                      <w14:textFill>
                        <w14:solidFill>
                          <w14:schemeClr w14:val="tx1"/>
                        </w14:solidFill>
                      </w14:textFill>
                    </w:rPr>
                    <w:t>市政供水管网</w:t>
                  </w:r>
                </w:p>
              </w:tc>
            </w:tr>
            <w:tr w14:paraId="511FA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 w:type="pct"/>
                  <w:shd w:val="clear" w:color="auto" w:fill="auto"/>
                  <w:noWrap w:val="0"/>
                  <w:vAlign w:val="center"/>
                </w:tcPr>
                <w:p w14:paraId="76284D8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19</w:t>
                  </w:r>
                </w:p>
              </w:tc>
              <w:tc>
                <w:tcPr>
                  <w:tcW w:w="450" w:type="pct"/>
                  <w:vMerge w:val="continue"/>
                  <w:shd w:val="clear" w:color="auto" w:fill="auto"/>
                  <w:noWrap w:val="0"/>
                  <w:vAlign w:val="center"/>
                </w:tcPr>
                <w:p w14:paraId="48A3047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8" w:type="pct"/>
                  <w:shd w:val="clear" w:color="auto" w:fill="auto"/>
                  <w:noWrap w:val="0"/>
                  <w:vAlign w:val="center"/>
                </w:tcPr>
                <w:p w14:paraId="7356A308">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天然气（万立方米）</w:t>
                  </w:r>
                </w:p>
              </w:tc>
              <w:tc>
                <w:tcPr>
                  <w:tcW w:w="675" w:type="pct"/>
                  <w:shd w:val="clear" w:color="auto" w:fill="auto"/>
                  <w:noWrap w:val="0"/>
                  <w:vAlign w:val="center"/>
                </w:tcPr>
                <w:p w14:paraId="16B2CF1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w:t>
                  </w:r>
                </w:p>
              </w:tc>
              <w:tc>
                <w:tcPr>
                  <w:tcW w:w="705" w:type="pct"/>
                  <w:shd w:val="clear" w:color="auto" w:fill="auto"/>
                  <w:noWrap w:val="0"/>
                  <w:vAlign w:val="center"/>
                </w:tcPr>
                <w:p w14:paraId="55F06E3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570" w:type="pct"/>
                  <w:shd w:val="clear" w:color="auto" w:fill="auto"/>
                  <w:noWrap w:val="0"/>
                  <w:vAlign w:val="center"/>
                </w:tcPr>
                <w:p w14:paraId="34BD3277">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m</w:t>
                  </w:r>
                  <w:r>
                    <w:rPr>
                      <w:rFonts w:hint="eastAsia" w:ascii="Times New Roman" w:hAnsi="Times New Roman" w:cs="Times New Roman"/>
                      <w:color w:val="000000" w:themeColor="text1"/>
                      <w:kern w:val="2"/>
                      <w:sz w:val="21"/>
                      <w:szCs w:val="21"/>
                      <w:vertAlign w:val="superscript"/>
                      <w:lang w:val="en-US" w:eastAsia="zh-CN" w:bidi="ar-SA"/>
                      <w14:textFill>
                        <w14:solidFill>
                          <w14:schemeClr w14:val="tx1"/>
                        </w14:solidFill>
                      </w14:textFill>
                    </w:rPr>
                    <w:t>3</w:t>
                  </w: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/a</w:t>
                  </w:r>
                </w:p>
              </w:tc>
              <w:tc>
                <w:tcPr>
                  <w:tcW w:w="1578" w:type="pct"/>
                  <w:gridSpan w:val="3"/>
                  <w:shd w:val="clear" w:color="auto" w:fill="auto"/>
                  <w:noWrap w:val="0"/>
                  <w:vAlign w:val="center"/>
                </w:tcPr>
                <w:p w14:paraId="7FFDD1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21"/>
                      <w:szCs w:val="21"/>
                      <w:lang w:val="en-US" w:eastAsia="zh-CN"/>
                      <w14:textFill>
                        <w14:solidFill>
                          <w14:schemeClr w14:val="tx1"/>
                        </w14:solidFill>
                      </w14:textFill>
                    </w:rPr>
                    <w:t>市政供</w:t>
                  </w:r>
                  <w:r>
                    <w:rPr>
                      <w:rFonts w:hint="eastAsia" w:cs="Times New Roman"/>
                      <w:color w:val="000000" w:themeColor="text1"/>
                      <w:spacing w:val="-2"/>
                      <w:sz w:val="21"/>
                      <w:szCs w:val="21"/>
                      <w:lang w:val="en-US" w:eastAsia="zh-CN"/>
                      <w14:textFill>
                        <w14:solidFill>
                          <w14:schemeClr w14:val="tx1"/>
                        </w14:solidFill>
                      </w14:textFill>
                    </w:rPr>
                    <w:t>气</w:t>
                  </w:r>
                  <w:r>
                    <w:rPr>
                      <w:rFonts w:hint="default" w:ascii="Times New Roman" w:hAnsi="Times New Roman" w:eastAsia="宋体" w:cs="Times New Roman"/>
                      <w:color w:val="000000" w:themeColor="text1"/>
                      <w:spacing w:val="-2"/>
                      <w:sz w:val="21"/>
                      <w:szCs w:val="21"/>
                      <w:lang w:val="en-US" w:eastAsia="zh-CN"/>
                      <w14:textFill>
                        <w14:solidFill>
                          <w14:schemeClr w14:val="tx1"/>
                        </w14:solidFill>
                      </w14:textFill>
                    </w:rPr>
                    <w:t>管网</w:t>
                  </w:r>
                </w:p>
              </w:tc>
            </w:tr>
          </w:tbl>
          <w:p w14:paraId="646B01A5">
            <w:pPr>
              <w:pStyle w:val="5"/>
              <w:suppressLineNumbers w:val="0"/>
              <w:spacing w:beforeLines="50" w:beforeAutospacing="0" w:after="0" w:afterAutospacing="0" w:line="240" w:lineRule="auto"/>
              <w:ind w:left="0" w:righ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kern w:val="0"/>
                <w:sz w:val="24"/>
                <w:highlight w:val="none"/>
                <w14:textFill>
                  <w14:solidFill>
                    <w14:schemeClr w14:val="tx1"/>
                  </w14:solidFill>
                </w14:textFill>
              </w:rPr>
              <w:t xml:space="preserve">  本项目化学品成分一览表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845"/>
              <w:gridCol w:w="1096"/>
              <w:gridCol w:w="2399"/>
              <w:gridCol w:w="1500"/>
              <w:gridCol w:w="1215"/>
              <w:gridCol w:w="1324"/>
            </w:tblGrid>
            <w:tr w14:paraId="06969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14" w:hRule="atLeast"/>
                <w:jc w:val="center"/>
              </w:trPr>
              <w:tc>
                <w:tcPr>
                  <w:tcW w:w="504" w:type="pct"/>
                  <w:noWrap/>
                  <w:vAlign w:val="center"/>
                </w:tcPr>
                <w:p w14:paraId="552CDA7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t>名称</w:t>
                  </w:r>
                </w:p>
              </w:tc>
              <w:tc>
                <w:tcPr>
                  <w:tcW w:w="2085" w:type="pct"/>
                  <w:gridSpan w:val="2"/>
                  <w:noWrap/>
                  <w:vAlign w:val="center"/>
                </w:tcPr>
                <w:p w14:paraId="34C68BA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t>主要成分</w:t>
                  </w:r>
                </w:p>
              </w:tc>
              <w:tc>
                <w:tcPr>
                  <w:tcW w:w="895" w:type="pct"/>
                  <w:noWrap/>
                  <w:vAlign w:val="center"/>
                </w:tcPr>
                <w:p w14:paraId="3FE97AB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t>浓度或浓度范围</w:t>
                  </w:r>
                </w:p>
                <w:p w14:paraId="7B16670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t>（重量比）</w:t>
                  </w:r>
                </w:p>
              </w:tc>
              <w:tc>
                <w:tcPr>
                  <w:tcW w:w="725" w:type="pct"/>
                  <w:noWrap/>
                  <w:vAlign w:val="center"/>
                </w:tcPr>
                <w:p w14:paraId="257C0EA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t xml:space="preserve">CAS </w:t>
                  </w:r>
                </w:p>
                <w:p w14:paraId="234AE7A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t>登记号</w:t>
                  </w:r>
                </w:p>
              </w:tc>
              <w:tc>
                <w:tcPr>
                  <w:tcW w:w="790" w:type="pct"/>
                  <w:noWrap/>
                  <w:vAlign w:val="center"/>
                </w:tcPr>
                <w:p w14:paraId="21BBEC8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lang w:val="zh-CN"/>
                      <w14:textFill>
                        <w14:solidFill>
                          <w14:schemeClr w14:val="tx1"/>
                        </w14:solidFill>
                      </w14:textFill>
                    </w:rPr>
                    <w:t>备注</w:t>
                  </w:r>
                </w:p>
              </w:tc>
            </w:tr>
            <w:tr w14:paraId="30BB3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1" w:hRule="atLeast"/>
                <w:jc w:val="center"/>
              </w:trPr>
              <w:tc>
                <w:tcPr>
                  <w:tcW w:w="504" w:type="pct"/>
                  <w:vMerge w:val="restart"/>
                  <w:noWrap/>
                  <w:vAlign w:val="center"/>
                </w:tcPr>
                <w:p w14:paraId="3097B2D9">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水性光亮剂</w:t>
                  </w:r>
                </w:p>
              </w:tc>
              <w:tc>
                <w:tcPr>
                  <w:tcW w:w="654" w:type="pct"/>
                  <w:vMerge w:val="restart"/>
                  <w:noWrap/>
                  <w:vAlign w:val="center"/>
                </w:tcPr>
                <w:p w14:paraId="46B4EF0C">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固体份21.6%</w:t>
                  </w:r>
                </w:p>
              </w:tc>
              <w:tc>
                <w:tcPr>
                  <w:tcW w:w="1431" w:type="pct"/>
                  <w:noWrap/>
                  <w:vAlign w:val="center"/>
                </w:tcPr>
                <w:p w14:paraId="26436C6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十二烷基苯磺酸</w:t>
                  </w:r>
                </w:p>
              </w:tc>
              <w:tc>
                <w:tcPr>
                  <w:tcW w:w="895" w:type="pct"/>
                  <w:noWrap/>
                  <w:vAlign w:val="center"/>
                </w:tcPr>
                <w:p w14:paraId="03A1E15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w:t>
                  </w:r>
                </w:p>
              </w:tc>
              <w:tc>
                <w:tcPr>
                  <w:tcW w:w="725" w:type="pct"/>
                  <w:noWrap/>
                  <w:vAlign w:val="center"/>
                </w:tcPr>
                <w:p w14:paraId="744DA19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"https://www.chemsrc.com/baike/895818.html"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27176-87-0</w:t>
                  </w:r>
                  <w:r>
                    <w:rPr>
                      <w:rFonts w:hint="default" w:ascii="Times New Roman" w:hAnsi="Times New Roman" w:cs="Times New Roman"/>
                      <w:color w:val="000000" w:themeColor="text1"/>
                      <w:sz w:val="21"/>
                      <w:szCs w:val="21"/>
                      <w14:textFill>
                        <w14:solidFill>
                          <w14:schemeClr w14:val="tx1"/>
                        </w14:solidFill>
                      </w14:textFill>
                    </w:rPr>
                    <w:fldChar w:fldCharType="end"/>
                  </w:r>
                </w:p>
              </w:tc>
              <w:tc>
                <w:tcPr>
                  <w:tcW w:w="790" w:type="pct"/>
                  <w:vMerge w:val="restart"/>
                  <w:noWrap/>
                  <w:vAlign w:val="center"/>
                </w:tcPr>
                <w:p w14:paraId="72D035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水性光亮剂</w:t>
                  </w:r>
                  <w:r>
                    <w:rPr>
                      <w:rFonts w:hint="default" w:ascii="Times New Roman" w:hAnsi="Times New Roman" w:cs="Times New Roman"/>
                      <w:color w:val="000000" w:themeColor="text1"/>
                      <w:sz w:val="21"/>
                      <w:szCs w:val="21"/>
                      <w14:textFill>
                        <w14:solidFill>
                          <w14:schemeClr w14:val="tx1"/>
                        </w14:solidFill>
                      </w14:textFill>
                    </w:rPr>
                    <w:t>：自来水=1:</w:t>
                  </w:r>
                  <w:r>
                    <w:rPr>
                      <w:rFonts w:hint="eastAsia" w:cs="Times New Roman"/>
                      <w:color w:val="000000" w:themeColor="text1"/>
                      <w:sz w:val="21"/>
                      <w:szCs w:val="21"/>
                      <w:lang w:val="en-US" w:eastAsia="zh-CN"/>
                      <w14:textFill>
                        <w14:solidFill>
                          <w14:schemeClr w14:val="tx1"/>
                        </w14:solidFill>
                      </w14:textFill>
                    </w:rPr>
                    <w:t>20</w:t>
                  </w:r>
                </w:p>
              </w:tc>
            </w:tr>
            <w:tr w14:paraId="7CFE9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1" w:hRule="atLeast"/>
                <w:jc w:val="center"/>
              </w:trPr>
              <w:tc>
                <w:tcPr>
                  <w:tcW w:w="504" w:type="pct"/>
                  <w:vMerge w:val="continue"/>
                  <w:noWrap/>
                  <w:vAlign w:val="center"/>
                </w:tcPr>
                <w:p w14:paraId="1D9DEA50">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654" w:type="pct"/>
                  <w:vMerge w:val="continue"/>
                  <w:noWrap/>
                  <w:vAlign w:val="center"/>
                </w:tcPr>
                <w:p w14:paraId="4E32CC17">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431" w:type="pct"/>
                  <w:shd w:val="clear" w:color="auto" w:fill="auto"/>
                  <w:noWrap/>
                  <w:vAlign w:val="center"/>
                </w:tcPr>
                <w:p w14:paraId="0DCC5DB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N,N-二（羟基乙基）椰油酰胺</w:t>
                  </w:r>
                </w:p>
              </w:tc>
              <w:tc>
                <w:tcPr>
                  <w:tcW w:w="895" w:type="pct"/>
                  <w:shd w:val="clear" w:color="auto" w:fill="auto"/>
                  <w:noWrap/>
                  <w:vAlign w:val="center"/>
                </w:tcPr>
                <w:p w14:paraId="7433A9F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w:t>
                  </w:r>
                </w:p>
              </w:tc>
              <w:tc>
                <w:tcPr>
                  <w:tcW w:w="725" w:type="pct"/>
                  <w:shd w:val="clear" w:color="auto" w:fill="auto"/>
                  <w:noWrap/>
                  <w:vAlign w:val="center"/>
                </w:tcPr>
                <w:p w14:paraId="7D0B5D6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68603-42-9</w:t>
                  </w:r>
                </w:p>
              </w:tc>
              <w:tc>
                <w:tcPr>
                  <w:tcW w:w="790" w:type="pct"/>
                  <w:vMerge w:val="continue"/>
                  <w:shd w:val="clear" w:color="auto" w:fill="auto"/>
                  <w:noWrap/>
                  <w:vAlign w:val="center"/>
                </w:tcPr>
                <w:p w14:paraId="19490A2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14:paraId="2E4BB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1" w:hRule="atLeast"/>
                <w:jc w:val="center"/>
              </w:trPr>
              <w:tc>
                <w:tcPr>
                  <w:tcW w:w="504" w:type="pct"/>
                  <w:vMerge w:val="continue"/>
                  <w:noWrap/>
                  <w:vAlign w:val="center"/>
                </w:tcPr>
                <w:p w14:paraId="516E95CE">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654" w:type="pct"/>
                  <w:vMerge w:val="continue"/>
                  <w:noWrap/>
                  <w:vAlign w:val="center"/>
                </w:tcPr>
                <w:p w14:paraId="1A75D628">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431" w:type="pct"/>
                  <w:shd w:val="clear" w:color="auto" w:fill="auto"/>
                  <w:noWrap/>
                  <w:vAlign w:val="center"/>
                </w:tcPr>
                <w:p w14:paraId="35A5799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十二烷基硫酸钠</w:t>
                  </w:r>
                </w:p>
              </w:tc>
              <w:tc>
                <w:tcPr>
                  <w:tcW w:w="895" w:type="pct"/>
                  <w:shd w:val="clear" w:color="auto" w:fill="auto"/>
                  <w:noWrap/>
                  <w:vAlign w:val="center"/>
                </w:tcPr>
                <w:p w14:paraId="2836BDD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1.6%</w:t>
                  </w:r>
                </w:p>
              </w:tc>
              <w:tc>
                <w:tcPr>
                  <w:tcW w:w="725" w:type="pct"/>
                  <w:shd w:val="clear" w:color="auto" w:fill="auto"/>
                  <w:noWrap/>
                  <w:vAlign w:val="center"/>
                </w:tcPr>
                <w:p w14:paraId="571DEA7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205-788-1</w:t>
                  </w:r>
                </w:p>
              </w:tc>
              <w:tc>
                <w:tcPr>
                  <w:tcW w:w="790" w:type="pct"/>
                  <w:vMerge w:val="continue"/>
                  <w:shd w:val="clear" w:color="auto" w:fill="auto"/>
                  <w:noWrap/>
                  <w:vAlign w:val="center"/>
                </w:tcPr>
                <w:p w14:paraId="16C5E10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14:paraId="31DC3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504" w:type="pct"/>
                  <w:vMerge w:val="continue"/>
                  <w:noWrap/>
                  <w:vAlign w:val="center"/>
                </w:tcPr>
                <w:p w14:paraId="7E213D8F">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zh-CN" w:eastAsia="zh-CN"/>
                      <w14:textFill>
                        <w14:solidFill>
                          <w14:schemeClr w14:val="tx1"/>
                        </w14:solidFill>
                      </w14:textFill>
                    </w:rPr>
                  </w:pPr>
                </w:p>
              </w:tc>
              <w:tc>
                <w:tcPr>
                  <w:tcW w:w="654" w:type="pct"/>
                  <w:noWrap/>
                  <w:vAlign w:val="center"/>
                </w:tcPr>
                <w:p w14:paraId="5C4392E1">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挥发份0.6%</w:t>
                  </w:r>
                </w:p>
              </w:tc>
              <w:tc>
                <w:tcPr>
                  <w:tcW w:w="1431" w:type="pct"/>
                  <w:shd w:val="clear" w:color="auto" w:fill="auto"/>
                  <w:noWrap/>
                  <w:vAlign w:val="center"/>
                </w:tcPr>
                <w:p w14:paraId="2766AC5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硬脂酸</w:t>
                  </w:r>
                </w:p>
              </w:tc>
              <w:tc>
                <w:tcPr>
                  <w:tcW w:w="895" w:type="pct"/>
                  <w:shd w:val="clear" w:color="auto" w:fill="auto"/>
                  <w:noWrap/>
                  <w:vAlign w:val="center"/>
                </w:tcPr>
                <w:p w14:paraId="28EF317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0.6%</w:t>
                  </w:r>
                </w:p>
              </w:tc>
              <w:tc>
                <w:tcPr>
                  <w:tcW w:w="725" w:type="pct"/>
                  <w:shd w:val="clear" w:color="auto" w:fill="auto"/>
                  <w:noWrap/>
                  <w:vAlign w:val="center"/>
                </w:tcPr>
                <w:p w14:paraId="7B499F9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200-313-4</w:t>
                  </w:r>
                </w:p>
              </w:tc>
              <w:tc>
                <w:tcPr>
                  <w:tcW w:w="790" w:type="pct"/>
                  <w:vMerge w:val="continue"/>
                  <w:shd w:val="clear" w:color="auto" w:fill="auto"/>
                  <w:noWrap/>
                  <w:vAlign w:val="center"/>
                </w:tcPr>
                <w:p w14:paraId="2C6922A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14:paraId="71731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04" w:type="pct"/>
                  <w:vMerge w:val="continue"/>
                  <w:noWrap/>
                  <w:vAlign w:val="center"/>
                </w:tcPr>
                <w:p w14:paraId="7CEE512D">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zh-CN" w:eastAsia="zh-CN"/>
                      <w14:textFill>
                        <w14:solidFill>
                          <w14:schemeClr w14:val="tx1"/>
                        </w14:solidFill>
                      </w14:textFill>
                    </w:rPr>
                  </w:pPr>
                </w:p>
              </w:tc>
              <w:tc>
                <w:tcPr>
                  <w:tcW w:w="654" w:type="pct"/>
                  <w:noWrap/>
                  <w:vAlign w:val="center"/>
                </w:tcPr>
                <w:p w14:paraId="5DAD3810">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水77.8%</w:t>
                  </w:r>
                </w:p>
              </w:tc>
              <w:tc>
                <w:tcPr>
                  <w:tcW w:w="1431" w:type="pct"/>
                  <w:noWrap/>
                  <w:vAlign w:val="center"/>
                </w:tcPr>
                <w:p w14:paraId="594C9C72">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水</w:t>
                  </w:r>
                </w:p>
              </w:tc>
              <w:tc>
                <w:tcPr>
                  <w:tcW w:w="895" w:type="pct"/>
                  <w:noWrap/>
                  <w:vAlign w:val="center"/>
                </w:tcPr>
                <w:p w14:paraId="6B1AAB10">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77.8%</w:t>
                  </w:r>
                </w:p>
              </w:tc>
              <w:tc>
                <w:tcPr>
                  <w:tcW w:w="725" w:type="pct"/>
                  <w:noWrap/>
                  <w:vAlign w:val="center"/>
                </w:tcPr>
                <w:p w14:paraId="792162FF">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7732-18-5</w:t>
                  </w:r>
                </w:p>
              </w:tc>
              <w:tc>
                <w:tcPr>
                  <w:tcW w:w="790" w:type="pct"/>
                  <w:vMerge w:val="continue"/>
                  <w:noWrap/>
                  <w:vAlign w:val="center"/>
                </w:tcPr>
                <w:p w14:paraId="64269071">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0B68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04" w:type="pct"/>
                  <w:vMerge w:val="restart"/>
                  <w:noWrap/>
                  <w:vAlign w:val="center"/>
                </w:tcPr>
                <w:p w14:paraId="29698054">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水性底漆</w:t>
                  </w:r>
                </w:p>
              </w:tc>
              <w:tc>
                <w:tcPr>
                  <w:tcW w:w="654" w:type="pct"/>
                  <w:vMerge w:val="restart"/>
                  <w:noWrap/>
                  <w:vAlign w:val="center"/>
                </w:tcPr>
                <w:p w14:paraId="6705613D">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固体份</w:t>
                  </w:r>
                  <w:r>
                    <w:rPr>
                      <w:rFonts w:hint="default" w:ascii="Times New Roman" w:hAnsi="Times New Roman" w:cs="Times New Roman"/>
                      <w:color w:val="000000" w:themeColor="text1"/>
                      <w:sz w:val="21"/>
                      <w:szCs w:val="21"/>
                      <w:lang w:val="en-US" w:eastAsia="zh-CN"/>
                      <w14:textFill>
                        <w14:solidFill>
                          <w14:schemeClr w14:val="tx1"/>
                        </w14:solidFill>
                      </w14:textFill>
                    </w:rPr>
                    <w:t>6</w:t>
                  </w:r>
                  <w:r>
                    <w:rPr>
                      <w:rFonts w:hint="eastAsia"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31" w:type="pct"/>
                  <w:noWrap/>
                  <w:vAlign w:val="center"/>
                </w:tcPr>
                <w:p w14:paraId="43F6FEBD">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水性丙烯酸树脂</w:t>
                  </w:r>
                </w:p>
              </w:tc>
              <w:tc>
                <w:tcPr>
                  <w:tcW w:w="895" w:type="pct"/>
                  <w:noWrap/>
                  <w:vAlign w:val="center"/>
                </w:tcPr>
                <w:p w14:paraId="75CF6C93">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40-55%</w:t>
                  </w:r>
                </w:p>
              </w:tc>
              <w:tc>
                <w:tcPr>
                  <w:tcW w:w="725" w:type="pct"/>
                  <w:noWrap/>
                  <w:vAlign w:val="center"/>
                </w:tcPr>
                <w:p w14:paraId="34346051">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790" w:type="pct"/>
                  <w:vMerge w:val="restart"/>
                  <w:noWrap/>
                  <w:vAlign w:val="center"/>
                </w:tcPr>
                <w:p w14:paraId="20A49BD9">
                  <w:pPr>
                    <w:pStyle w:val="1094"/>
                    <w:keepNext w:val="0"/>
                    <w:keepLines w:val="0"/>
                    <w:suppressLineNumbers w:val="0"/>
                    <w:spacing w:before="65" w:beforeAutospacing="0" w:after="0" w:afterAutospacing="0" w:line="228"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水性底漆</w:t>
                  </w:r>
                  <w:r>
                    <w:rPr>
                      <w:rFonts w:hint="default" w:ascii="Times New Roman" w:hAnsi="Times New Roman" w:cs="Times New Roman"/>
                      <w:color w:val="000000" w:themeColor="text1"/>
                      <w:sz w:val="21"/>
                      <w:szCs w:val="21"/>
                      <w14:textFill>
                        <w14:solidFill>
                          <w14:schemeClr w14:val="tx1"/>
                        </w14:solidFill>
                      </w14:textFill>
                    </w:rPr>
                    <w:t>：自来水=1:</w:t>
                  </w:r>
                  <w:r>
                    <w:rPr>
                      <w:rFonts w:hint="default" w:ascii="Times New Roman" w:hAnsi="Times New Roman" w:cs="Times New Roman"/>
                      <w:color w:val="000000" w:themeColor="text1"/>
                      <w:sz w:val="21"/>
                      <w:szCs w:val="21"/>
                      <w:lang w:val="en-US" w:eastAsia="zh-CN"/>
                      <w14:textFill>
                        <w14:solidFill>
                          <w14:schemeClr w14:val="tx1"/>
                        </w14:solidFill>
                      </w14:textFill>
                    </w:rPr>
                    <w:t>5</w:t>
                  </w:r>
                </w:p>
              </w:tc>
            </w:tr>
            <w:tr w14:paraId="3FEA9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04" w:type="pct"/>
                  <w:vMerge w:val="continue"/>
                  <w:noWrap/>
                  <w:vAlign w:val="center"/>
                </w:tcPr>
                <w:p w14:paraId="6CB44B1A">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zh-CN" w:eastAsia="zh-CN"/>
                      <w14:textFill>
                        <w14:solidFill>
                          <w14:schemeClr w14:val="tx1"/>
                        </w14:solidFill>
                      </w14:textFill>
                    </w:rPr>
                  </w:pPr>
                </w:p>
              </w:tc>
              <w:tc>
                <w:tcPr>
                  <w:tcW w:w="654" w:type="pct"/>
                  <w:vMerge w:val="continue"/>
                  <w:noWrap/>
                  <w:vAlign w:val="center"/>
                </w:tcPr>
                <w:p w14:paraId="60979E13">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431" w:type="pct"/>
                  <w:noWrap/>
                  <w:vAlign w:val="center"/>
                </w:tcPr>
                <w:p w14:paraId="5A1D7C34">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颜填料</w:t>
                  </w:r>
                </w:p>
              </w:tc>
              <w:tc>
                <w:tcPr>
                  <w:tcW w:w="895" w:type="pct"/>
                  <w:noWrap/>
                  <w:vAlign w:val="center"/>
                </w:tcPr>
                <w:p w14:paraId="387B75B7">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8-15%</w:t>
                  </w:r>
                </w:p>
              </w:tc>
              <w:tc>
                <w:tcPr>
                  <w:tcW w:w="725" w:type="pct"/>
                  <w:noWrap/>
                  <w:vAlign w:val="center"/>
                </w:tcPr>
                <w:p w14:paraId="0BC39905">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790" w:type="pct"/>
                  <w:vMerge w:val="continue"/>
                  <w:noWrap/>
                  <w:vAlign w:val="center"/>
                </w:tcPr>
                <w:p w14:paraId="0B7A6D3F">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26E96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04" w:type="pct"/>
                  <w:vMerge w:val="continue"/>
                  <w:noWrap/>
                  <w:vAlign w:val="center"/>
                </w:tcPr>
                <w:p w14:paraId="4709791E">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zh-CN" w:eastAsia="zh-CN"/>
                      <w14:textFill>
                        <w14:solidFill>
                          <w14:schemeClr w14:val="tx1"/>
                        </w14:solidFill>
                      </w14:textFill>
                    </w:rPr>
                  </w:pPr>
                </w:p>
              </w:tc>
              <w:tc>
                <w:tcPr>
                  <w:tcW w:w="654" w:type="pct"/>
                  <w:noWrap/>
                  <w:vAlign w:val="center"/>
                </w:tcPr>
                <w:p w14:paraId="59FFDB52">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挥发份</w:t>
                  </w:r>
                  <w:r>
                    <w:rPr>
                      <w:rFonts w:hint="eastAsia" w:ascii="Times New Roman" w:hAnsi="Times New Roman" w:cs="Times New Roman"/>
                      <w:color w:val="000000" w:themeColor="text1"/>
                      <w:sz w:val="21"/>
                      <w:szCs w:val="21"/>
                      <w:lang w:val="en-US" w:eastAsia="zh-CN"/>
                      <w14:textFill>
                        <w14:solidFill>
                          <w14:schemeClr w14:val="tx1"/>
                        </w14:solidFill>
                      </w14:textFill>
                    </w:rPr>
                    <w:t>8</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31" w:type="pct"/>
                  <w:noWrap/>
                  <w:vAlign w:val="center"/>
                </w:tcPr>
                <w:p w14:paraId="04F04B71">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助剂</w:t>
                  </w:r>
                </w:p>
              </w:tc>
              <w:tc>
                <w:tcPr>
                  <w:tcW w:w="895" w:type="pct"/>
                  <w:noWrap/>
                  <w:vAlign w:val="center"/>
                </w:tcPr>
                <w:p w14:paraId="09F38250">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eastAsia" w:ascii="Times New Roman" w:hAnsi="Times New Roman" w:cs="Times New Roman"/>
                      <w:color w:val="000000" w:themeColor="text1"/>
                      <w:sz w:val="21"/>
                      <w:szCs w:val="21"/>
                      <w:lang w:val="en-US" w:eastAsia="zh-CN"/>
                      <w14:textFill>
                        <w14:solidFill>
                          <w14:schemeClr w14:val="tx1"/>
                        </w14:solidFill>
                      </w14:textFill>
                    </w:rPr>
                    <w:t>8</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725" w:type="pct"/>
                  <w:noWrap/>
                  <w:vAlign w:val="center"/>
                </w:tcPr>
                <w:p w14:paraId="3B294561">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790" w:type="pct"/>
                  <w:vMerge w:val="continue"/>
                  <w:noWrap/>
                  <w:vAlign w:val="center"/>
                </w:tcPr>
                <w:p w14:paraId="33B0D49D">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0879E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04" w:type="pct"/>
                  <w:vMerge w:val="continue"/>
                  <w:noWrap/>
                  <w:vAlign w:val="center"/>
                </w:tcPr>
                <w:p w14:paraId="5512846E">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zh-CN" w:eastAsia="zh-CN"/>
                      <w14:textFill>
                        <w14:solidFill>
                          <w14:schemeClr w14:val="tx1"/>
                        </w14:solidFill>
                      </w14:textFill>
                    </w:rPr>
                  </w:pPr>
                </w:p>
              </w:tc>
              <w:tc>
                <w:tcPr>
                  <w:tcW w:w="654" w:type="pct"/>
                  <w:noWrap/>
                  <w:vAlign w:val="center"/>
                </w:tcPr>
                <w:p w14:paraId="44C389E1">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水</w:t>
                  </w:r>
                  <w:r>
                    <w:rPr>
                      <w:rFonts w:hint="default" w:ascii="Times New Roman" w:hAnsi="Times New Roman" w:cs="Times New Roman"/>
                      <w:color w:val="000000" w:themeColor="text1"/>
                      <w:sz w:val="21"/>
                      <w:szCs w:val="21"/>
                      <w:lang w:val="en-US" w:eastAsia="zh-CN"/>
                      <w14:textFill>
                        <w14:solidFill>
                          <w14:schemeClr w14:val="tx1"/>
                        </w14:solidFill>
                      </w14:textFill>
                    </w:rPr>
                    <w:t>30</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31" w:type="pct"/>
                  <w:noWrap/>
                  <w:vAlign w:val="center"/>
                </w:tcPr>
                <w:p w14:paraId="6479DE95">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水</w:t>
                  </w:r>
                </w:p>
              </w:tc>
              <w:tc>
                <w:tcPr>
                  <w:tcW w:w="895" w:type="pct"/>
                  <w:noWrap/>
                  <w:vAlign w:val="center"/>
                </w:tcPr>
                <w:p w14:paraId="79F44231">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20-30%</w:t>
                  </w:r>
                </w:p>
              </w:tc>
              <w:tc>
                <w:tcPr>
                  <w:tcW w:w="725" w:type="pct"/>
                  <w:noWrap/>
                  <w:vAlign w:val="center"/>
                </w:tcPr>
                <w:p w14:paraId="6C19A67F">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7732-18-5</w:t>
                  </w:r>
                </w:p>
              </w:tc>
              <w:tc>
                <w:tcPr>
                  <w:tcW w:w="790" w:type="pct"/>
                  <w:vMerge w:val="continue"/>
                  <w:noWrap/>
                  <w:vAlign w:val="center"/>
                </w:tcPr>
                <w:p w14:paraId="671E50F7">
                  <w:pPr>
                    <w:pStyle w:val="1094"/>
                    <w:keepNext w:val="0"/>
                    <w:keepLines w:val="0"/>
                    <w:suppressLineNumbers w:val="0"/>
                    <w:spacing w:before="65" w:beforeAutospacing="0" w:after="0" w:afterAutospacing="0" w:line="228" w:lineRule="auto"/>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bl>
          <w:p w14:paraId="4D27DEF1">
            <w:pPr>
              <w:keepNext w:val="0"/>
              <w:keepLines w:val="0"/>
              <w:suppressLineNumbers w:val="0"/>
              <w:spacing w:before="120" w:beforeLines="50" w:beforeAutospacing="0" w:after="0" w:afterAutospacing="0"/>
              <w:ind w:left="0" w:right="0"/>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表2-</w:t>
            </w:r>
            <w:r>
              <w:rPr>
                <w:rFonts w:hint="eastAsia" w:cs="Times New Roman"/>
                <w:b/>
                <w:color w:val="000000" w:themeColor="text1"/>
                <w:kern w:val="0"/>
                <w:sz w:val="24"/>
                <w:szCs w:val="20"/>
                <w:highlight w:val="none"/>
                <w:lang w:val="en-US" w:eastAsia="zh-CN"/>
                <w14:textFill>
                  <w14:solidFill>
                    <w14:schemeClr w14:val="tx1"/>
                  </w14:solidFill>
                </w14:textFill>
              </w:rPr>
              <w:t xml:space="preserve">8 </w:t>
            </w: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 本项目主要原辅材料理化性质表</w:t>
            </w:r>
          </w:p>
          <w:tbl>
            <w:tblPr>
              <w:tblStyle w:val="61"/>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1231"/>
              <w:gridCol w:w="6661"/>
            </w:tblGrid>
            <w:tr w14:paraId="6B250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dxa"/>
                  <w:vAlign w:val="center"/>
                </w:tcPr>
                <w:p w14:paraId="5CE94AD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序号</w:t>
                  </w:r>
                </w:p>
              </w:tc>
              <w:tc>
                <w:tcPr>
                  <w:tcW w:w="1231" w:type="dxa"/>
                  <w:vAlign w:val="center"/>
                </w:tcPr>
                <w:p w14:paraId="1BA2EA0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物质</w:t>
                  </w:r>
                </w:p>
              </w:tc>
              <w:tc>
                <w:tcPr>
                  <w:tcW w:w="6661" w:type="dxa"/>
                  <w:vAlign w:val="center"/>
                </w:tcPr>
                <w:p w14:paraId="5E21456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理化性质</w:t>
                  </w:r>
                </w:p>
              </w:tc>
            </w:tr>
            <w:tr w14:paraId="0CD8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dxa"/>
                  <w:vAlign w:val="center"/>
                </w:tcPr>
                <w:p w14:paraId="15799AE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w:t>
                  </w:r>
                </w:p>
              </w:tc>
              <w:tc>
                <w:tcPr>
                  <w:tcW w:w="1231" w:type="dxa"/>
                  <w:shd w:val="clear" w:color="auto" w:fill="auto"/>
                  <w:vAlign w:val="center"/>
                </w:tcPr>
                <w:p w14:paraId="4D005D3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PEEK塑料</w:t>
                  </w:r>
                </w:p>
              </w:tc>
              <w:tc>
                <w:tcPr>
                  <w:tcW w:w="6661" w:type="dxa"/>
                  <w:shd w:val="clear" w:color="auto" w:fill="auto"/>
                  <w:vAlign w:val="center"/>
                </w:tcPr>
                <w:p w14:paraId="6DB8E3A4">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Helvetica" w:cs="Times New Roman"/>
                      <w:i w:val="0"/>
                      <w:iCs w:val="0"/>
                      <w:caps w:val="0"/>
                      <w:color w:val="000000" w:themeColor="text1"/>
                      <w:spacing w:val="0"/>
                      <w:sz w:val="21"/>
                      <w:szCs w:val="21"/>
                      <w:shd w:val="clear" w:fill="FFFFFF"/>
                      <w14:textFill>
                        <w14:solidFill>
                          <w14:schemeClr w14:val="tx1"/>
                        </w14:solidFill>
                      </w14:textFill>
                    </w:rPr>
                    <w:t>聚醚醚酮（Polyetheretherketone，PEEK）是一种耐高温特种工程塑料</w:t>
                  </w:r>
                  <w:r>
                    <w:rPr>
                      <w:rFonts w:hint="default" w:ascii="Times New Roman" w:hAnsi="Times New Roman" w:eastAsia="宋体" w:cs="Times New Roman"/>
                      <w:i w:val="0"/>
                      <w:iCs w:val="0"/>
                      <w:caps w:val="0"/>
                      <w:color w:val="000000" w:themeColor="text1"/>
                      <w:spacing w:val="0"/>
                      <w:sz w:val="21"/>
                      <w:szCs w:val="21"/>
                      <w:shd w:val="clear" w:fill="FFFFFF"/>
                      <w:lang w:val="en-US" w:eastAsia="zh-CN"/>
                      <w14:textFill>
                        <w14:solidFill>
                          <w14:schemeClr w14:val="tx1"/>
                        </w14:solidFill>
                      </w14:textFill>
                    </w:rPr>
                    <w:t>，</w:t>
                  </w:r>
                  <w:r>
                    <w:rPr>
                      <w:rFonts w:hint="eastAsia" w:ascii="Times New Roman" w:hAnsi="Times New Roman" w:eastAsia="宋体" w:cs="Times New Roman"/>
                      <w:i w:val="0"/>
                      <w:iCs w:val="0"/>
                      <w:caps w:val="0"/>
                      <w:color w:val="000000" w:themeColor="text1"/>
                      <w:spacing w:val="0"/>
                      <w:sz w:val="21"/>
                      <w:szCs w:val="21"/>
                      <w:shd w:val="clear" w:fill="FFFFFF"/>
                      <w:lang w:val="en-US" w:eastAsia="zh-CN"/>
                      <w14:textFill>
                        <w14:solidFill>
                          <w14:schemeClr w14:val="tx1"/>
                        </w14:solidFill>
                      </w14:textFill>
                    </w:rPr>
                    <w:t>属于聚醚醚酮树脂。</w:t>
                  </w:r>
                  <w:r>
                    <w:rPr>
                      <w:rFonts w:hint="default" w:ascii="Times New Roman" w:hAnsi="Times New Roman" w:eastAsia="Helvetica" w:cs="Times New Roman"/>
                      <w:i w:val="0"/>
                      <w:iCs w:val="0"/>
                      <w:caps w:val="0"/>
                      <w:color w:val="000000" w:themeColor="text1"/>
                      <w:spacing w:val="0"/>
                      <w:sz w:val="21"/>
                      <w:szCs w:val="21"/>
                      <w:shd w:val="clear" w:fill="FFFFFF"/>
                      <w14:textFill>
                        <w14:solidFill>
                          <w14:schemeClr w14:val="tx1"/>
                        </w14:solidFill>
                      </w14:textFill>
                    </w:rPr>
                    <w:t>PEEK分子结构中含有对甲基丙烯酸酯侧链和对苯二甲酸酐侧链，分子量分布较宽，侧链基团的反应活性高，共轭效应强</w:t>
                  </w:r>
                  <w:r>
                    <w:rPr>
                      <w:rFonts w:hint="default" w:ascii="Times New Roman" w:hAnsi="Times New Roman" w:eastAsia="宋体" w:cs="Times New Roman"/>
                      <w:i w:val="0"/>
                      <w:iCs w:val="0"/>
                      <w:caps w:val="0"/>
                      <w:color w:val="000000" w:themeColor="text1"/>
                      <w:spacing w:val="0"/>
                      <w:sz w:val="21"/>
                      <w:szCs w:val="21"/>
                      <w:shd w:val="clear" w:fill="FFFFFF"/>
                      <w:lang w:eastAsia="zh-CN"/>
                      <w14:textFill>
                        <w14:solidFill>
                          <w14:schemeClr w14:val="tx1"/>
                        </w14:solidFill>
                      </w14:textFill>
                    </w:rPr>
                    <w:t>，</w:t>
                  </w:r>
                  <w:r>
                    <w:rPr>
                      <w:rFonts w:hint="default" w:ascii="Times New Roman" w:hAnsi="Times New Roman" w:eastAsia="Helvetica" w:cs="Times New Roman"/>
                      <w:i w:val="0"/>
                      <w:iCs w:val="0"/>
                      <w:caps w:val="0"/>
                      <w:color w:val="000000" w:themeColor="text1"/>
                      <w:spacing w:val="0"/>
                      <w:sz w:val="21"/>
                      <w:szCs w:val="21"/>
                      <w:shd w:val="clear" w:fill="FFFFFF"/>
                      <w14:textFill>
                        <w14:solidFill>
                          <w14:schemeClr w14:val="tx1"/>
                        </w14:solidFill>
                      </w14:textFill>
                    </w:rPr>
                    <w:t>该材料玻璃态转化温度介于143-162 ℃之间，熔点介于343-387 ℃之间，</w:t>
                  </w:r>
                  <w:r>
                    <w:rPr>
                      <w:rFonts w:hint="eastAsia" w:ascii="Times New Roman" w:hAnsi="Times New Roman" w:eastAsia="宋体" w:cs="Times New Roman"/>
                      <w:i w:val="0"/>
                      <w:iCs w:val="0"/>
                      <w:caps w:val="0"/>
                      <w:color w:val="000000" w:themeColor="text1"/>
                      <w:spacing w:val="0"/>
                      <w:sz w:val="21"/>
                      <w:szCs w:val="21"/>
                      <w:shd w:val="clear" w:fill="FFFFFF"/>
                      <w:lang w:val="en-US" w:eastAsia="zh-CN"/>
                      <w14:textFill>
                        <w14:solidFill>
                          <w14:schemeClr w14:val="tx1"/>
                        </w14:solidFill>
                      </w14:textFill>
                    </w:rPr>
                    <w:t>起始分解温度为550</w:t>
                  </w:r>
                  <w:r>
                    <w:rPr>
                      <w:rFonts w:hint="default" w:ascii="Times New Roman" w:hAnsi="Times New Roman" w:eastAsia="Helvetica" w:cs="Times New Roman"/>
                      <w:i w:val="0"/>
                      <w:iCs w:val="0"/>
                      <w:caps w:val="0"/>
                      <w:color w:val="000000" w:themeColor="text1"/>
                      <w:spacing w:val="0"/>
                      <w:sz w:val="21"/>
                      <w:szCs w:val="21"/>
                      <w:shd w:val="clear" w:fill="FFFFFF"/>
                      <w14:textFill>
                        <w14:solidFill>
                          <w14:schemeClr w14:val="tx1"/>
                        </w14:solidFill>
                      </w14:textFill>
                    </w:rPr>
                    <w:t>℃</w:t>
                  </w:r>
                  <w:r>
                    <w:rPr>
                      <w:rFonts w:hint="eastAsia" w:ascii="Times New Roman" w:hAnsi="Times New Roman" w:eastAsia="宋体" w:cs="Times New Roman"/>
                      <w:i w:val="0"/>
                      <w:iCs w:val="0"/>
                      <w:caps w:val="0"/>
                      <w:color w:val="000000" w:themeColor="text1"/>
                      <w:spacing w:val="0"/>
                      <w:sz w:val="21"/>
                      <w:szCs w:val="21"/>
                      <w:shd w:val="clear" w:fill="FFFFFF"/>
                      <w:lang w:eastAsia="zh-CN"/>
                      <w14:textFill>
                        <w14:solidFill>
                          <w14:schemeClr w14:val="tx1"/>
                        </w14:solidFill>
                      </w14:textFill>
                    </w:rPr>
                    <w:t>，</w:t>
                  </w:r>
                  <w:r>
                    <w:rPr>
                      <w:rFonts w:hint="default" w:ascii="Times New Roman" w:hAnsi="Times New Roman" w:eastAsia="Helvetica" w:cs="Times New Roman"/>
                      <w:i w:val="0"/>
                      <w:iCs w:val="0"/>
                      <w:caps w:val="0"/>
                      <w:color w:val="000000" w:themeColor="text1"/>
                      <w:spacing w:val="0"/>
                      <w:sz w:val="21"/>
                      <w:szCs w:val="21"/>
                      <w:shd w:val="clear" w:fill="FFFFFF"/>
                      <w14:textFill>
                        <w14:solidFill>
                          <w14:schemeClr w14:val="tx1"/>
                        </w14:solidFill>
                      </w14:textFill>
                    </w:rPr>
                    <w:t>具有耐高温性、机械强度、耐磨性、耐化学腐蚀性、电气性能、环保特性及耐水解性</w:t>
                  </w:r>
                  <w:r>
                    <w:rPr>
                      <w:rFonts w:hint="eastAsia" w:ascii="Times New Roman" w:hAnsi="Times New Roman" w:eastAsia="宋体" w:cs="Times New Roman"/>
                      <w:i w:val="0"/>
                      <w:iCs w:val="0"/>
                      <w:caps w:val="0"/>
                      <w:color w:val="000000" w:themeColor="text1"/>
                      <w:spacing w:val="0"/>
                      <w:sz w:val="21"/>
                      <w:szCs w:val="21"/>
                      <w:shd w:val="clear" w:fill="FFFFFF"/>
                      <w:lang w:eastAsia="zh-CN"/>
                      <w14:textFill>
                        <w14:solidFill>
                          <w14:schemeClr w14:val="tx1"/>
                        </w14:solidFill>
                      </w14:textFill>
                    </w:rPr>
                    <w:t>。</w:t>
                  </w:r>
                </w:p>
              </w:tc>
            </w:tr>
            <w:tr w14:paraId="72E77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84" w:type="dxa"/>
                  <w:shd w:val="clear" w:color="auto" w:fill="auto"/>
                  <w:vAlign w:val="center"/>
                </w:tcPr>
                <w:p w14:paraId="6F73C60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w:t>
                  </w:r>
                </w:p>
              </w:tc>
              <w:tc>
                <w:tcPr>
                  <w:tcW w:w="1231" w:type="dxa"/>
                  <w:shd w:val="clear" w:color="auto" w:fill="auto"/>
                  <w:vAlign w:val="center"/>
                </w:tcPr>
                <w:p w14:paraId="41C2C06E">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中性脱脂剂</w:t>
                  </w:r>
                </w:p>
              </w:tc>
              <w:tc>
                <w:tcPr>
                  <w:tcW w:w="6661" w:type="dxa"/>
                  <w:shd w:val="clear" w:color="auto" w:fill="auto"/>
                  <w:vAlign w:val="center"/>
                </w:tcPr>
                <w:p w14:paraId="4BA90069">
                  <w:pPr>
                    <w:keepNext w:val="0"/>
                    <w:keepLines w:val="0"/>
                    <w:widowControl/>
                    <w:suppressLineNumbers w:val="0"/>
                    <w:spacing w:before="0" w:beforeAutospacing="0" w:after="0" w:afterAutospacing="0"/>
                    <w:ind w:left="0" w:right="0"/>
                    <w:jc w:val="lef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主要成分为50%碳酸钠、30%磷酸钠、10%硫酸钠和10%聚氧乙烯聚氧丙烯醚。外观与性状：白色到淡黄色粉末 ；溶解性：与水互溶；稳定性：在常温常压下稳定，湿气多且高温环境下会发生变质而导致固化；禁配物：强酸；应避免的条件:</w:t>
                  </w: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潮湿空气</w:t>
                  </w: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；危险的分解产物</w:t>
                  </w: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：氧化磷</w:t>
                  </w:r>
                  <w:r>
                    <w:rPr>
                      <w:rFonts w:hint="eastAsia" w:cs="Times New Roman"/>
                      <w:color w:val="000000" w:themeColor="text1"/>
                      <w:kern w:val="2"/>
                      <w:sz w:val="21"/>
                      <w:szCs w:val="21"/>
                      <w:highlight w:val="none"/>
                      <w:lang w:val="en-US" w:eastAsia="zh-CN" w:bidi="ar-SA"/>
                      <w14:textFill>
                        <w14:solidFill>
                          <w14:schemeClr w14:val="tx1"/>
                        </w14:solidFill>
                      </w14:textFill>
                    </w:rPr>
                    <w:t>。</w:t>
                  </w:r>
                </w:p>
              </w:tc>
            </w:tr>
            <w:tr w14:paraId="0A10B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84" w:type="dxa"/>
                  <w:shd w:val="clear" w:color="auto" w:fill="auto"/>
                  <w:vAlign w:val="center"/>
                </w:tcPr>
                <w:p w14:paraId="62965AC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w:t>
                  </w:r>
                </w:p>
              </w:tc>
              <w:tc>
                <w:tcPr>
                  <w:tcW w:w="1231" w:type="dxa"/>
                  <w:shd w:val="clear" w:color="auto" w:fill="auto"/>
                  <w:vAlign w:val="center"/>
                </w:tcPr>
                <w:p w14:paraId="468BE59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硅烷处理剂</w:t>
                  </w:r>
                </w:p>
              </w:tc>
              <w:tc>
                <w:tcPr>
                  <w:tcW w:w="6661" w:type="dxa"/>
                  <w:shd w:val="clear" w:color="auto" w:fill="auto"/>
                  <w:vAlign w:val="center"/>
                </w:tcPr>
                <w:p w14:paraId="7C22C71E">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主要成分为</w:t>
                  </w:r>
                  <w:r>
                    <w:rPr>
                      <w:rFonts w:hint="default" w:ascii="Times New Roman" w:hAnsi="Times New Roman" w:cs="Times New Roman"/>
                      <w:color w:val="000000" w:themeColor="text1"/>
                      <w:sz w:val="21"/>
                      <w:szCs w:val="21"/>
                      <w:lang w:val="en-US" w:eastAsia="zh-CN"/>
                      <w14:textFill>
                        <w14:solidFill>
                          <w14:schemeClr w14:val="tx1"/>
                        </w14:solidFill>
                      </w14:textFill>
                    </w:rPr>
                    <w:t>10-1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5%氧化硅、35-40%氨基硅烷、25-30%水性有机硅树脂、15-30%蒸馏水。外观性状：无色透明液体；禁配物：本品为碱性，严禁与酸混用；pH 值：10.0-11.0</w:t>
                  </w:r>
                  <w:r>
                    <w:rPr>
                      <w:rStyle w:val="1113"/>
                      <w:rFonts w:hint="default" w:ascii="Times New Roman" w:hAnsi="Times New Roman" w:eastAsia="宋体" w:cs="Times New Roman"/>
                      <w:b w:val="0"/>
                      <w:i w:val="0"/>
                      <w:caps w:val="0"/>
                      <w:color w:val="000000" w:themeColor="text1"/>
                      <w:spacing w:val="0"/>
                      <w:w w:val="100"/>
                      <w:kern w:val="2"/>
                      <w:sz w:val="21"/>
                      <w:szCs w:val="21"/>
                      <w:lang w:val="en-US" w:eastAsia="zh-CN" w:bidi="ar-SA"/>
                      <w14:textFill>
                        <w14:solidFill>
                          <w14:schemeClr w14:val="tx1"/>
                        </w14:solidFill>
                      </w14:textFill>
                    </w:rPr>
                    <w:t>。</w:t>
                  </w:r>
                </w:p>
              </w:tc>
            </w:tr>
            <w:tr w14:paraId="1771B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dxa"/>
                  <w:shd w:val="clear" w:color="auto" w:fill="auto"/>
                  <w:vAlign w:val="center"/>
                </w:tcPr>
                <w:p w14:paraId="435485B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w:t>
                  </w:r>
                </w:p>
              </w:tc>
              <w:tc>
                <w:tcPr>
                  <w:tcW w:w="1231" w:type="dxa"/>
                  <w:shd w:val="clear" w:color="auto" w:fill="auto"/>
                  <w:vAlign w:val="center"/>
                </w:tcPr>
                <w:p w14:paraId="60F5A67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水性底漆</w:t>
                  </w:r>
                </w:p>
              </w:tc>
              <w:tc>
                <w:tcPr>
                  <w:tcW w:w="6661" w:type="dxa"/>
                  <w:shd w:val="clear" w:color="auto" w:fill="auto"/>
                  <w:vAlign w:val="center"/>
                </w:tcPr>
                <w:p w14:paraId="516997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主要成分为40-55%水性丙烯酸树脂、颜填料8-15%、助剂5-8%和20-30%水。外观性状：灰色黏稠液体；气味：稍有气味；沸点：&gt;150</w:t>
                  </w:r>
                  <w:r>
                    <w:rPr>
                      <w:rFonts w:hint="default" w:cs="Times New Roman"/>
                      <w:color w:val="000000" w:themeColor="text1"/>
                      <w:kern w:val="2"/>
                      <w:sz w:val="21"/>
                      <w:szCs w:val="21"/>
                      <w:highlight w:val="none"/>
                      <w:lang w:val="en-US" w:eastAsia="zh-CN" w:bidi="ar-SA"/>
                      <w14:textFill>
                        <w14:solidFill>
                          <w14:schemeClr w14:val="tx1"/>
                        </w14:solidFill>
                      </w14:textFill>
                    </w:rPr>
                    <w:t>℃</w:t>
                  </w:r>
                  <w:r>
                    <w:rPr>
                      <w:rFonts w:hint="eastAsia" w:cs="Times New Roman"/>
                      <w:color w:val="000000" w:themeColor="text1"/>
                      <w:kern w:val="2"/>
                      <w:sz w:val="21"/>
                      <w:szCs w:val="21"/>
                      <w:highlight w:val="none"/>
                      <w:lang w:val="en-US" w:eastAsia="zh-CN" w:bidi="ar-SA"/>
                      <w14:textFill>
                        <w14:solidFill>
                          <w14:schemeClr w14:val="tx1"/>
                        </w14:solidFill>
                      </w14:textFill>
                    </w:rPr>
                    <w:t>；熔点：&gt;30</w:t>
                  </w:r>
                  <w:r>
                    <w:rPr>
                      <w:rFonts w:hint="default" w:cs="Times New Roman"/>
                      <w:color w:val="000000" w:themeColor="text1"/>
                      <w:kern w:val="2"/>
                      <w:sz w:val="21"/>
                      <w:szCs w:val="21"/>
                      <w:highlight w:val="none"/>
                      <w:lang w:val="en-US" w:eastAsia="zh-CN" w:bidi="ar-SA"/>
                      <w14:textFill>
                        <w14:solidFill>
                          <w14:schemeClr w14:val="tx1"/>
                        </w14:solidFill>
                      </w14:textFill>
                    </w:rPr>
                    <w:t>℃</w:t>
                  </w:r>
                  <w:r>
                    <w:rPr>
                      <w:rFonts w:hint="eastAsia" w:cs="Times New Roman"/>
                      <w:color w:val="000000" w:themeColor="text1"/>
                      <w:kern w:val="2"/>
                      <w:sz w:val="21"/>
                      <w:szCs w:val="21"/>
                      <w:highlight w:val="none"/>
                      <w:lang w:val="en-US" w:eastAsia="zh-CN" w:bidi="ar-SA"/>
                      <w14:textFill>
                        <w14:solidFill>
                          <w14:schemeClr w14:val="tx1"/>
                        </w14:solidFill>
                      </w14:textFill>
                    </w:rPr>
                    <w:t>；闪点：&gt;70</w:t>
                  </w:r>
                  <w:r>
                    <w:rPr>
                      <w:rFonts w:hint="default" w:cs="Times New Roman"/>
                      <w:color w:val="000000" w:themeColor="text1"/>
                      <w:kern w:val="2"/>
                      <w:sz w:val="21"/>
                      <w:szCs w:val="21"/>
                      <w:highlight w:val="none"/>
                      <w:lang w:val="en-US" w:eastAsia="zh-CN" w:bidi="ar-SA"/>
                      <w14:textFill>
                        <w14:solidFill>
                          <w14:schemeClr w14:val="tx1"/>
                        </w14:solidFill>
                      </w14:textFill>
                    </w:rPr>
                    <w:t>℃</w:t>
                  </w:r>
                  <w:r>
                    <w:rPr>
                      <w:rFonts w:hint="eastAsia" w:cs="Times New Roman"/>
                      <w:color w:val="000000" w:themeColor="text1"/>
                      <w:kern w:val="2"/>
                      <w:sz w:val="21"/>
                      <w:szCs w:val="21"/>
                      <w:highlight w:val="none"/>
                      <w:lang w:val="en-US" w:eastAsia="zh-CN" w:bidi="ar-SA"/>
                      <w14:textFill>
                        <w14:solidFill>
                          <w14:schemeClr w14:val="tx1"/>
                        </w14:solidFill>
                      </w14:textFill>
                    </w:rPr>
                    <w:t>；相对密度：1.1-1.4g/cm</w:t>
                  </w:r>
                  <w:r>
                    <w:rPr>
                      <w:rFonts w:hint="eastAsia" w:cs="Times New Roman"/>
                      <w:color w:val="000000" w:themeColor="text1"/>
                      <w:kern w:val="2"/>
                      <w:sz w:val="21"/>
                      <w:szCs w:val="21"/>
                      <w:highlight w:val="none"/>
                      <w:vertAlign w:val="superscript"/>
                      <w:lang w:val="en-US" w:eastAsia="zh-CN" w:bidi="ar-SA"/>
                      <w14:textFill>
                        <w14:solidFill>
                          <w14:schemeClr w14:val="tx1"/>
                        </w14:solidFill>
                      </w14:textFill>
                    </w:rPr>
                    <w:t>3</w:t>
                  </w:r>
                  <w:r>
                    <w:rPr>
                      <w:rFonts w:hint="eastAsia" w:cs="Times New Roman"/>
                      <w:color w:val="000000" w:themeColor="text1"/>
                      <w:kern w:val="2"/>
                      <w:sz w:val="21"/>
                      <w:szCs w:val="21"/>
                      <w:highlight w:val="none"/>
                      <w:lang w:val="en-US" w:eastAsia="zh-CN" w:bidi="ar-SA"/>
                      <w14:textFill>
                        <w14:solidFill>
                          <w14:schemeClr w14:val="tx1"/>
                        </w14:solidFill>
                      </w14:textFill>
                    </w:rPr>
                    <w:t>；水溶性：溶于水；稳定性：正常环境温度下储存和使用，本品稳定；应避免接触的条件：静电放电、热、潮湿等；禁配物：强氧化物、强酸、强碱。</w:t>
                  </w:r>
                </w:p>
              </w:tc>
            </w:tr>
            <w:tr w14:paraId="0BFF4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trPr>
              <w:tc>
                <w:tcPr>
                  <w:tcW w:w="484" w:type="dxa"/>
                  <w:shd w:val="clear" w:color="auto" w:fill="auto"/>
                  <w:vAlign w:val="center"/>
                </w:tcPr>
                <w:p w14:paraId="5812E3F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w:t>
                  </w:r>
                </w:p>
              </w:tc>
              <w:tc>
                <w:tcPr>
                  <w:tcW w:w="1231" w:type="dxa"/>
                  <w:shd w:val="clear" w:color="auto" w:fill="auto"/>
                  <w:vAlign w:val="center"/>
                </w:tcPr>
                <w:p w14:paraId="42687ED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塑粉</w:t>
                  </w:r>
                </w:p>
              </w:tc>
              <w:tc>
                <w:tcPr>
                  <w:tcW w:w="6661" w:type="dxa"/>
                  <w:shd w:val="clear" w:color="auto" w:fill="auto"/>
                  <w:vAlign w:val="center"/>
                </w:tcPr>
                <w:p w14:paraId="2C7B7511">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主要成分为68%环氧树脂和固化剂、27%颜填料和5%助剂。</w:t>
                  </w:r>
                  <w:r>
                    <w:rPr>
                      <w:rFonts w:hint="default" w:ascii="Times New Roman" w:hAnsi="Times New Roman" w:cs="Times New Roman"/>
                      <w:color w:val="000000" w:themeColor="text1"/>
                      <w:sz w:val="21"/>
                      <w:szCs w:val="21"/>
                      <w:lang w:val="en-US" w:eastAsia="zh-CN"/>
                      <w14:textFill>
                        <w14:solidFill>
                          <w14:schemeClr w14:val="tx1"/>
                        </w14:solidFill>
                      </w14:textFill>
                    </w:rPr>
                    <w:t>密度：1.</w:t>
                  </w:r>
                  <w:r>
                    <w:rPr>
                      <w:rFonts w:hint="eastAsia"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6</w:t>
                  </w:r>
                  <w:r>
                    <w:rPr>
                      <w:rFonts w:hint="default" w:ascii="Times New Roman" w:hAnsi="Times New Roman" w:cs="Times New Roman"/>
                      <w:color w:val="000000" w:themeColor="text1"/>
                      <w:sz w:val="21"/>
                      <w:szCs w:val="21"/>
                      <w:lang w:val="en-US" w:eastAsia="zh-CN"/>
                      <w14:textFill>
                        <w14:solidFill>
                          <w14:schemeClr w14:val="tx1"/>
                        </w14:solidFill>
                      </w14:textFill>
                    </w:rPr>
                    <w:t>g/cm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kern w:val="2"/>
                      <w:sz w:val="21"/>
                      <w:szCs w:val="21"/>
                      <w:highlight w:val="none"/>
                      <w:lang w:val="en-US" w:eastAsia="zh-CN" w:bidi="ar-SA"/>
                      <w14:textFill>
                        <w14:solidFill>
                          <w14:schemeClr w14:val="tx1"/>
                        </w14:solidFill>
                      </w14:textFill>
                    </w:rPr>
                    <w:t>；外观与性状：粉末状颗粒；气味：无；熔点：108</w:t>
                  </w:r>
                  <w:r>
                    <w:rPr>
                      <w:rFonts w:hint="default" w:cs="Times New Roman"/>
                      <w:color w:val="000000" w:themeColor="text1"/>
                      <w:kern w:val="2"/>
                      <w:sz w:val="21"/>
                      <w:szCs w:val="21"/>
                      <w:highlight w:val="none"/>
                      <w:lang w:val="en-US" w:eastAsia="zh-CN" w:bidi="ar-SA"/>
                      <w14:textFill>
                        <w14:solidFill>
                          <w14:schemeClr w14:val="tx1"/>
                        </w14:solidFill>
                      </w14:textFill>
                    </w:rPr>
                    <w:t>℃</w:t>
                  </w:r>
                  <w:r>
                    <w:rPr>
                      <w:rFonts w:hint="eastAsia" w:cs="Times New Roman"/>
                      <w:color w:val="000000" w:themeColor="text1"/>
                      <w:kern w:val="2"/>
                      <w:sz w:val="21"/>
                      <w:szCs w:val="21"/>
                      <w:highlight w:val="none"/>
                      <w:lang w:val="en-US" w:eastAsia="zh-CN" w:bidi="ar-SA"/>
                      <w14:textFill>
                        <w14:solidFill>
                          <w14:schemeClr w14:val="tx1"/>
                        </w14:solidFill>
                      </w14:textFill>
                    </w:rPr>
                    <w:t>；溶解性：微溶于醇、酮、甲苯等非极性有机溶剂；</w:t>
                  </w:r>
                  <w:r>
                    <w:rPr>
                      <w:rFonts w:hint="eastAsia" w:ascii="宋体" w:hAnsi="宋体" w:eastAsia="宋体" w:cs="宋体"/>
                      <w:color w:val="000000" w:themeColor="text1"/>
                      <w:kern w:val="0"/>
                      <w:sz w:val="21"/>
                      <w:szCs w:val="21"/>
                      <w:lang w:val="en-US" w:eastAsia="zh-CN" w:bidi="ar"/>
                      <w14:textFill>
                        <w14:solidFill>
                          <w14:schemeClr w14:val="tx1"/>
                        </w14:solidFill>
                      </w14:textFill>
                    </w:rPr>
                    <w:t>避免接触的条件：溶剂、高热、活化及其他火源和热源；危害性分解产物：氮氧化合物、氰化氢、醛类、氨、一氧化碳、二氧化碳。</w:t>
                  </w:r>
                </w:p>
              </w:tc>
            </w:tr>
            <w:tr w14:paraId="37F25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484" w:type="dxa"/>
                  <w:shd w:val="clear" w:color="auto" w:fill="auto"/>
                  <w:vAlign w:val="center"/>
                </w:tcPr>
                <w:p w14:paraId="606E3A0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6</w:t>
                  </w:r>
                </w:p>
              </w:tc>
              <w:tc>
                <w:tcPr>
                  <w:tcW w:w="1231" w:type="dxa"/>
                  <w:shd w:val="clear" w:color="auto" w:fill="auto"/>
                  <w:vAlign w:val="center"/>
                </w:tcPr>
                <w:p w14:paraId="3FD896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切削液</w:t>
                  </w:r>
                </w:p>
              </w:tc>
              <w:tc>
                <w:tcPr>
                  <w:tcW w:w="6661" w:type="dxa"/>
                  <w:shd w:val="clear" w:color="auto" w:fill="auto"/>
                  <w:vAlign w:val="center"/>
                </w:tcPr>
                <w:p w14:paraId="5A312EF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乳化油与水混合液，乳白色不透明液体，具备良好的冷却性能、润滑性能、防锈性能、除油清洗功能、防腐功能、易稀释特点，适用于金属加工、切削等过程中作为冷却液使用，主要成分为植物油、脂肪酸、石油磺酸钡、石油、磺酸钠、油酸钠皂等。</w:t>
                  </w:r>
                </w:p>
              </w:tc>
            </w:tr>
            <w:tr w14:paraId="2BE43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484" w:type="dxa"/>
                  <w:shd w:val="clear" w:color="auto" w:fill="auto"/>
                  <w:vAlign w:val="center"/>
                </w:tcPr>
                <w:p w14:paraId="20DFD3F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7</w:t>
                  </w:r>
                </w:p>
              </w:tc>
              <w:tc>
                <w:tcPr>
                  <w:tcW w:w="1231" w:type="dxa"/>
                  <w:shd w:val="clear" w:color="auto" w:fill="auto"/>
                  <w:vAlign w:val="center"/>
                </w:tcPr>
                <w:p w14:paraId="790707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润滑油</w:t>
                  </w:r>
                </w:p>
              </w:tc>
              <w:tc>
                <w:tcPr>
                  <w:tcW w:w="6661" w:type="dxa"/>
                  <w:shd w:val="clear" w:color="auto" w:fill="auto"/>
                  <w:vAlign w:val="center"/>
                </w:tcPr>
                <w:p w14:paraId="5A65DE6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密度约为0.91×10³（kg/m³）能对机械起到润滑减磨、辅助冷却降温、密封防漏、防锈防蚀、减震缓冲等作用。</w:t>
                  </w:r>
                </w:p>
              </w:tc>
            </w:tr>
            <w:tr w14:paraId="5DB0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dxa"/>
                  <w:shd w:val="clear" w:color="auto" w:fill="auto"/>
                  <w:vAlign w:val="center"/>
                </w:tcPr>
                <w:p w14:paraId="27333CE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8</w:t>
                  </w:r>
                </w:p>
              </w:tc>
              <w:tc>
                <w:tcPr>
                  <w:tcW w:w="1231" w:type="dxa"/>
                  <w:shd w:val="clear" w:color="auto" w:fill="auto"/>
                  <w:vAlign w:val="center"/>
                </w:tcPr>
                <w:p w14:paraId="22C2BAA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液压油</w:t>
                  </w:r>
                </w:p>
              </w:tc>
              <w:tc>
                <w:tcPr>
                  <w:tcW w:w="6661" w:type="dxa"/>
                  <w:shd w:val="clear" w:color="auto" w:fill="auto"/>
                  <w:vAlign w:val="center"/>
                </w:tcPr>
                <w:p w14:paraId="5284B0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利用液体压力能的液压系统使用的液压介质，在</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begin"/>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instrText xml:space="preserve"> HYPERLINK "https://baike.so.com/doc/5395781-5632940.html" \t "https://baike.so.com/doc/_blank" </w:instrTex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separate"/>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液压系统</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end"/>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中起着</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begin"/>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instrText xml:space="preserve"> HYPERLINK "https://baike.so.com/doc/6066332-6279396.html" \t "https://baike.so.com/doc/_blank" </w:instrTex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separate"/>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能量传递</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end"/>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、抗磨、系统润滑、</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begin"/>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instrText xml:space="preserve"> HYPERLINK "https://baike.so.com/doc/10044550-10556868.html" \t "https://baike.so.com/doc/_blank" </w:instrTex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separate"/>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防腐</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end"/>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begin"/>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instrText xml:space="preserve"> HYPERLINK "https://baike.so.com/doc/2383818-2520542.html" \t "https://baike.so.com/doc/_blank" </w:instrTex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separate"/>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防锈</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end"/>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begin"/>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instrText xml:space="preserve"> HYPERLINK "https://baike.so.com/doc/5492989-5730901.html" \t "https://baike.so.com/doc/_blank" </w:instrTex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separate"/>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冷却</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end"/>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等作用。对于液压油来说，首先应满足液压装置在工作温度下与启动温度下对液体粘度的要求，由于润滑油的</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begin"/>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instrText xml:space="preserve"> HYPERLINK "https://baike.so.com/doc/5403077-5640765.html" \t "https://baike.so.com/doc/_blank" </w:instrTex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separate"/>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粘度</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fldChar w:fldCharType="end"/>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变化直接与液压动作、传递效率和传递精度有关，还要求油的粘温性能和剪切安定性应满足不同用途所提出的各种需求。</w:t>
                  </w:r>
                </w:p>
              </w:tc>
            </w:tr>
            <w:tr w14:paraId="0F297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dxa"/>
                  <w:shd w:val="clear" w:color="auto" w:fill="auto"/>
                  <w:vAlign w:val="center"/>
                </w:tcPr>
                <w:p w14:paraId="60C7CD2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9</w:t>
                  </w:r>
                </w:p>
              </w:tc>
              <w:tc>
                <w:tcPr>
                  <w:tcW w:w="1231" w:type="dxa"/>
                  <w:shd w:val="clear" w:color="auto" w:fill="auto"/>
                  <w:vAlign w:val="center"/>
                </w:tcPr>
                <w:p w14:paraId="3B04E17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天然气</w:t>
                  </w:r>
                </w:p>
              </w:tc>
              <w:tc>
                <w:tcPr>
                  <w:tcW w:w="6661" w:type="dxa"/>
                  <w:shd w:val="clear" w:color="auto" w:fill="auto"/>
                  <w:vAlign w:val="center"/>
                </w:tcPr>
                <w:p w14:paraId="36EF9CA4">
                  <w:pPr>
                    <w:keepNext w:val="0"/>
                    <w:keepLines w:val="0"/>
                    <w:suppressLineNumbers w:val="0"/>
                    <w:spacing w:before="0" w:beforeAutospacing="0" w:after="0" w:afterAutospacing="0" w:line="240" w:lineRule="auto"/>
                    <w:ind w:left="0" w:right="0" w:firstLine="420" w:firstLineChars="200"/>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2"/>
                      <w:sz w:val="21"/>
                      <w:szCs w:val="21"/>
                      <w:lang w:val="en-US" w:eastAsia="zh-CN" w:bidi="ar-SA"/>
                      <w14:textFill>
                        <w14:solidFill>
                          <w14:schemeClr w14:val="tx1"/>
                        </w14:solidFill>
                      </w14:textFill>
                    </w:rPr>
                    <w:t>主要成分烷烃，其中甲烷占绝大多数，另有少量的乙烷、丙烷和丁烷，此外一般有硫化氢、二氧化碳、氮和水汽和少量一氧化碳及微量的稀有气体，如氦和氩等。不溶于水，密度为0.7174kg/m</w:t>
                  </w:r>
                  <w:r>
                    <w:rPr>
                      <w:rFonts w:hint="default" w:ascii="Times New Roman" w:hAnsi="Times New Roman" w:eastAsia="宋体" w:cs="Times New Roman"/>
                      <w:color w:val="000000" w:themeColor="text1"/>
                      <w:spacing w:val="0"/>
                      <w:kern w:val="2"/>
                      <w:sz w:val="21"/>
                      <w:szCs w:val="21"/>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spacing w:val="0"/>
                      <w:kern w:val="2"/>
                      <w:sz w:val="21"/>
                      <w:szCs w:val="21"/>
                      <w:lang w:val="en-US" w:eastAsia="zh-CN" w:bidi="ar-SA"/>
                      <w14:textFill>
                        <w14:solidFill>
                          <w14:schemeClr w14:val="tx1"/>
                        </w14:solidFill>
                      </w14:textFill>
                    </w:rPr>
                    <w:t>，相对密度（水）</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为0.45（液化）燃点（℃）为650，爆炸极限（V%）为5-15。在标准状况下，甲烷至丁烷以气体状态存在，戊烷以上为液体。甲烷是最短和最轻的烃分子。天然气每立方燃烧热值为8000大卡至8500大卡。每公斤液化气燃烧热值为11000大卡。气态液化气的比重为0.55。每立方液化气燃烧热值为25200大卡。根据《天然气》（GB17820-2018）表1：天然气的质量要求，天然气总硫应≤100mg/m</w:t>
                  </w:r>
                  <w:r>
                    <w:rPr>
                      <w:rFonts w:hint="default" w:ascii="Times New Roman" w:hAnsi="Times New Roman" w:eastAsia="宋体" w:cs="Times New Roman"/>
                      <w:b w:val="0"/>
                      <w:bCs w:val="0"/>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7BFFA787">
            <w:pPr>
              <w:pStyle w:val="41"/>
              <w:keepNext w:val="0"/>
              <w:keepLines w:val="0"/>
              <w:suppressLineNumbers w:val="0"/>
              <w:spacing w:before="0" w:beforeAutospacing="0" w:after="0" w:afterAutospacing="0" w:line="360" w:lineRule="auto"/>
              <w:ind w:left="480" w:right="0"/>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（1）漆量核算</w:t>
            </w:r>
          </w:p>
          <w:p w14:paraId="19CAEC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color w:val="000000" w:themeColor="text1"/>
                <w:kern w:val="0"/>
                <w:sz w:val="24"/>
                <w:szCs w:val="20"/>
                <w14:textFill>
                  <w14:solidFill>
                    <w14:schemeClr w14:val="tx1"/>
                  </w14:solidFill>
                </w14:textFill>
              </w:rPr>
            </w:pPr>
            <w:r>
              <w:rPr>
                <w:rFonts w:hint="default"/>
                <w:b/>
                <w:color w:val="000000" w:themeColor="text1"/>
                <w:kern w:val="0"/>
                <w:sz w:val="24"/>
                <w:szCs w:val="20"/>
                <w14:textFill>
                  <w14:solidFill>
                    <w14:schemeClr w14:val="tx1"/>
                  </w14:solidFill>
                </w14:textFill>
              </w:rPr>
              <w:t>表2-9  漆料消耗量核算一览表</w:t>
            </w:r>
          </w:p>
          <w:tbl>
            <w:tblPr>
              <w:tblStyle w:val="61"/>
              <w:tblW w:w="8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713"/>
              <w:gridCol w:w="727"/>
              <w:gridCol w:w="914"/>
              <w:gridCol w:w="1056"/>
              <w:gridCol w:w="680"/>
              <w:gridCol w:w="848"/>
              <w:gridCol w:w="915"/>
              <w:gridCol w:w="641"/>
              <w:gridCol w:w="665"/>
              <w:gridCol w:w="804"/>
            </w:tblGrid>
            <w:tr w14:paraId="14A53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427" w:type="dxa"/>
                  <w:vAlign w:val="center"/>
                </w:tcPr>
                <w:p w14:paraId="18EFA50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类别</w:t>
                  </w:r>
                </w:p>
              </w:tc>
              <w:tc>
                <w:tcPr>
                  <w:tcW w:w="713" w:type="dxa"/>
                  <w:vAlign w:val="center"/>
                </w:tcPr>
                <w:p w14:paraId="3C9BA79C">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产品</w:t>
                  </w:r>
                </w:p>
              </w:tc>
              <w:tc>
                <w:tcPr>
                  <w:tcW w:w="727" w:type="dxa"/>
                  <w:vAlign w:val="center"/>
                </w:tcPr>
                <w:p w14:paraId="3A79D4E1">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color w:val="000000" w:themeColor="text1"/>
                      <w:szCs w:val="21"/>
                      <w14:textFill>
                        <w14:solidFill>
                          <w14:schemeClr w14:val="tx1"/>
                        </w14:solidFill>
                      </w14:textFill>
                    </w:rPr>
                    <w:t>产量</w:t>
                  </w:r>
                  <w:r>
                    <w:rPr>
                      <w:rFonts w:hint="default"/>
                      <w:b/>
                      <w:bCs/>
                      <w:color w:val="000000" w:themeColor="text1"/>
                      <w14:textFill>
                        <w14:solidFill>
                          <w14:schemeClr w14:val="tx1"/>
                        </w14:solidFill>
                      </w14:textFill>
                    </w:rPr>
                    <w:t>/</w:t>
                  </w:r>
                  <w:r>
                    <w:rPr>
                      <w:rFonts w:hint="default"/>
                      <w:b/>
                      <w:color w:val="000000" w:themeColor="text1"/>
                      <w:szCs w:val="21"/>
                      <w14:textFill>
                        <w14:solidFill>
                          <w14:schemeClr w14:val="tx1"/>
                        </w14:solidFill>
                      </w14:textFill>
                    </w:rPr>
                    <w:t>（</w:t>
                  </w:r>
                  <w:r>
                    <w:rPr>
                      <w:rFonts w:hint="eastAsia" w:ascii="Times New Roman" w:hAnsi="Times New Roman" w:cs="Times New Roman"/>
                      <w:b/>
                      <w:bCs/>
                      <w:color w:val="000000" w:themeColor="text1"/>
                      <w:sz w:val="21"/>
                      <w:szCs w:val="21"/>
                      <w14:textFill>
                        <w14:solidFill>
                          <w14:schemeClr w14:val="tx1"/>
                        </w14:solidFill>
                      </w14:textFill>
                    </w:rPr>
                    <w:t>万件/a</w:t>
                  </w:r>
                  <w:r>
                    <w:rPr>
                      <w:rFonts w:hint="default"/>
                      <w:b/>
                      <w:color w:val="000000" w:themeColor="text1"/>
                      <w:szCs w:val="21"/>
                      <w14:textFill>
                        <w14:solidFill>
                          <w14:schemeClr w14:val="tx1"/>
                        </w14:solidFill>
                      </w14:textFill>
                    </w:rPr>
                    <w:t>）</w:t>
                  </w:r>
                </w:p>
              </w:tc>
              <w:tc>
                <w:tcPr>
                  <w:tcW w:w="914" w:type="dxa"/>
                  <w:vAlign w:val="center"/>
                </w:tcPr>
                <w:p w14:paraId="6EE880F8">
                  <w:pPr>
                    <w:keepNext w:val="0"/>
                    <w:keepLines w:val="0"/>
                    <w:suppressLineNumbers w:val="0"/>
                    <w:spacing w:before="0" w:beforeAutospacing="0" w:after="0" w:afterAutospacing="0"/>
                    <w:ind w:left="0" w:right="0"/>
                    <w:jc w:val="center"/>
                    <w:rPr>
                      <w:rFonts w:hint="default"/>
                      <w:b/>
                      <w:color w:val="000000" w:themeColor="text1"/>
                      <w14:textFill>
                        <w14:solidFill>
                          <w14:schemeClr w14:val="tx1"/>
                        </w14:solidFill>
                      </w14:textFill>
                    </w:rPr>
                  </w:pPr>
                  <w:r>
                    <w:rPr>
                      <w:rFonts w:hint="default"/>
                      <w:b/>
                      <w:bCs/>
                      <w:color w:val="000000" w:themeColor="text1"/>
                      <w:szCs w:val="21"/>
                      <w14:textFill>
                        <w14:solidFill>
                          <w14:schemeClr w14:val="tx1"/>
                        </w14:solidFill>
                      </w14:textFill>
                    </w:rPr>
                    <w:t>单</w:t>
                  </w:r>
                  <w:r>
                    <w:rPr>
                      <w:rFonts w:hint="eastAsia" w:ascii="Times New Roman" w:hAnsi="Times New Roman" w:cs="Times New Roman"/>
                      <w:b/>
                      <w:bCs/>
                      <w:color w:val="000000" w:themeColor="text1"/>
                      <w:sz w:val="21"/>
                      <w:szCs w:val="21"/>
                      <w14:textFill>
                        <w14:solidFill>
                          <w14:schemeClr w14:val="tx1"/>
                        </w14:solidFill>
                      </w14:textFill>
                    </w:rPr>
                    <w:t>件</w:t>
                  </w:r>
                  <w:r>
                    <w:rPr>
                      <w:rFonts w:hint="default"/>
                      <w:b/>
                      <w:bCs/>
                      <w:color w:val="000000" w:themeColor="text1"/>
                      <w:szCs w:val="21"/>
                      <w14:textFill>
                        <w14:solidFill>
                          <w14:schemeClr w14:val="tx1"/>
                        </w14:solidFill>
                      </w14:textFill>
                    </w:rPr>
                    <w:t>涂装面积</w:t>
                  </w:r>
                  <w:r>
                    <w:rPr>
                      <w:rFonts w:hint="default"/>
                      <w:b/>
                      <w:bCs/>
                      <w:color w:val="000000" w:themeColor="text1"/>
                      <w14:textFill>
                        <w14:solidFill>
                          <w14:schemeClr w14:val="tx1"/>
                        </w14:solidFill>
                      </w14:textFill>
                    </w:rPr>
                    <w:t>/</w:t>
                  </w:r>
                  <w:r>
                    <w:rPr>
                      <w:rFonts w:hint="default"/>
                      <w:b/>
                      <w:color w:val="000000" w:themeColor="text1"/>
                      <w14:textFill>
                        <w14:solidFill>
                          <w14:schemeClr w14:val="tx1"/>
                        </w14:solidFill>
                      </w14:textFill>
                    </w:rPr>
                    <w:t>（</w:t>
                  </w:r>
                  <w:r>
                    <w:rPr>
                      <w:rFonts w:hint="default"/>
                      <w:b/>
                      <w:color w:val="000000" w:themeColor="text1"/>
                      <w:szCs w:val="21"/>
                      <w14:textFill>
                        <w14:solidFill>
                          <w14:schemeClr w14:val="tx1"/>
                        </w14:solidFill>
                      </w14:textFill>
                    </w:rPr>
                    <w:t>m</w:t>
                  </w:r>
                  <w:r>
                    <w:rPr>
                      <w:rFonts w:hint="default"/>
                      <w:b/>
                      <w:color w:val="000000" w:themeColor="text1"/>
                      <w:szCs w:val="21"/>
                      <w:vertAlign w:val="superscript"/>
                      <w14:textFill>
                        <w14:solidFill>
                          <w14:schemeClr w14:val="tx1"/>
                        </w14:solidFill>
                      </w14:textFill>
                    </w:rPr>
                    <w:t>2</w:t>
                  </w:r>
                  <w:r>
                    <w:rPr>
                      <w:rFonts w:hint="default"/>
                      <w:b/>
                      <w:color w:val="000000" w:themeColor="text1"/>
                      <w14:textFill>
                        <w14:solidFill>
                          <w14:schemeClr w14:val="tx1"/>
                        </w14:solidFill>
                      </w14:textFill>
                    </w:rPr>
                    <w:t>/</w:t>
                  </w:r>
                  <w:r>
                    <w:rPr>
                      <w:rFonts w:hint="eastAsia" w:ascii="Times New Roman" w:hAnsi="Times New Roman" w:cs="Times New Roman"/>
                      <w:b/>
                      <w:bCs/>
                      <w:color w:val="000000" w:themeColor="text1"/>
                      <w:sz w:val="21"/>
                      <w:szCs w:val="21"/>
                      <w14:textFill>
                        <w14:solidFill>
                          <w14:schemeClr w14:val="tx1"/>
                        </w14:solidFill>
                      </w14:textFill>
                    </w:rPr>
                    <w:t>件</w:t>
                  </w:r>
                  <w:r>
                    <w:rPr>
                      <w:rFonts w:hint="default"/>
                      <w:b/>
                      <w:color w:val="000000" w:themeColor="text1"/>
                      <w14:textFill>
                        <w14:solidFill>
                          <w14:schemeClr w14:val="tx1"/>
                        </w14:solidFill>
                      </w14:textFill>
                    </w:rPr>
                    <w:t>）</w:t>
                  </w:r>
                </w:p>
              </w:tc>
              <w:tc>
                <w:tcPr>
                  <w:tcW w:w="1056" w:type="dxa"/>
                  <w:vAlign w:val="center"/>
                </w:tcPr>
                <w:p w14:paraId="68A8A400">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总</w:t>
                  </w:r>
                  <w:r>
                    <w:rPr>
                      <w:rFonts w:hint="default"/>
                      <w:b/>
                      <w:bCs/>
                      <w:color w:val="000000" w:themeColor="text1"/>
                      <w:szCs w:val="21"/>
                      <w14:textFill>
                        <w14:solidFill>
                          <w14:schemeClr w14:val="tx1"/>
                        </w14:solidFill>
                      </w14:textFill>
                    </w:rPr>
                    <w:t>涂装</w:t>
                  </w:r>
                  <w:r>
                    <w:rPr>
                      <w:rFonts w:hint="default"/>
                      <w:b/>
                      <w:bCs/>
                      <w:color w:val="000000" w:themeColor="text1"/>
                      <w14:textFill>
                        <w14:solidFill>
                          <w14:schemeClr w14:val="tx1"/>
                        </w14:solidFill>
                      </w14:textFill>
                    </w:rPr>
                    <w:t>面积</w:t>
                  </w:r>
                </w:p>
                <w:p w14:paraId="28A88239">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w:t>
                  </w:r>
                  <w:r>
                    <w:rPr>
                      <w:rFonts w:hint="default"/>
                      <w:b/>
                      <w:color w:val="000000" w:themeColor="text1"/>
                      <w14:textFill>
                        <w14:solidFill>
                          <w14:schemeClr w14:val="tx1"/>
                        </w14:solidFill>
                      </w14:textFill>
                    </w:rPr>
                    <w:t>（</w:t>
                  </w:r>
                  <w:r>
                    <w:rPr>
                      <w:rFonts w:hint="default"/>
                      <w:b/>
                      <w:color w:val="000000" w:themeColor="text1"/>
                      <w:szCs w:val="21"/>
                      <w14:textFill>
                        <w14:solidFill>
                          <w14:schemeClr w14:val="tx1"/>
                        </w14:solidFill>
                      </w14:textFill>
                    </w:rPr>
                    <w:t>m</w:t>
                  </w:r>
                  <w:r>
                    <w:rPr>
                      <w:rFonts w:hint="default"/>
                      <w:b/>
                      <w:color w:val="000000" w:themeColor="text1"/>
                      <w:szCs w:val="21"/>
                      <w:vertAlign w:val="superscript"/>
                      <w14:textFill>
                        <w14:solidFill>
                          <w14:schemeClr w14:val="tx1"/>
                        </w14:solidFill>
                      </w14:textFill>
                    </w:rPr>
                    <w:t>2</w:t>
                  </w:r>
                  <w:r>
                    <w:rPr>
                      <w:rFonts w:hint="default"/>
                      <w:b/>
                      <w:color w:val="000000" w:themeColor="text1"/>
                      <w14:textFill>
                        <w14:solidFill>
                          <w14:schemeClr w14:val="tx1"/>
                        </w14:solidFill>
                      </w14:textFill>
                    </w:rPr>
                    <w:t>）</w:t>
                  </w:r>
                </w:p>
              </w:tc>
              <w:tc>
                <w:tcPr>
                  <w:tcW w:w="680" w:type="dxa"/>
                  <w:vAlign w:val="center"/>
                </w:tcPr>
                <w:p w14:paraId="63987F99">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干膜</w:t>
                  </w:r>
                </w:p>
                <w:p w14:paraId="6C6407F1">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厚度/μm</w:t>
                  </w:r>
                </w:p>
              </w:tc>
              <w:tc>
                <w:tcPr>
                  <w:tcW w:w="848" w:type="dxa"/>
                  <w:vAlign w:val="center"/>
                </w:tcPr>
                <w:p w14:paraId="54918FF3">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固体份含量/</w:t>
                  </w:r>
                </w:p>
              </w:tc>
              <w:tc>
                <w:tcPr>
                  <w:tcW w:w="915" w:type="dxa"/>
                  <w:vAlign w:val="center"/>
                </w:tcPr>
                <w:p w14:paraId="6F4C5097">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干膜</w:t>
                  </w:r>
                </w:p>
                <w:p w14:paraId="5DBC9F99">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密度/(g/cm</w:t>
                  </w:r>
                  <w:r>
                    <w:rPr>
                      <w:rFonts w:hint="default"/>
                      <w:b/>
                      <w:bCs/>
                      <w:color w:val="000000" w:themeColor="text1"/>
                      <w:vertAlign w:val="superscript"/>
                      <w14:textFill>
                        <w14:solidFill>
                          <w14:schemeClr w14:val="tx1"/>
                        </w14:solidFill>
                      </w14:textFill>
                    </w:rPr>
                    <w:t>3</w:t>
                  </w:r>
                  <w:r>
                    <w:rPr>
                      <w:rFonts w:hint="default"/>
                      <w:b/>
                      <w:bCs/>
                      <w:color w:val="000000" w:themeColor="text1"/>
                      <w14:textFill>
                        <w14:solidFill>
                          <w14:schemeClr w14:val="tx1"/>
                        </w14:solidFill>
                      </w14:textFill>
                    </w:rPr>
                    <w:t>)</w:t>
                  </w:r>
                </w:p>
              </w:tc>
              <w:tc>
                <w:tcPr>
                  <w:tcW w:w="641" w:type="dxa"/>
                  <w:vAlign w:val="center"/>
                </w:tcPr>
                <w:p w14:paraId="28439C68">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附着率</w:t>
                  </w:r>
                </w:p>
              </w:tc>
              <w:tc>
                <w:tcPr>
                  <w:tcW w:w="1469" w:type="dxa"/>
                  <w:gridSpan w:val="2"/>
                  <w:vAlign w:val="center"/>
                </w:tcPr>
                <w:p w14:paraId="44D403DE">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漆料使用量（t/a）</w:t>
                  </w:r>
                </w:p>
              </w:tc>
            </w:tr>
            <w:tr w14:paraId="7EFD5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427" w:type="dxa"/>
                  <w:vMerge w:val="restart"/>
                  <w:vAlign w:val="center"/>
                </w:tcPr>
                <w:p w14:paraId="22328060">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水性底漆</w:t>
                  </w:r>
                </w:p>
              </w:tc>
              <w:tc>
                <w:tcPr>
                  <w:tcW w:w="713" w:type="dxa"/>
                  <w:vAlign w:val="center"/>
                </w:tcPr>
                <w:p w14:paraId="0673AD6F">
                  <w:pPr>
                    <w:keepNext w:val="0"/>
                    <w:keepLines w:val="0"/>
                    <w:suppressLineNumbers w:val="0"/>
                    <w:spacing w:before="0" w:beforeAutospacing="0" w:after="0" w:afterAutospacing="0"/>
                    <w:ind w:left="0" w:right="0"/>
                    <w:jc w:val="center"/>
                    <w:rPr>
                      <w:rFonts w:hint="default"/>
                      <w:color w:val="000000" w:themeColor="text1"/>
                      <w:lang w:val="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光电设备配件</w:t>
                  </w:r>
                </w:p>
              </w:tc>
              <w:tc>
                <w:tcPr>
                  <w:tcW w:w="727" w:type="dxa"/>
                  <w:shd w:val="clear" w:color="auto" w:fill="auto"/>
                  <w:vAlign w:val="center"/>
                </w:tcPr>
                <w:p w14:paraId="1ED124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150</w:t>
                  </w:r>
                </w:p>
              </w:tc>
              <w:tc>
                <w:tcPr>
                  <w:tcW w:w="914" w:type="dxa"/>
                  <w:vAlign w:val="center"/>
                </w:tcPr>
                <w:p w14:paraId="587371DC">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0.004</w:t>
                  </w:r>
                </w:p>
              </w:tc>
              <w:tc>
                <w:tcPr>
                  <w:tcW w:w="1056" w:type="dxa"/>
                  <w:vAlign w:val="center"/>
                </w:tcPr>
                <w:p w14:paraId="5FE3F9CF">
                  <w:pPr>
                    <w:keepNext w:val="0"/>
                    <w:keepLines w:val="0"/>
                    <w:widowControl/>
                    <w:suppressLineNumbers w:val="0"/>
                    <w:spacing w:before="0" w:beforeAutospacing="0" w:after="0" w:afterAutospacing="0"/>
                    <w:ind w:left="0" w:right="0"/>
                    <w:jc w:val="center"/>
                    <w:textAlignment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6000</w:t>
                  </w:r>
                </w:p>
              </w:tc>
              <w:tc>
                <w:tcPr>
                  <w:tcW w:w="680" w:type="dxa"/>
                  <w:vAlign w:val="center"/>
                </w:tcPr>
                <w:p w14:paraId="47F361D3">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p>
              </w:tc>
              <w:tc>
                <w:tcPr>
                  <w:tcW w:w="848" w:type="dxa"/>
                  <w:vMerge w:val="restart"/>
                  <w:vAlign w:val="center"/>
                </w:tcPr>
                <w:p w14:paraId="5EFCBD8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62</w:t>
                  </w:r>
                  <w:r>
                    <w:rPr>
                      <w:rFonts w:hint="default"/>
                      <w:color w:val="000000" w:themeColor="text1"/>
                      <w14:textFill>
                        <w14:solidFill>
                          <w14:schemeClr w14:val="tx1"/>
                        </w14:solidFill>
                      </w14:textFill>
                    </w:rPr>
                    <w:t>%</w:t>
                  </w:r>
                </w:p>
              </w:tc>
              <w:tc>
                <w:tcPr>
                  <w:tcW w:w="915" w:type="dxa"/>
                  <w:vAlign w:val="center"/>
                </w:tcPr>
                <w:p w14:paraId="20FF069C">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w:t>
                  </w:r>
                </w:p>
              </w:tc>
              <w:tc>
                <w:tcPr>
                  <w:tcW w:w="641" w:type="dxa"/>
                  <w:vAlign w:val="center"/>
                </w:tcPr>
                <w:p w14:paraId="72AD551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50</w:t>
                  </w:r>
                  <w:r>
                    <w:rPr>
                      <w:rFonts w:hint="default"/>
                      <w:color w:val="000000" w:themeColor="text1"/>
                      <w14:textFill>
                        <w14:solidFill>
                          <w14:schemeClr w14:val="tx1"/>
                        </w14:solidFill>
                      </w14:textFill>
                    </w:rPr>
                    <w:t>%</w:t>
                  </w:r>
                </w:p>
              </w:tc>
              <w:tc>
                <w:tcPr>
                  <w:tcW w:w="665" w:type="dxa"/>
                  <w:vAlign w:val="center"/>
                </w:tcPr>
                <w:p w14:paraId="7EA6BCC1">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1.258</w:t>
                  </w:r>
                </w:p>
              </w:tc>
              <w:tc>
                <w:tcPr>
                  <w:tcW w:w="804" w:type="dxa"/>
                  <w:vMerge w:val="restart"/>
                  <w:vAlign w:val="center"/>
                </w:tcPr>
                <w:p w14:paraId="5DA4311F">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5.368</w:t>
                  </w:r>
                </w:p>
              </w:tc>
            </w:tr>
            <w:tr w14:paraId="42A9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427" w:type="dxa"/>
                  <w:vMerge w:val="continue"/>
                  <w:vAlign w:val="center"/>
                </w:tcPr>
                <w:p w14:paraId="5862BBD6">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713" w:type="dxa"/>
                  <w:vAlign w:val="center"/>
                </w:tcPr>
                <w:p w14:paraId="5ECCF3C1">
                  <w:pPr>
                    <w:keepNext w:val="0"/>
                    <w:keepLines w:val="0"/>
                    <w:suppressLineNumbers w:val="0"/>
                    <w:spacing w:before="0" w:beforeAutospacing="0" w:after="0" w:afterAutospacing="0"/>
                    <w:ind w:left="0" w:right="0"/>
                    <w:jc w:val="center"/>
                    <w:rPr>
                      <w:rFonts w:hint="default"/>
                      <w:color w:val="000000" w:themeColor="text1"/>
                      <w:lang w:val="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汽车零部件</w:t>
                  </w:r>
                </w:p>
              </w:tc>
              <w:tc>
                <w:tcPr>
                  <w:tcW w:w="727" w:type="dxa"/>
                  <w:shd w:val="clear" w:color="auto" w:fill="auto"/>
                  <w:vAlign w:val="center"/>
                </w:tcPr>
                <w:p w14:paraId="77B02C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w:t>
                  </w:r>
                </w:p>
              </w:tc>
              <w:tc>
                <w:tcPr>
                  <w:tcW w:w="914" w:type="dxa"/>
                  <w:vAlign w:val="center"/>
                </w:tcPr>
                <w:p w14:paraId="3CA22820">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0.07</w:t>
                  </w:r>
                </w:p>
              </w:tc>
              <w:tc>
                <w:tcPr>
                  <w:tcW w:w="1056" w:type="dxa"/>
                  <w:shd w:val="clear" w:color="auto" w:fill="auto"/>
                  <w:vAlign w:val="center"/>
                </w:tcPr>
                <w:p w14:paraId="33EA2CB7">
                  <w:pPr>
                    <w:keepNext w:val="0"/>
                    <w:keepLines w:val="0"/>
                    <w:widowControl/>
                    <w:suppressLineNumbers w:val="0"/>
                    <w:spacing w:before="0" w:beforeAutospacing="0" w:after="0" w:afterAutospacing="0"/>
                    <w:ind w:left="0" w:right="0"/>
                    <w:jc w:val="center"/>
                    <w:textAlignment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14000</w:t>
                  </w:r>
                </w:p>
              </w:tc>
              <w:tc>
                <w:tcPr>
                  <w:tcW w:w="680" w:type="dxa"/>
                  <w:vAlign w:val="center"/>
                </w:tcPr>
                <w:p w14:paraId="39C24132">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70</w:t>
                  </w:r>
                </w:p>
              </w:tc>
              <w:tc>
                <w:tcPr>
                  <w:tcW w:w="848" w:type="dxa"/>
                  <w:vMerge w:val="continue"/>
                  <w:vAlign w:val="center"/>
                </w:tcPr>
                <w:p w14:paraId="6C4BF766">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915" w:type="dxa"/>
                  <w:vAlign w:val="center"/>
                </w:tcPr>
                <w:p w14:paraId="395EF4E6">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w:t>
                  </w:r>
                </w:p>
              </w:tc>
              <w:tc>
                <w:tcPr>
                  <w:tcW w:w="641" w:type="dxa"/>
                  <w:vAlign w:val="center"/>
                </w:tcPr>
                <w:p w14:paraId="0AE5E450">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50</w:t>
                  </w:r>
                  <w:r>
                    <w:rPr>
                      <w:rFonts w:hint="default"/>
                      <w:color w:val="000000" w:themeColor="text1"/>
                      <w14:textFill>
                        <w14:solidFill>
                          <w14:schemeClr w14:val="tx1"/>
                        </w14:solidFill>
                      </w14:textFill>
                    </w:rPr>
                    <w:t>%</w:t>
                  </w:r>
                </w:p>
              </w:tc>
              <w:tc>
                <w:tcPr>
                  <w:tcW w:w="665" w:type="dxa"/>
                  <w:vAlign w:val="center"/>
                </w:tcPr>
                <w:p w14:paraId="72998502">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4.11</w:t>
                  </w:r>
                </w:p>
              </w:tc>
              <w:tc>
                <w:tcPr>
                  <w:tcW w:w="804" w:type="dxa"/>
                  <w:vMerge w:val="continue"/>
                  <w:vAlign w:val="center"/>
                </w:tcPr>
                <w:p w14:paraId="03327B1C">
                  <w:pPr>
                    <w:keepNext w:val="0"/>
                    <w:keepLines w:val="0"/>
                    <w:suppressLineNumbers w:val="0"/>
                    <w:spacing w:before="0" w:beforeAutospacing="0" w:after="0" w:afterAutospacing="0"/>
                    <w:ind w:left="0" w:right="0"/>
                    <w:jc w:val="center"/>
                    <w:rPr>
                      <w:rFonts w:hint="eastAsia" w:eastAsia="宋体"/>
                      <w:color w:val="000000" w:themeColor="text1"/>
                      <w:lang w:val="en-US" w:eastAsia="zh-CN"/>
                      <w14:textFill>
                        <w14:solidFill>
                          <w14:schemeClr w14:val="tx1"/>
                        </w14:solidFill>
                      </w14:textFill>
                    </w:rPr>
                  </w:pPr>
                </w:p>
              </w:tc>
            </w:tr>
            <w:tr w14:paraId="35CA7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8390" w:type="dxa"/>
                  <w:gridSpan w:val="11"/>
                  <w:vAlign w:val="center"/>
                </w:tcPr>
                <w:p w14:paraId="43CCC23E">
                  <w:pPr>
                    <w:keepNext w:val="0"/>
                    <w:keepLines w:val="0"/>
                    <w:numPr>
                      <w:ilvl w:val="0"/>
                      <w:numId w:val="4"/>
                    </w:numPr>
                    <w:suppressLineNumbers w:val="0"/>
                    <w:spacing w:before="0" w:beforeAutospacing="0" w:after="0" w:afterAutospacing="0" w:line="240" w:lineRule="auto"/>
                    <w:ind w:left="0" w:right="0"/>
                    <w:jc w:val="left"/>
                    <w:rPr>
                      <w:rFonts w:hint="eastAsia"/>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产品规格不均，喷</w:t>
                  </w:r>
                  <w:r>
                    <w:rPr>
                      <w:rFonts w:hint="eastAsia"/>
                      <w:color w:val="000000" w:themeColor="text1"/>
                      <w:sz w:val="21"/>
                      <w:szCs w:val="21"/>
                      <w:lang w:val="en-US" w:eastAsia="zh-CN"/>
                      <w14:textFill>
                        <w14:solidFill>
                          <w14:schemeClr w14:val="tx1"/>
                        </w14:solidFill>
                      </w14:textFill>
                    </w:rPr>
                    <w:t>漆</w:t>
                  </w:r>
                  <w:r>
                    <w:rPr>
                      <w:rFonts w:hint="default"/>
                      <w:color w:val="000000" w:themeColor="text1"/>
                      <w:sz w:val="21"/>
                      <w:szCs w:val="21"/>
                      <w14:textFill>
                        <w14:solidFill>
                          <w14:schemeClr w14:val="tx1"/>
                        </w14:solidFill>
                      </w14:textFill>
                    </w:rPr>
                    <w:t>面积按最大规格产品计，每道漆均喷一次。</w:t>
                  </w:r>
                </w:p>
                <w:p w14:paraId="6C7425EE">
                  <w:pPr>
                    <w:keepNext w:val="0"/>
                    <w:keepLines w:val="0"/>
                    <w:numPr>
                      <w:ilvl w:val="0"/>
                      <w:numId w:val="4"/>
                    </w:numPr>
                    <w:suppressLineNumbers w:val="0"/>
                    <w:spacing w:before="0" w:beforeAutospacing="0" w:after="0" w:afterAutospacing="0" w:line="240" w:lineRule="auto"/>
                    <w:ind w:left="0" w:right="0"/>
                    <w:jc w:val="left"/>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干膜厚度为建设单位根据同行业经验数据提供；</w:t>
                  </w:r>
                </w:p>
                <w:p w14:paraId="431A568C">
                  <w:pPr>
                    <w:keepNext w:val="0"/>
                    <w:keepLines w:val="0"/>
                    <w:numPr>
                      <w:ilvl w:val="0"/>
                      <w:numId w:val="4"/>
                    </w:numPr>
                    <w:suppressLineNumbers w:val="0"/>
                    <w:spacing w:before="0" w:beforeAutospacing="0" w:after="0" w:afterAutospacing="0" w:line="240" w:lineRule="auto"/>
                    <w:ind w:left="0" w:right="0"/>
                    <w:jc w:val="left"/>
                    <w:rPr>
                      <w:rFonts w:hint="eastAsia"/>
                      <w:color w:val="000000" w:themeColor="text1"/>
                      <w:sz w:val="21"/>
                      <w:szCs w:val="21"/>
                      <w:lang w:eastAsia="zh-CN"/>
                      <w14:textFill>
                        <w14:solidFill>
                          <w14:schemeClr w14:val="tx1"/>
                        </w14:solidFill>
                      </w14:textFill>
                    </w:rPr>
                  </w:pPr>
                  <w:r>
                    <w:rPr>
                      <w:rFonts w:hint="default"/>
                      <w:color w:val="000000" w:themeColor="text1"/>
                      <w:sz w:val="21"/>
                      <w:szCs w:val="21"/>
                      <w14:textFill>
                        <w14:solidFill>
                          <w14:schemeClr w14:val="tx1"/>
                        </w14:solidFill>
                      </w14:textFill>
                    </w:rPr>
                    <w:t>干漆膜密度一般按1.3～1.4g/cm</w:t>
                  </w:r>
                  <w:r>
                    <w:rPr>
                      <w:rFonts w:hint="default"/>
                      <w:color w:val="000000" w:themeColor="text1"/>
                      <w:sz w:val="21"/>
                      <w:szCs w:val="21"/>
                      <w:vertAlign w:val="superscript"/>
                      <w14:textFill>
                        <w14:solidFill>
                          <w14:schemeClr w14:val="tx1"/>
                        </w14:solidFill>
                      </w14:textFill>
                    </w:rPr>
                    <w:t>3</w:t>
                  </w:r>
                  <w:r>
                    <w:rPr>
                      <w:rFonts w:hint="default"/>
                      <w:color w:val="000000" w:themeColor="text1"/>
                      <w:sz w:val="21"/>
                      <w:szCs w:val="21"/>
                      <w14:textFill>
                        <w14:solidFill>
                          <w14:schemeClr w14:val="tx1"/>
                        </w14:solidFill>
                      </w14:textFill>
                    </w:rPr>
                    <w:t>计算（本环评</w:t>
                  </w:r>
                  <w:r>
                    <w:rPr>
                      <w:rFonts w:hint="eastAsia"/>
                      <w:color w:val="000000" w:themeColor="text1"/>
                      <w:sz w:val="21"/>
                      <w:szCs w:val="21"/>
                      <w:lang w:val="en-US" w:eastAsia="zh-CN"/>
                      <w14:textFill>
                        <w14:solidFill>
                          <w14:schemeClr w14:val="tx1"/>
                        </w14:solidFill>
                      </w14:textFill>
                    </w:rPr>
                    <w:t>即用状态下水性底漆按1.3</w:t>
                  </w:r>
                  <w:r>
                    <w:rPr>
                      <w:rFonts w:hint="default"/>
                      <w:color w:val="000000" w:themeColor="text1"/>
                      <w:sz w:val="21"/>
                      <w:szCs w:val="21"/>
                      <w14:textFill>
                        <w14:solidFill>
                          <w14:schemeClr w14:val="tx1"/>
                        </w14:solidFill>
                      </w14:textFill>
                    </w:rPr>
                    <w:t>g/cm</w:t>
                  </w:r>
                  <w:r>
                    <w:rPr>
                      <w:rFonts w:hint="default"/>
                      <w:color w:val="000000" w:themeColor="text1"/>
                      <w:sz w:val="21"/>
                      <w:szCs w:val="21"/>
                      <w:vertAlign w:val="superscript"/>
                      <w14:textFill>
                        <w14:solidFill>
                          <w14:schemeClr w14:val="tx1"/>
                        </w14:solidFill>
                      </w14:textFill>
                    </w:rPr>
                    <w:t>3</w:t>
                  </w:r>
                  <w:r>
                    <w:rPr>
                      <w:rFonts w:hint="default"/>
                      <w:color w:val="000000" w:themeColor="text1"/>
                      <w:sz w:val="21"/>
                      <w:szCs w:val="21"/>
                      <w14:textFill>
                        <w14:solidFill>
                          <w14:schemeClr w14:val="tx1"/>
                        </w14:solidFill>
                      </w14:textFill>
                    </w:rPr>
                    <w:t>计算）</w:t>
                  </w:r>
                  <w:r>
                    <w:rPr>
                      <w:rFonts w:hint="eastAsia"/>
                      <w:color w:val="000000" w:themeColor="text1"/>
                      <w:sz w:val="21"/>
                      <w:szCs w:val="21"/>
                      <w:lang w:eastAsia="zh-CN"/>
                      <w14:textFill>
                        <w14:solidFill>
                          <w14:schemeClr w14:val="tx1"/>
                        </w14:solidFill>
                      </w14:textFill>
                    </w:rPr>
                    <w:t>；</w:t>
                  </w:r>
                </w:p>
                <w:p w14:paraId="09D40935">
                  <w:pPr>
                    <w:keepNext w:val="0"/>
                    <w:keepLines w:val="0"/>
                    <w:numPr>
                      <w:ilvl w:val="0"/>
                      <w:numId w:val="4"/>
                    </w:numPr>
                    <w:suppressLineNumbers w:val="0"/>
                    <w:spacing w:before="0" w:beforeAutospacing="0" w:after="0" w:afterAutospacing="0" w:line="240" w:lineRule="auto"/>
                    <w:ind w:left="0" w:right="0"/>
                    <w:jc w:val="left"/>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根据</w:t>
                  </w:r>
                  <w:r>
                    <w:rPr>
                      <w:rFonts w:hint="eastAsia"/>
                      <w:color w:val="000000" w:themeColor="text1"/>
                      <w:sz w:val="21"/>
                      <w:szCs w:val="21"/>
                      <w14:textFill>
                        <w14:solidFill>
                          <w14:schemeClr w14:val="tx1"/>
                        </w14:solidFill>
                      </w14:textFill>
                    </w:rPr>
                    <w:t>《污染源源强核算技术指南</w:t>
                  </w:r>
                  <w:r>
                    <w:rPr>
                      <w:rFonts w:hint="default"/>
                      <w:color w:val="000000" w:themeColor="text1"/>
                      <w:sz w:val="21"/>
                      <w:szCs w:val="21"/>
                      <w14:textFill>
                        <w14:solidFill>
                          <w14:schemeClr w14:val="tx1"/>
                        </w14:solidFill>
                      </w14:textFill>
                    </w:rPr>
                    <w:t xml:space="preserve"> </w:t>
                  </w:r>
                  <w:r>
                    <w:rPr>
                      <w:rFonts w:hint="eastAsia"/>
                      <w:color w:val="000000" w:themeColor="text1"/>
                      <w:sz w:val="21"/>
                      <w:szCs w:val="21"/>
                      <w14:textFill>
                        <w14:solidFill>
                          <w14:schemeClr w14:val="tx1"/>
                        </w14:solidFill>
                      </w14:textFill>
                    </w:rPr>
                    <w:t>汽车制造》</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HJ 1097-2020）附录E，本项目产品汽车零部件属于水性涂料喷涂-静电喷涂-零部件喷涂，物料中固体分附着率为50%；</w:t>
                  </w:r>
                  <w:r>
                    <w:rPr>
                      <w:rFonts w:hint="default" w:ascii="Times New Roman" w:hAnsi="Times New Roman" w:cs="Times New Roman"/>
                      <w:color w:val="000000" w:themeColor="text1"/>
                      <w:sz w:val="21"/>
                      <w:szCs w:val="21"/>
                      <w14:textFill>
                        <w14:solidFill>
                          <w14:schemeClr w14:val="tx1"/>
                        </w14:solidFill>
                      </w14:textFill>
                    </w:rPr>
                    <w:t>光电设备配件</w:t>
                  </w:r>
                  <w:r>
                    <w:rPr>
                      <w:rFonts w:hint="eastAsia" w:ascii="Times New Roman" w:hAnsi="Times New Roman" w:cs="Times New Roman"/>
                      <w:color w:val="000000" w:themeColor="text1"/>
                      <w:sz w:val="21"/>
                      <w:szCs w:val="21"/>
                      <w:lang w:val="en-US" w:eastAsia="zh-CN"/>
                      <w14:textFill>
                        <w14:solidFill>
                          <w14:schemeClr w14:val="tx1"/>
                        </w14:solidFill>
                      </w14:textFill>
                    </w:rPr>
                    <w:t>和通讯五金部件喷涂工艺和汽车零部件喷涂工艺一致，故参照汽车零部件</w:t>
                  </w:r>
                  <w:r>
                    <w:rPr>
                      <w:rFonts w:hint="eastAsia"/>
                      <w:color w:val="000000" w:themeColor="text1"/>
                      <w:sz w:val="21"/>
                      <w:szCs w:val="21"/>
                      <w:lang w:val="en-US" w:eastAsia="zh-CN"/>
                      <w14:textFill>
                        <w14:solidFill>
                          <w14:schemeClr w14:val="tx1"/>
                        </w14:solidFill>
                      </w14:textFill>
                    </w:rPr>
                    <w:t>物料中固体分附着率，以50%计。</w:t>
                  </w:r>
                </w:p>
              </w:tc>
            </w:tr>
          </w:tbl>
          <w:p w14:paraId="27103A0B">
            <w:pPr>
              <w:pStyle w:val="34"/>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000000" w:themeColor="text1"/>
                <w:kern w:val="2"/>
                <w:sz w:val="24"/>
                <w:szCs w:val="24"/>
                <w14:textFill>
                  <w14:solidFill>
                    <w14:schemeClr w14:val="tx1"/>
                  </w14:solidFill>
                </w14:textFill>
              </w:rPr>
            </w:pPr>
            <w:r>
              <w:rPr>
                <w:rFonts w:hint="default" w:ascii="Times New Roman" w:hAnsi="Times New Roman"/>
                <w:color w:val="000000" w:themeColor="text1"/>
                <w:sz w:val="24"/>
                <w:szCs w:val="24"/>
                <w14:textFill>
                  <w14:solidFill>
                    <w14:schemeClr w14:val="tx1"/>
                  </w14:solidFill>
                </w14:textFill>
              </w:rPr>
              <w:t>①</w:t>
            </w:r>
            <w:r>
              <w:rPr>
                <w:rFonts w:hint="eastAsia" w:ascii="Times New Roman" w:hAnsi="Times New Roman"/>
                <w:color w:val="000000" w:themeColor="text1"/>
                <w:sz w:val="24"/>
                <w:szCs w:val="24"/>
                <w:lang w:eastAsia="zh-CN"/>
                <w14:textFill>
                  <w14:solidFill>
                    <w14:schemeClr w14:val="tx1"/>
                  </w14:solidFill>
                </w14:textFill>
              </w:rPr>
              <w:t>水性底漆</w:t>
            </w:r>
            <w:r>
              <w:rPr>
                <w:rFonts w:hint="default" w:ascii="Times New Roman" w:hAnsi="Times New Roman"/>
                <w:color w:val="000000" w:themeColor="text1"/>
                <w:kern w:val="2"/>
                <w:sz w:val="24"/>
                <w:szCs w:val="24"/>
                <w14:textFill>
                  <w14:solidFill>
                    <w14:schemeClr w14:val="tx1"/>
                  </w14:solidFill>
                </w14:textFill>
              </w:rPr>
              <w:t>核算</w:t>
            </w:r>
          </w:p>
          <w:p w14:paraId="18768ADD">
            <w:pPr>
              <w:pStyle w:val="34"/>
              <w:keepNext w:val="0"/>
              <w:keepLines w:val="0"/>
              <w:suppressLineNumbers w:val="0"/>
              <w:spacing w:before="0" w:beforeAutospacing="0" w:after="0" w:afterAutospacing="0" w:line="360" w:lineRule="auto"/>
              <w:ind w:left="0" w:right="0" w:firstLine="480"/>
              <w:rPr>
                <w:rFonts w:hint="eastAsia" w:ascii="Times New Roman" w:hAnsi="Times New Roman" w:eastAsia="宋体"/>
                <w:color w:val="000000" w:themeColor="text1"/>
                <w:kern w:val="2"/>
                <w:sz w:val="24"/>
                <w:szCs w:val="24"/>
                <w:highlight w:val="none"/>
                <w:lang w:val="en-US" w:eastAsia="zh-CN"/>
                <w14:textFill>
                  <w14:solidFill>
                    <w14:schemeClr w14:val="tx1"/>
                  </w14:solidFill>
                </w14:textFill>
              </w:rPr>
            </w:pPr>
            <w:r>
              <w:rPr>
                <w:rFonts w:hint="default" w:ascii="Times New Roman" w:hAnsi="Times New Roman"/>
                <w:color w:val="000000" w:themeColor="text1"/>
                <w:kern w:val="2"/>
                <w:sz w:val="24"/>
                <w:szCs w:val="24"/>
                <w:highlight w:val="none"/>
                <w14:textFill>
                  <w14:solidFill>
                    <w14:schemeClr w14:val="tx1"/>
                  </w14:solidFill>
                </w14:textFill>
              </w:rPr>
              <w:t>根据企业提供资料，项目</w:t>
            </w:r>
            <w:r>
              <w:rPr>
                <w:rFonts w:hint="eastAsia" w:ascii="Times New Roman" w:hAnsi="Times New Roman"/>
                <w:color w:val="000000" w:themeColor="text1"/>
                <w:kern w:val="2"/>
                <w:sz w:val="24"/>
                <w:szCs w:val="24"/>
                <w:highlight w:val="none"/>
                <w:lang w:eastAsia="zh-CN"/>
                <w14:textFill>
                  <w14:solidFill>
                    <w14:schemeClr w14:val="tx1"/>
                  </w14:solidFill>
                </w14:textFill>
              </w:rPr>
              <w:t>水性底漆</w:t>
            </w:r>
            <w:r>
              <w:rPr>
                <w:rFonts w:hint="default" w:ascii="Times New Roman" w:hAnsi="Times New Roman"/>
                <w:color w:val="000000" w:themeColor="text1"/>
                <w:kern w:val="2"/>
                <w:sz w:val="24"/>
                <w:szCs w:val="24"/>
                <w:highlight w:val="none"/>
                <w14:textFill>
                  <w14:solidFill>
                    <w14:schemeClr w14:val="tx1"/>
                  </w14:solidFill>
                </w14:textFill>
              </w:rPr>
              <w:t>：水=</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1：10</w:t>
            </w:r>
            <w:r>
              <w:rPr>
                <w:rFonts w:hint="default" w:ascii="Times New Roman" w:hAnsi="Times New Roman"/>
                <w:color w:val="000000" w:themeColor="text1"/>
                <w:kern w:val="2"/>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lang w:eastAsia="zh-CN"/>
                <w14:textFill>
                  <w14:solidFill>
                    <w14:schemeClr w14:val="tx1"/>
                  </w14:solidFill>
                </w14:textFill>
              </w:rPr>
              <w:t>水性底漆</w:t>
            </w:r>
            <w:r>
              <w:rPr>
                <w:rFonts w:hint="default" w:ascii="Times New Roman" w:hAnsi="Times New Roman"/>
                <w:color w:val="000000" w:themeColor="text1"/>
                <w:kern w:val="2"/>
                <w:sz w:val="24"/>
                <w:szCs w:val="24"/>
                <w:highlight w:val="none"/>
                <w14:textFill>
                  <w14:solidFill>
                    <w14:schemeClr w14:val="tx1"/>
                  </w14:solidFill>
                </w14:textFill>
              </w:rPr>
              <w:t>干膜密度约为1.3g/cm</w:t>
            </w:r>
            <w:r>
              <w:rPr>
                <w:rFonts w:hint="default" w:ascii="Times New Roman" w:hAnsi="Times New Roman"/>
                <w:color w:val="000000" w:themeColor="text1"/>
                <w:kern w:val="2"/>
                <w:sz w:val="24"/>
                <w:szCs w:val="24"/>
                <w:highlight w:val="none"/>
                <w:vertAlign w:val="superscript"/>
                <w14:textFill>
                  <w14:solidFill>
                    <w14:schemeClr w14:val="tx1"/>
                  </w14:solidFill>
                </w14:textFill>
              </w:rPr>
              <w:t>3</w:t>
            </w:r>
            <w:r>
              <w:rPr>
                <w:rFonts w:hint="default" w:ascii="Times New Roman" w:hAnsi="Times New Roman"/>
                <w:color w:val="000000" w:themeColor="text1"/>
                <w:kern w:val="2"/>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lang w:eastAsia="zh-CN"/>
                <w14:textFill>
                  <w14:solidFill>
                    <w14:schemeClr w14:val="tx1"/>
                  </w14:solidFill>
                </w14:textFill>
              </w:rPr>
              <w:t>水性底漆</w:t>
            </w:r>
            <w:r>
              <w:rPr>
                <w:rFonts w:hint="default" w:ascii="Times New Roman" w:hAnsi="Times New Roman"/>
                <w:color w:val="000000" w:themeColor="text1"/>
                <w:kern w:val="2"/>
                <w:sz w:val="24"/>
                <w:szCs w:val="24"/>
                <w:highlight w:val="none"/>
                <w14:textFill>
                  <w14:solidFill>
                    <w14:schemeClr w14:val="tx1"/>
                  </w14:solidFill>
                </w14:textFill>
              </w:rPr>
              <w:t>固体份含量</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62</w:t>
            </w:r>
            <w:r>
              <w:rPr>
                <w:rFonts w:hint="default" w:ascii="Times New Roman" w:hAnsi="Times New Roman"/>
                <w:color w:val="000000" w:themeColor="text1"/>
                <w:kern w:val="2"/>
                <w:sz w:val="24"/>
                <w:szCs w:val="24"/>
                <w:highlight w:val="none"/>
                <w14:textFill>
                  <w14:solidFill>
                    <w14:schemeClr w14:val="tx1"/>
                  </w14:solidFill>
                </w14:textFill>
              </w:rPr>
              <w:t>%，挥发份含量为</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8</w:t>
            </w:r>
            <w:r>
              <w:rPr>
                <w:rFonts w:hint="default" w:ascii="Times New Roman" w:hAnsi="Times New Roman"/>
                <w:color w:val="000000" w:themeColor="text1"/>
                <w:kern w:val="2"/>
                <w:sz w:val="24"/>
                <w:szCs w:val="24"/>
                <w:highlight w:val="none"/>
                <w14:textFill>
                  <w14:solidFill>
                    <w14:schemeClr w14:val="tx1"/>
                  </w14:solidFill>
                </w14:textFill>
              </w:rPr>
              <w:t>%，水份含量为</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30</w:t>
            </w:r>
            <w:r>
              <w:rPr>
                <w:rFonts w:hint="default" w:ascii="Times New Roman" w:hAnsi="Times New Roman"/>
                <w:color w:val="000000" w:themeColor="text1"/>
                <w:kern w:val="2"/>
                <w:sz w:val="24"/>
                <w:szCs w:val="24"/>
                <w:highlight w:val="none"/>
                <w14:textFill>
                  <w14:solidFill>
                    <w14:schemeClr w14:val="tx1"/>
                  </w14:solidFill>
                </w14:textFill>
              </w:rPr>
              <w:t>%</w:t>
            </w:r>
            <w:r>
              <w:rPr>
                <w:rFonts w:hint="eastAsia" w:ascii="Times New Roman" w:hAnsi="Times New Roman"/>
                <w:color w:val="000000" w:themeColor="text1"/>
                <w:kern w:val="2"/>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光电设备配件</w:t>
            </w:r>
            <w:r>
              <w:rPr>
                <w:rFonts w:hint="default" w:ascii="Times New Roman" w:hAnsi="Times New Roman"/>
                <w:color w:val="000000" w:themeColor="text1"/>
                <w:kern w:val="2"/>
                <w:sz w:val="24"/>
                <w:szCs w:val="24"/>
                <w:highlight w:val="none"/>
                <w14:textFill>
                  <w14:solidFill>
                    <w14:schemeClr w14:val="tx1"/>
                  </w14:solidFill>
                </w14:textFill>
              </w:rPr>
              <w:t>喷涂</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干膜</w:t>
            </w:r>
            <w:r>
              <w:rPr>
                <w:rFonts w:hint="default" w:ascii="Times New Roman" w:hAnsi="Times New Roman"/>
                <w:color w:val="000000" w:themeColor="text1"/>
                <w:kern w:val="2"/>
                <w:sz w:val="24"/>
                <w:szCs w:val="24"/>
                <w:highlight w:val="none"/>
                <w14:textFill>
                  <w14:solidFill>
                    <w14:schemeClr w14:val="tx1"/>
                  </w14:solidFill>
                </w14:textFill>
              </w:rPr>
              <w:t>厚度</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50</w:t>
            </w:r>
            <w:r>
              <w:rPr>
                <w:rFonts w:hint="default" w:ascii="Times New Roman" w:hAnsi="Times New Roman"/>
                <w:color w:val="000000" w:themeColor="text1"/>
                <w:sz w:val="24"/>
                <w:szCs w:val="24"/>
                <w:highlight w:val="none"/>
                <w:shd w:val="clear" w:color="auto" w:fill="FFFFFF"/>
                <w14:textFill>
                  <w14:solidFill>
                    <w14:schemeClr w14:val="tx1"/>
                  </w14:solidFill>
                </w14:textFill>
              </w:rPr>
              <w:t>μm</w:t>
            </w:r>
            <w:r>
              <w:rPr>
                <w:rFonts w:hint="default" w:ascii="Times New Roman" w:hAnsi="Times New Roman"/>
                <w:color w:val="000000" w:themeColor="text1"/>
                <w:kern w:val="2"/>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汽车零部件</w:t>
            </w:r>
            <w:r>
              <w:rPr>
                <w:rFonts w:hint="default" w:ascii="Times New Roman" w:hAnsi="Times New Roman"/>
                <w:color w:val="000000" w:themeColor="text1"/>
                <w:kern w:val="2"/>
                <w:sz w:val="24"/>
                <w:szCs w:val="24"/>
                <w:highlight w:val="none"/>
                <w14:textFill>
                  <w14:solidFill>
                    <w14:schemeClr w14:val="tx1"/>
                  </w14:solidFill>
                </w14:textFill>
              </w:rPr>
              <w:t>喷涂</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干膜</w:t>
            </w:r>
            <w:r>
              <w:rPr>
                <w:rFonts w:hint="default" w:ascii="Times New Roman" w:hAnsi="Times New Roman"/>
                <w:color w:val="000000" w:themeColor="text1"/>
                <w:kern w:val="2"/>
                <w:sz w:val="24"/>
                <w:szCs w:val="24"/>
                <w:highlight w:val="none"/>
                <w14:textFill>
                  <w14:solidFill>
                    <w14:schemeClr w14:val="tx1"/>
                  </w14:solidFill>
                </w14:textFill>
              </w:rPr>
              <w:t>厚度</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70</w:t>
            </w:r>
            <w:r>
              <w:rPr>
                <w:rFonts w:hint="default" w:ascii="Times New Roman" w:hAnsi="Times New Roman"/>
                <w:color w:val="000000" w:themeColor="text1"/>
                <w:sz w:val="24"/>
                <w:szCs w:val="24"/>
                <w:highlight w:val="none"/>
                <w:shd w:val="clear" w:color="auto" w:fill="FFFFFF"/>
                <w14:textFill>
                  <w14:solidFill>
                    <w14:schemeClr w14:val="tx1"/>
                  </w14:solidFill>
                </w14:textFill>
              </w:rPr>
              <w:t>μm</w:t>
            </w:r>
            <w:r>
              <w:rPr>
                <w:rFonts w:hint="eastAsia" w:ascii="Times New Roman" w:hAnsi="Times New Roman"/>
                <w:color w:val="000000" w:themeColor="text1"/>
                <w:kern w:val="2"/>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光电设备配件</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喷涂面积为</w:t>
            </w:r>
            <w:r>
              <w:rPr>
                <w:rFonts w:hint="eastAsia" w:ascii="Times New Roman" w:hAnsi="Times New Roman" w:cs="Times New Roman"/>
                <w:color w:val="000000" w:themeColor="text1"/>
                <w:sz w:val="24"/>
                <w:szCs w:val="24"/>
                <w:lang w:val="en-US" w:eastAsia="zh-CN"/>
                <w14:textFill>
                  <w14:solidFill>
                    <w14:schemeClr w14:val="tx1"/>
                  </w14:solidFill>
                </w14:textFill>
              </w:rPr>
              <w:t>6000</w:t>
            </w:r>
            <w:r>
              <w:rPr>
                <w:rFonts w:hint="default" w:ascii="Times New Roman" w:hAnsi="Times New Roman"/>
                <w:color w:val="000000" w:themeColor="text1"/>
                <w:kern w:val="2"/>
                <w:sz w:val="24"/>
                <w:szCs w:val="24"/>
                <w:highlight w:val="none"/>
                <w14:textFill>
                  <w14:solidFill>
                    <w14:schemeClr w14:val="tx1"/>
                  </w14:solidFill>
                </w14:textFill>
              </w:rPr>
              <w:t>m</w:t>
            </w:r>
            <w:r>
              <w:rPr>
                <w:rFonts w:hint="default" w:ascii="Times New Roman" w:hAnsi="Times New Roman"/>
                <w:color w:val="000000" w:themeColor="text1"/>
                <w:kern w:val="2"/>
                <w:sz w:val="24"/>
                <w:szCs w:val="24"/>
                <w:highlight w:val="none"/>
                <w:vertAlign w:val="superscript"/>
                <w14:textFill>
                  <w14:solidFill>
                    <w14:schemeClr w14:val="tx1"/>
                  </w14:solidFill>
                </w14:textFill>
              </w:rPr>
              <w:t>2</w:t>
            </w:r>
            <w:r>
              <w:rPr>
                <w:rFonts w:hint="default" w:ascii="Times New Roman" w:hAnsi="Times New Roman"/>
                <w:color w:val="000000" w:themeColor="text1"/>
                <w:kern w:val="2"/>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汽车零部件</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喷涂面积为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Times New Roman" w:hAnsi="Times New Roman" w:cs="Times New Roman"/>
                <w:color w:val="000000" w:themeColor="text1"/>
                <w:sz w:val="24"/>
                <w:szCs w:val="24"/>
                <w:lang w:val="en-US" w:eastAsia="zh-CN"/>
                <w14:textFill>
                  <w14:solidFill>
                    <w14:schemeClr w14:val="tx1"/>
                  </w14:solidFill>
                </w14:textFill>
              </w:rPr>
              <w:t>4000</w:t>
            </w:r>
            <w:r>
              <w:rPr>
                <w:rFonts w:hint="default" w:ascii="Times New Roman" w:hAnsi="Times New Roman"/>
                <w:color w:val="000000" w:themeColor="text1"/>
                <w:kern w:val="2"/>
                <w:sz w:val="24"/>
                <w:szCs w:val="24"/>
                <w:highlight w:val="none"/>
                <w14:textFill>
                  <w14:solidFill>
                    <w14:schemeClr w14:val="tx1"/>
                  </w14:solidFill>
                </w14:textFill>
              </w:rPr>
              <w:t>m</w:t>
            </w:r>
            <w:r>
              <w:rPr>
                <w:rFonts w:hint="default" w:ascii="Times New Roman" w:hAnsi="Times New Roman"/>
                <w:color w:val="000000" w:themeColor="text1"/>
                <w:kern w:val="2"/>
                <w:sz w:val="24"/>
                <w:szCs w:val="24"/>
                <w:highlight w:val="none"/>
                <w:vertAlign w:val="superscript"/>
                <w14:textFill>
                  <w14:solidFill>
                    <w14:schemeClr w14:val="tx1"/>
                  </w14:solidFill>
                </w14:textFill>
              </w:rPr>
              <w:t>2</w:t>
            </w:r>
            <w:r>
              <w:rPr>
                <w:rFonts w:hint="eastAsia" w:ascii="Times New Roman" w:hAnsi="Times New Roman"/>
                <w:color w:val="000000" w:themeColor="text1"/>
                <w:kern w:val="2"/>
                <w:sz w:val="24"/>
                <w:szCs w:val="24"/>
                <w:highlight w:val="none"/>
                <w:lang w:eastAsia="zh-CN"/>
                <w14:textFill>
                  <w14:solidFill>
                    <w14:schemeClr w14:val="tx1"/>
                  </w14:solidFill>
                </w14:textFill>
              </w:rPr>
              <w:t>；</w:t>
            </w:r>
            <w:r>
              <w:rPr>
                <w:rFonts w:hint="default" w:ascii="Times New Roman" w:hAnsi="Times New Roman"/>
                <w:color w:val="000000" w:themeColor="text1"/>
                <w:kern w:val="2"/>
                <w:sz w:val="24"/>
                <w:szCs w:val="24"/>
                <w:highlight w:val="none"/>
                <w14:textFill>
                  <w14:solidFill>
                    <w14:schemeClr w14:val="tx1"/>
                  </w14:solidFill>
                </w14:textFill>
              </w:rPr>
              <w:t>喷漆附着率</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均</w:t>
            </w:r>
            <w:r>
              <w:rPr>
                <w:rFonts w:hint="default" w:ascii="Times New Roman" w:hAnsi="Times New Roman"/>
                <w:color w:val="000000" w:themeColor="text1"/>
                <w:kern w:val="2"/>
                <w:sz w:val="24"/>
                <w:szCs w:val="24"/>
                <w:highlight w:val="none"/>
                <w14:textFill>
                  <w14:solidFill>
                    <w14:schemeClr w14:val="tx1"/>
                  </w14:solidFill>
                </w14:textFill>
              </w:rPr>
              <w:t>以</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50</w:t>
            </w:r>
            <w:r>
              <w:rPr>
                <w:rFonts w:hint="default" w:ascii="Times New Roman" w:hAnsi="Times New Roman"/>
                <w:color w:val="000000" w:themeColor="text1"/>
                <w:kern w:val="2"/>
                <w:sz w:val="24"/>
                <w:szCs w:val="24"/>
                <w:highlight w:val="none"/>
                <w14:textFill>
                  <w14:solidFill>
                    <w14:schemeClr w14:val="tx1"/>
                  </w14:solidFill>
                </w14:textFill>
              </w:rPr>
              <w:t>%计</w:t>
            </w:r>
            <w:r>
              <w:rPr>
                <w:rFonts w:hint="eastAsia" w:ascii="Times New Roman" w:hAnsi="Times New Roman"/>
                <w:color w:val="000000" w:themeColor="text1"/>
                <w:kern w:val="2"/>
                <w:sz w:val="24"/>
                <w:szCs w:val="24"/>
                <w:highlight w:val="none"/>
                <w:lang w:eastAsia="zh-CN"/>
                <w14:textFill>
                  <w14:solidFill>
                    <w14:schemeClr w14:val="tx1"/>
                  </w14:solidFill>
                </w14:textFill>
              </w:rPr>
              <w:t>。</w:t>
            </w:r>
          </w:p>
          <w:p w14:paraId="21D16B64">
            <w:pPr>
              <w:pStyle w:val="34"/>
              <w:keepNext w:val="0"/>
              <w:keepLines w:val="0"/>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color w:val="000000" w:themeColor="text1"/>
                <w:kern w:val="2"/>
                <w:sz w:val="24"/>
                <w:szCs w:val="24"/>
                <w:lang w:val="en-US" w:eastAsia="zh-CN"/>
                <w14:textFill>
                  <w14:solidFill>
                    <w14:schemeClr w14:val="tx1"/>
                  </w14:solidFill>
                </w14:textFill>
              </w:rPr>
            </w:pPr>
            <w:r>
              <w:rPr>
                <w:rFonts w:hint="eastAsia" w:ascii="Times New Roman" w:hAnsi="Times New Roman"/>
                <w:color w:val="000000" w:themeColor="text1"/>
                <w:kern w:val="2"/>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光电设备配件</w:t>
            </w:r>
            <w:r>
              <w:rPr>
                <w:rFonts w:hint="eastAsia" w:ascii="Times New Roman" w:hAnsi="Times New Roman"/>
                <w:color w:val="000000" w:themeColor="text1"/>
                <w:kern w:val="2"/>
                <w:sz w:val="24"/>
                <w:szCs w:val="24"/>
                <w:lang w:val="en-US" w:eastAsia="zh-CN"/>
                <w14:textFill>
                  <w14:solidFill>
                    <w14:schemeClr w14:val="tx1"/>
                  </w14:solidFill>
                </w14:textFill>
              </w:rPr>
              <w:t>：</w:t>
            </w:r>
          </w:p>
          <w:p w14:paraId="7E17C73F">
            <w:pPr>
              <w:pStyle w:val="34"/>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olor w:val="000000" w:themeColor="text1"/>
                <w:kern w:val="2"/>
                <w:sz w:val="24"/>
                <w:szCs w:val="24"/>
                <w14:textFill>
                  <w14:solidFill>
                    <w14:schemeClr w14:val="tx1"/>
                  </w14:solidFill>
                </w14:textFill>
              </w:rPr>
            </w:pPr>
            <w:r>
              <w:rPr>
                <w:rFonts w:hint="default" w:ascii="Times New Roman" w:hAnsi="Times New Roman"/>
                <w:color w:val="000000" w:themeColor="text1"/>
                <w:kern w:val="2"/>
                <w:sz w:val="24"/>
                <w:szCs w:val="24"/>
                <w14:textFill>
                  <w14:solidFill>
                    <w14:schemeClr w14:val="tx1"/>
                  </w14:solidFill>
                </w14:textFill>
              </w:rPr>
              <w:t>根据：附着量=喷涂面积×</w:t>
            </w:r>
            <w:r>
              <w:rPr>
                <w:rFonts w:hint="eastAsia" w:ascii="Times New Roman" w:hAnsi="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olor w:val="000000" w:themeColor="text1"/>
                <w:kern w:val="2"/>
                <w:sz w:val="24"/>
                <w:szCs w:val="24"/>
                <w14:textFill>
                  <w14:solidFill>
                    <w14:schemeClr w14:val="tx1"/>
                  </w14:solidFill>
                </w14:textFill>
              </w:rPr>
              <w:t>厚度×</w:t>
            </w:r>
            <w:r>
              <w:rPr>
                <w:rFonts w:hint="eastAsia" w:ascii="Times New Roman" w:hAnsi="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olor w:val="000000" w:themeColor="text1"/>
                <w:kern w:val="2"/>
                <w:sz w:val="24"/>
                <w:szCs w:val="24"/>
                <w14:textFill>
                  <w14:solidFill>
                    <w14:schemeClr w14:val="tx1"/>
                  </w14:solidFill>
                </w14:textFill>
              </w:rPr>
              <w:t>密度=</w:t>
            </w:r>
            <w:r>
              <w:rPr>
                <w:rFonts w:hint="eastAsia" w:ascii="Times New Roman" w:hAnsi="Times New Roman"/>
                <w:color w:val="000000" w:themeColor="text1"/>
                <w:kern w:val="2"/>
                <w:sz w:val="24"/>
                <w:szCs w:val="24"/>
                <w:lang w:val="en-US" w:eastAsia="zh-CN"/>
                <w14:textFill>
                  <w14:solidFill>
                    <w14:schemeClr w14:val="tx1"/>
                  </w14:solidFill>
                </w14:textFill>
              </w:rPr>
              <w:t>6000</w:t>
            </w:r>
            <w:r>
              <w:rPr>
                <w:rFonts w:hint="default" w:ascii="Times New Roman" w:hAnsi="Times New Roman"/>
                <w:color w:val="000000" w:themeColor="text1"/>
                <w:kern w:val="2"/>
                <w:sz w:val="24"/>
                <w:szCs w:val="24"/>
                <w14:textFill>
                  <w14:solidFill>
                    <w14:schemeClr w14:val="tx1"/>
                  </w14:solidFill>
                </w14:textFill>
              </w:rPr>
              <w:t>×50×10</w:t>
            </w:r>
            <w:r>
              <w:rPr>
                <w:rFonts w:hint="default" w:ascii="Times New Roman" w:hAnsi="Times New Roman"/>
                <w:color w:val="000000" w:themeColor="text1"/>
                <w:kern w:val="2"/>
                <w:sz w:val="24"/>
                <w:szCs w:val="24"/>
                <w:vertAlign w:val="superscript"/>
                <w14:textFill>
                  <w14:solidFill>
                    <w14:schemeClr w14:val="tx1"/>
                  </w14:solidFill>
                </w14:textFill>
              </w:rPr>
              <w:t>-6</w:t>
            </w:r>
            <w:r>
              <w:rPr>
                <w:rFonts w:hint="default" w:ascii="Times New Roman" w:hAnsi="Times New Roman"/>
                <w:color w:val="000000" w:themeColor="text1"/>
                <w:kern w:val="2"/>
                <w:sz w:val="24"/>
                <w:szCs w:val="24"/>
                <w14:textFill>
                  <w14:solidFill>
                    <w14:schemeClr w14:val="tx1"/>
                  </w14:solidFill>
                </w14:textFill>
              </w:rPr>
              <w:t>×1.3=</w:t>
            </w:r>
            <w:r>
              <w:rPr>
                <w:rFonts w:hint="eastAsia" w:ascii="Times New Roman" w:hAnsi="Times New Roman"/>
                <w:color w:val="000000" w:themeColor="text1"/>
                <w:kern w:val="2"/>
                <w:sz w:val="24"/>
                <w:szCs w:val="24"/>
                <w:lang w:val="en-US" w:eastAsia="zh-CN"/>
                <w14:textFill>
                  <w14:solidFill>
                    <w14:schemeClr w14:val="tx1"/>
                  </w14:solidFill>
                </w14:textFill>
              </w:rPr>
              <w:t>0.39</w:t>
            </w:r>
            <w:r>
              <w:rPr>
                <w:rFonts w:hint="default" w:ascii="Times New Roman" w:hAnsi="Times New Roman"/>
                <w:color w:val="000000" w:themeColor="text1"/>
                <w:kern w:val="2"/>
                <w:sz w:val="24"/>
                <w:szCs w:val="24"/>
                <w14:textFill>
                  <w14:solidFill>
                    <w14:schemeClr w14:val="tx1"/>
                  </w14:solidFill>
                </w14:textFill>
              </w:rPr>
              <w:t>t</w:t>
            </w:r>
          </w:p>
          <w:p w14:paraId="7143AA41">
            <w:pPr>
              <w:pStyle w:val="34"/>
              <w:keepNext w:val="0"/>
              <w:keepLines w:val="0"/>
              <w:suppressLineNumbers w:val="0"/>
              <w:spacing w:before="0" w:beforeAutospacing="0" w:after="0" w:afterAutospacing="0" w:line="360" w:lineRule="auto"/>
              <w:ind w:left="0" w:right="0" w:firstLine="480" w:firstLineChars="200"/>
              <w:rPr>
                <w:rStyle w:val="75"/>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kern w:val="2"/>
                <w:sz w:val="24"/>
                <w:szCs w:val="24"/>
                <w14:textFill>
                  <w14:solidFill>
                    <w14:schemeClr w14:val="tx1"/>
                  </w14:solidFill>
                </w14:textFill>
              </w:rPr>
              <w:t>则漆料用量=附着量÷附着率÷调配后固体份含量=</w:t>
            </w:r>
            <w:r>
              <w:rPr>
                <w:rFonts w:hint="eastAsia" w:ascii="Times New Roman" w:hAnsi="Times New Roman"/>
                <w:color w:val="000000" w:themeColor="text1"/>
                <w:kern w:val="2"/>
                <w:sz w:val="24"/>
                <w:szCs w:val="24"/>
                <w:lang w:val="en-US" w:eastAsia="zh-CN"/>
                <w14:textFill>
                  <w14:solidFill>
                    <w14:schemeClr w14:val="tx1"/>
                  </w14:solidFill>
                </w14:textFill>
              </w:rPr>
              <w:t>0.39</w:t>
            </w:r>
            <w:r>
              <w:rPr>
                <w:rFonts w:hint="default" w:ascii="Times New Roman" w:hAnsi="Times New Roman"/>
                <w:color w:val="000000" w:themeColor="text1"/>
                <w:kern w:val="2"/>
                <w:sz w:val="24"/>
                <w:szCs w:val="24"/>
                <w14:textFill>
                  <w14:solidFill>
                    <w14:schemeClr w14:val="tx1"/>
                  </w14:solidFill>
                </w14:textFill>
              </w:rPr>
              <w:t>÷</w:t>
            </w:r>
            <w:r>
              <w:rPr>
                <w:rFonts w:hint="eastAsia" w:ascii="Times New Roman" w:hAnsi="Times New Roman"/>
                <w:color w:val="000000" w:themeColor="text1"/>
                <w:kern w:val="2"/>
                <w:sz w:val="24"/>
                <w:szCs w:val="24"/>
                <w:lang w:val="en-US" w:eastAsia="zh-CN"/>
                <w14:textFill>
                  <w14:solidFill>
                    <w14:schemeClr w14:val="tx1"/>
                  </w14:solidFill>
                </w14:textFill>
              </w:rPr>
              <w:t>50</w:t>
            </w:r>
            <w:r>
              <w:rPr>
                <w:rFonts w:hint="default" w:ascii="Times New Roman" w:hAnsi="Times New Roman"/>
                <w:color w:val="000000" w:themeColor="text1"/>
                <w:kern w:val="2"/>
                <w:sz w:val="24"/>
                <w:szCs w:val="24"/>
                <w14:textFill>
                  <w14:solidFill>
                    <w14:schemeClr w14:val="tx1"/>
                  </w14:solidFill>
                </w14:textFill>
              </w:rPr>
              <w:t>%÷</w:t>
            </w:r>
            <w:r>
              <w:rPr>
                <w:rFonts w:hint="eastAsia" w:ascii="Times New Roman" w:hAnsi="Times New Roman"/>
                <w:color w:val="000000" w:themeColor="text1"/>
                <w:kern w:val="2"/>
                <w:sz w:val="24"/>
                <w:szCs w:val="24"/>
                <w:lang w:val="en-US" w:eastAsia="zh-CN"/>
                <w14:textFill>
                  <w14:solidFill>
                    <w14:schemeClr w14:val="tx1"/>
                  </w14:solidFill>
                </w14:textFill>
              </w:rPr>
              <w:t>62</w:t>
            </w:r>
            <w:r>
              <w:rPr>
                <w:rFonts w:hint="default" w:ascii="Times New Roman" w:hAnsi="Times New Roman"/>
                <w:color w:val="000000" w:themeColor="text1"/>
                <w:kern w:val="2"/>
                <w:sz w:val="24"/>
                <w:szCs w:val="24"/>
                <w14:textFill>
                  <w14:solidFill>
                    <w14:schemeClr w14:val="tx1"/>
                  </w14:solidFill>
                </w14:textFill>
              </w:rPr>
              <w:t>%=</w:t>
            </w:r>
            <w:r>
              <w:rPr>
                <w:rFonts w:hint="eastAsia" w:ascii="Times New Roman" w:hAnsi="Times New Roman"/>
                <w:color w:val="000000" w:themeColor="text1"/>
                <w:kern w:val="2"/>
                <w:sz w:val="24"/>
                <w:szCs w:val="24"/>
                <w:lang w:val="en-US" w:eastAsia="zh-CN"/>
                <w14:textFill>
                  <w14:solidFill>
                    <w14:schemeClr w14:val="tx1"/>
                  </w14:solidFill>
                </w14:textFill>
              </w:rPr>
              <w:t>1.258</w:t>
            </w:r>
            <w:r>
              <w:rPr>
                <w:rFonts w:hint="default" w:ascii="Times New Roman" w:hAnsi="Times New Roman"/>
                <w:color w:val="000000" w:themeColor="text1"/>
                <w:kern w:val="2"/>
                <w:sz w:val="24"/>
                <w:szCs w:val="24"/>
                <w14:textFill>
                  <w14:solidFill>
                    <w14:schemeClr w14:val="tx1"/>
                  </w14:solidFill>
                </w14:textFill>
              </w:rPr>
              <w:t>t/a</w:t>
            </w:r>
          </w:p>
          <w:p w14:paraId="638CC793">
            <w:pPr>
              <w:pStyle w:val="34"/>
              <w:keepNext w:val="0"/>
              <w:keepLines w:val="0"/>
              <w:numPr>
                <w:ilvl w:val="0"/>
                <w:numId w:val="5"/>
              </w:numPr>
              <w:suppressLineNumbers w:val="0"/>
              <w:spacing w:before="0" w:beforeAutospacing="0" w:after="0" w:afterAutospacing="0" w:line="360" w:lineRule="auto"/>
              <w:ind w:left="0" w:right="0" w:firstLine="480" w:firstLineChars="200"/>
              <w:rPr>
                <w:rFonts w:hint="eastAsia" w:ascii="Times New Roman" w:hAnsi="Times New Roman"/>
                <w:color w:val="000000" w:themeColor="text1"/>
                <w:kern w:val="2"/>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汽车零部件</w:t>
            </w:r>
            <w:r>
              <w:rPr>
                <w:rFonts w:hint="eastAsia" w:ascii="Times New Roman" w:hAnsi="Times New Roman" w:cs="Times New Roman"/>
                <w:color w:val="000000" w:themeColor="text1"/>
                <w:sz w:val="24"/>
                <w:szCs w:val="24"/>
                <w:lang w:eastAsia="zh-CN"/>
                <w14:textFill>
                  <w14:solidFill>
                    <w14:schemeClr w14:val="tx1"/>
                  </w14:solidFill>
                </w14:textFill>
              </w:rPr>
              <w:t>：</w:t>
            </w:r>
          </w:p>
          <w:p w14:paraId="17DA8247">
            <w:pPr>
              <w:pStyle w:val="34"/>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olor w:val="000000" w:themeColor="text1"/>
                <w:kern w:val="2"/>
                <w:sz w:val="24"/>
                <w:szCs w:val="24"/>
                <w14:textFill>
                  <w14:solidFill>
                    <w14:schemeClr w14:val="tx1"/>
                  </w14:solidFill>
                </w14:textFill>
              </w:rPr>
            </w:pPr>
            <w:r>
              <w:rPr>
                <w:rFonts w:hint="default" w:ascii="Times New Roman" w:hAnsi="Times New Roman"/>
                <w:color w:val="000000" w:themeColor="text1"/>
                <w:kern w:val="2"/>
                <w:sz w:val="24"/>
                <w:szCs w:val="24"/>
                <w14:textFill>
                  <w14:solidFill>
                    <w14:schemeClr w14:val="tx1"/>
                  </w14:solidFill>
                </w14:textFill>
              </w:rPr>
              <w:t>根据：附着量=喷涂面积×</w:t>
            </w:r>
            <w:r>
              <w:rPr>
                <w:rFonts w:hint="eastAsia" w:ascii="Times New Roman" w:hAnsi="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olor w:val="000000" w:themeColor="text1"/>
                <w:kern w:val="2"/>
                <w:sz w:val="24"/>
                <w:szCs w:val="24"/>
                <w14:textFill>
                  <w14:solidFill>
                    <w14:schemeClr w14:val="tx1"/>
                  </w14:solidFill>
                </w14:textFill>
              </w:rPr>
              <w:t>厚度×</w:t>
            </w:r>
            <w:r>
              <w:rPr>
                <w:rFonts w:hint="eastAsia" w:ascii="Times New Roman" w:hAnsi="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olor w:val="000000" w:themeColor="text1"/>
                <w:kern w:val="2"/>
                <w:sz w:val="24"/>
                <w:szCs w:val="24"/>
                <w14:textFill>
                  <w14:solidFill>
                    <w14:schemeClr w14:val="tx1"/>
                  </w14:solidFill>
                </w14:textFill>
              </w:rPr>
              <w:t>密度=</w:t>
            </w:r>
            <w:r>
              <w:rPr>
                <w:rFonts w:hint="eastAsia" w:ascii="Times New Roman" w:hAnsi="Times New Roman"/>
                <w:color w:val="000000" w:themeColor="text1"/>
                <w:kern w:val="2"/>
                <w:sz w:val="24"/>
                <w:szCs w:val="24"/>
                <w:lang w:val="en-US" w:eastAsia="zh-CN"/>
                <w14:textFill>
                  <w14:solidFill>
                    <w14:schemeClr w14:val="tx1"/>
                  </w14:solidFill>
                </w14:textFill>
              </w:rPr>
              <w:t>14000</w:t>
            </w:r>
            <w:r>
              <w:rPr>
                <w:rFonts w:hint="default" w:ascii="Times New Roman" w:hAnsi="Times New Roman"/>
                <w:color w:val="000000" w:themeColor="text1"/>
                <w:kern w:val="2"/>
                <w:sz w:val="24"/>
                <w:szCs w:val="24"/>
                <w14:textFill>
                  <w14:solidFill>
                    <w14:schemeClr w14:val="tx1"/>
                  </w14:solidFill>
                </w14:textFill>
              </w:rPr>
              <w:t>×</w:t>
            </w:r>
            <w:r>
              <w:rPr>
                <w:rFonts w:hint="eastAsia" w:ascii="Times New Roman" w:hAnsi="Times New Roman"/>
                <w:color w:val="000000" w:themeColor="text1"/>
                <w:kern w:val="2"/>
                <w:sz w:val="24"/>
                <w:szCs w:val="24"/>
                <w:lang w:val="en-US" w:eastAsia="zh-CN"/>
                <w14:textFill>
                  <w14:solidFill>
                    <w14:schemeClr w14:val="tx1"/>
                  </w14:solidFill>
                </w14:textFill>
              </w:rPr>
              <w:t>7</w:t>
            </w:r>
            <w:r>
              <w:rPr>
                <w:rFonts w:hint="default" w:ascii="Times New Roman" w:hAnsi="Times New Roman"/>
                <w:color w:val="000000" w:themeColor="text1"/>
                <w:kern w:val="2"/>
                <w:sz w:val="24"/>
                <w:szCs w:val="24"/>
                <w14:textFill>
                  <w14:solidFill>
                    <w14:schemeClr w14:val="tx1"/>
                  </w14:solidFill>
                </w14:textFill>
              </w:rPr>
              <w:t>0×10</w:t>
            </w:r>
            <w:r>
              <w:rPr>
                <w:rFonts w:hint="default" w:ascii="Times New Roman" w:hAnsi="Times New Roman"/>
                <w:color w:val="000000" w:themeColor="text1"/>
                <w:kern w:val="2"/>
                <w:sz w:val="24"/>
                <w:szCs w:val="24"/>
                <w:vertAlign w:val="superscript"/>
                <w14:textFill>
                  <w14:solidFill>
                    <w14:schemeClr w14:val="tx1"/>
                  </w14:solidFill>
                </w14:textFill>
              </w:rPr>
              <w:t>-6</w:t>
            </w:r>
            <w:r>
              <w:rPr>
                <w:rFonts w:hint="default" w:ascii="Times New Roman" w:hAnsi="Times New Roman"/>
                <w:color w:val="000000" w:themeColor="text1"/>
                <w:kern w:val="2"/>
                <w:sz w:val="24"/>
                <w:szCs w:val="24"/>
                <w14:textFill>
                  <w14:solidFill>
                    <w14:schemeClr w14:val="tx1"/>
                  </w14:solidFill>
                </w14:textFill>
              </w:rPr>
              <w:t>×1.3=</w:t>
            </w:r>
            <w:r>
              <w:rPr>
                <w:rFonts w:hint="eastAsia" w:ascii="Times New Roman" w:hAnsi="Times New Roman"/>
                <w:color w:val="000000" w:themeColor="text1"/>
                <w:kern w:val="2"/>
                <w:sz w:val="24"/>
                <w:szCs w:val="24"/>
                <w:lang w:val="en-US" w:eastAsia="zh-CN"/>
                <w14:textFill>
                  <w14:solidFill>
                    <w14:schemeClr w14:val="tx1"/>
                  </w14:solidFill>
                </w14:textFill>
              </w:rPr>
              <w:t>1.274</w:t>
            </w:r>
            <w:r>
              <w:rPr>
                <w:rFonts w:hint="default" w:ascii="Times New Roman" w:hAnsi="Times New Roman"/>
                <w:color w:val="000000" w:themeColor="text1"/>
                <w:kern w:val="2"/>
                <w:sz w:val="24"/>
                <w:szCs w:val="24"/>
                <w14:textFill>
                  <w14:solidFill>
                    <w14:schemeClr w14:val="tx1"/>
                  </w14:solidFill>
                </w14:textFill>
              </w:rPr>
              <w:t>t</w:t>
            </w:r>
          </w:p>
          <w:p w14:paraId="350EC87C">
            <w:pPr>
              <w:pStyle w:val="34"/>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000000" w:themeColor="text1"/>
                <w:kern w:val="2"/>
                <w:sz w:val="24"/>
                <w:szCs w:val="24"/>
                <w14:textFill>
                  <w14:solidFill>
                    <w14:schemeClr w14:val="tx1"/>
                  </w14:solidFill>
                </w14:textFill>
              </w:rPr>
            </w:pPr>
            <w:r>
              <w:rPr>
                <w:rFonts w:hint="default" w:ascii="Times New Roman" w:hAnsi="Times New Roman"/>
                <w:color w:val="000000" w:themeColor="text1"/>
                <w:kern w:val="2"/>
                <w:sz w:val="24"/>
                <w:szCs w:val="24"/>
                <w14:textFill>
                  <w14:solidFill>
                    <w14:schemeClr w14:val="tx1"/>
                  </w14:solidFill>
                </w14:textFill>
              </w:rPr>
              <w:t>则漆料用量=附着量÷附着率÷调配后固体份含量=</w:t>
            </w:r>
            <w:r>
              <w:rPr>
                <w:rFonts w:hint="eastAsia" w:ascii="Times New Roman" w:hAnsi="Times New Roman"/>
                <w:color w:val="000000" w:themeColor="text1"/>
                <w:kern w:val="2"/>
                <w:sz w:val="24"/>
                <w:szCs w:val="24"/>
                <w:lang w:val="en-US" w:eastAsia="zh-CN"/>
                <w14:textFill>
                  <w14:solidFill>
                    <w14:schemeClr w14:val="tx1"/>
                  </w14:solidFill>
                </w14:textFill>
              </w:rPr>
              <w:t>1.274</w:t>
            </w:r>
            <w:r>
              <w:rPr>
                <w:rFonts w:hint="default" w:ascii="Times New Roman" w:hAnsi="Times New Roman"/>
                <w:color w:val="000000" w:themeColor="text1"/>
                <w:kern w:val="2"/>
                <w:sz w:val="24"/>
                <w:szCs w:val="24"/>
                <w14:textFill>
                  <w14:solidFill>
                    <w14:schemeClr w14:val="tx1"/>
                  </w14:solidFill>
                </w14:textFill>
              </w:rPr>
              <w:t>÷</w:t>
            </w:r>
            <w:r>
              <w:rPr>
                <w:rFonts w:hint="eastAsia" w:ascii="Times New Roman" w:hAnsi="Times New Roman"/>
                <w:color w:val="000000" w:themeColor="text1"/>
                <w:kern w:val="2"/>
                <w:sz w:val="24"/>
                <w:szCs w:val="24"/>
                <w:lang w:val="en-US" w:eastAsia="zh-CN"/>
                <w14:textFill>
                  <w14:solidFill>
                    <w14:schemeClr w14:val="tx1"/>
                  </w14:solidFill>
                </w14:textFill>
              </w:rPr>
              <w:t>50</w:t>
            </w:r>
            <w:r>
              <w:rPr>
                <w:rFonts w:hint="default" w:ascii="Times New Roman" w:hAnsi="Times New Roman"/>
                <w:color w:val="000000" w:themeColor="text1"/>
                <w:kern w:val="2"/>
                <w:sz w:val="24"/>
                <w:szCs w:val="24"/>
                <w14:textFill>
                  <w14:solidFill>
                    <w14:schemeClr w14:val="tx1"/>
                  </w14:solidFill>
                </w14:textFill>
              </w:rPr>
              <w:t>%÷</w:t>
            </w:r>
            <w:r>
              <w:rPr>
                <w:rFonts w:hint="eastAsia" w:ascii="Times New Roman" w:hAnsi="Times New Roman"/>
                <w:color w:val="000000" w:themeColor="text1"/>
                <w:kern w:val="2"/>
                <w:sz w:val="24"/>
                <w:szCs w:val="24"/>
                <w:lang w:val="en-US" w:eastAsia="zh-CN"/>
                <w14:textFill>
                  <w14:solidFill>
                    <w14:schemeClr w14:val="tx1"/>
                  </w14:solidFill>
                </w14:textFill>
              </w:rPr>
              <w:t>62</w:t>
            </w:r>
            <w:r>
              <w:rPr>
                <w:rFonts w:hint="default" w:ascii="Times New Roman" w:hAnsi="Times New Roman"/>
                <w:color w:val="000000" w:themeColor="text1"/>
                <w:kern w:val="2"/>
                <w:sz w:val="24"/>
                <w:szCs w:val="24"/>
                <w14:textFill>
                  <w14:solidFill>
                    <w14:schemeClr w14:val="tx1"/>
                  </w14:solidFill>
                </w14:textFill>
              </w:rPr>
              <w:t>%=</w:t>
            </w:r>
            <w:r>
              <w:rPr>
                <w:rFonts w:hint="eastAsia" w:ascii="Times New Roman" w:hAnsi="Times New Roman"/>
                <w:color w:val="000000" w:themeColor="text1"/>
                <w:kern w:val="2"/>
                <w:sz w:val="24"/>
                <w:szCs w:val="24"/>
                <w:lang w:val="en-US" w:eastAsia="zh-CN"/>
                <w14:textFill>
                  <w14:solidFill>
                    <w14:schemeClr w14:val="tx1"/>
                  </w14:solidFill>
                </w14:textFill>
              </w:rPr>
              <w:t>4.11</w:t>
            </w:r>
            <w:r>
              <w:rPr>
                <w:rFonts w:hint="default" w:ascii="Times New Roman" w:hAnsi="Times New Roman"/>
                <w:color w:val="000000" w:themeColor="text1"/>
                <w:kern w:val="2"/>
                <w:sz w:val="24"/>
                <w:szCs w:val="24"/>
                <w14:textFill>
                  <w14:solidFill>
                    <w14:schemeClr w14:val="tx1"/>
                  </w14:solidFill>
                </w14:textFill>
              </w:rPr>
              <w:t>t/a</w:t>
            </w:r>
          </w:p>
          <w:p w14:paraId="4BE76EE2">
            <w:pPr>
              <w:pStyle w:val="34"/>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000000" w:themeColor="text1"/>
                <w:kern w:val="2"/>
                <w:sz w:val="24"/>
                <w:szCs w:val="24"/>
                <w14:textFill>
                  <w14:solidFill>
                    <w14:schemeClr w14:val="tx1"/>
                  </w14:solidFill>
                </w14:textFill>
              </w:rPr>
            </w:pPr>
            <w:r>
              <w:rPr>
                <w:rFonts w:hint="eastAsia" w:ascii="Times New Roman" w:hAnsi="Times New Roman"/>
                <w:color w:val="000000" w:themeColor="text1"/>
                <w:kern w:val="2"/>
                <w:sz w:val="24"/>
                <w:szCs w:val="24"/>
                <w:lang w:val="en-US" w:eastAsia="zh-CN"/>
                <w14:textFill>
                  <w14:solidFill>
                    <w14:schemeClr w14:val="tx1"/>
                  </w14:solidFill>
                </w14:textFill>
              </w:rPr>
              <w:t>综上所述，</w:t>
            </w:r>
            <w:r>
              <w:rPr>
                <w:rFonts w:hint="default" w:ascii="Times New Roman" w:hAnsi="Times New Roman" w:cs="Times New Roman"/>
                <w:color w:val="000000" w:themeColor="text1"/>
                <w:sz w:val="24"/>
                <w:szCs w:val="24"/>
                <w14:textFill>
                  <w14:solidFill>
                    <w14:schemeClr w14:val="tx1"/>
                  </w14:solidFill>
                </w14:textFill>
              </w:rPr>
              <w:t>光电设备配件</w:t>
            </w:r>
            <w:r>
              <w:rPr>
                <w:rFonts w:hint="eastAsia" w:ascii="Times New Roman" w:hAnsi="Times New Roman"/>
                <w:color w:val="000000" w:themeColor="text1"/>
                <w:kern w:val="2"/>
                <w:sz w:val="24"/>
                <w:szCs w:val="24"/>
                <w:lang w:val="en-US" w:eastAsia="zh-CN"/>
                <w14:textFill>
                  <w14:solidFill>
                    <w14:schemeClr w14:val="tx1"/>
                  </w14:solidFill>
                </w14:textFill>
              </w:rPr>
              <w:t>水性底漆漆料年用量为1.258t，</w:t>
            </w:r>
            <w:r>
              <w:rPr>
                <w:rFonts w:hint="default" w:ascii="Times New Roman" w:hAnsi="Times New Roman" w:cs="Times New Roman"/>
                <w:color w:val="000000" w:themeColor="text1"/>
                <w:sz w:val="24"/>
                <w:szCs w:val="24"/>
                <w14:textFill>
                  <w14:solidFill>
                    <w14:schemeClr w14:val="tx1"/>
                  </w14:solidFill>
                </w14:textFill>
              </w:rPr>
              <w:t>汽车零部件</w:t>
            </w:r>
            <w:r>
              <w:rPr>
                <w:rFonts w:hint="eastAsia" w:ascii="Times New Roman" w:hAnsi="Times New Roman"/>
                <w:color w:val="000000" w:themeColor="text1"/>
                <w:kern w:val="2"/>
                <w:sz w:val="24"/>
                <w:szCs w:val="24"/>
                <w:lang w:val="en-US" w:eastAsia="zh-CN"/>
                <w14:textFill>
                  <w14:solidFill>
                    <w14:schemeClr w14:val="tx1"/>
                  </w14:solidFill>
                </w14:textFill>
              </w:rPr>
              <w:t>水性底漆漆料年用为4.11t，则水性底漆漆料总用总量为5.368t/a，</w:t>
            </w:r>
            <w:r>
              <w:rPr>
                <w:rFonts w:hint="default" w:ascii="Times New Roman" w:hAnsi="Times New Roman"/>
                <w:color w:val="000000" w:themeColor="text1"/>
                <w:kern w:val="2"/>
                <w:sz w:val="24"/>
                <w:szCs w:val="24"/>
                <w14:textFill>
                  <w14:solidFill>
                    <w14:schemeClr w14:val="tx1"/>
                  </w14:solidFill>
                </w14:textFill>
              </w:rPr>
              <w:t>与本项目实际用量基本相符。</w:t>
            </w:r>
          </w:p>
          <w:p w14:paraId="0895A3E7">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shd w:val="clear" w:color="auto" w:fill="FFFFFF"/>
                <w14:textFill>
                  <w14:solidFill>
                    <w14:schemeClr w14:val="tx1"/>
                  </w14:solidFill>
                </w14:textFill>
              </w:rPr>
              <w:t>根据《低挥发性有机化合物含量涂料产品技术要求》（GB/T38597-2020），水性涂料和水性辐射固化涂料均不考虑水的稀释比例，故本项目</w:t>
            </w:r>
            <w:r>
              <w:rPr>
                <w:rFonts w:hint="eastAsia"/>
                <w:color w:val="000000" w:themeColor="text1"/>
                <w:sz w:val="24"/>
                <w:lang w:eastAsia="zh-CN"/>
                <w14:textFill>
                  <w14:solidFill>
                    <w14:schemeClr w14:val="tx1"/>
                  </w14:solidFill>
                </w14:textFill>
              </w:rPr>
              <w:t>水性底漆</w:t>
            </w:r>
            <w:r>
              <w:rPr>
                <w:rFonts w:hint="default"/>
                <w:color w:val="000000" w:themeColor="text1"/>
                <w:sz w:val="24"/>
                <w:shd w:val="clear" w:color="auto" w:fill="FFFFFF"/>
                <w14:textFill>
                  <w14:solidFill>
                    <w14:schemeClr w14:val="tx1"/>
                  </w14:solidFill>
                </w14:textFill>
              </w:rPr>
              <w:t>即用状态下的VOCs含量不考虑与水的配比。</w:t>
            </w:r>
            <w:r>
              <w:rPr>
                <w:rFonts w:hint="default"/>
                <w:color w:val="000000" w:themeColor="text1"/>
                <w:sz w:val="24"/>
                <w14:textFill>
                  <w14:solidFill>
                    <w14:schemeClr w14:val="tx1"/>
                  </w14:solidFill>
                </w14:textFill>
              </w:rPr>
              <w:t>本项目</w:t>
            </w:r>
            <w:r>
              <w:rPr>
                <w:rFonts w:hint="eastAsia"/>
                <w:color w:val="000000" w:themeColor="text1"/>
                <w:sz w:val="24"/>
                <w:lang w:eastAsia="zh-CN"/>
                <w14:textFill>
                  <w14:solidFill>
                    <w14:schemeClr w14:val="tx1"/>
                  </w14:solidFill>
                </w14:textFill>
              </w:rPr>
              <w:t>水性底漆</w:t>
            </w:r>
            <w:r>
              <w:rPr>
                <w:rFonts w:hint="default"/>
                <w:color w:val="000000" w:themeColor="text1"/>
                <w:sz w:val="24"/>
                <w14:textFill>
                  <w14:solidFill>
                    <w14:schemeClr w14:val="tx1"/>
                  </w14:solidFill>
                </w14:textFill>
              </w:rPr>
              <w:t>调配后VOCs含量计算如下（</w:t>
            </w:r>
            <w:r>
              <w:rPr>
                <w:rFonts w:hint="eastAsia"/>
                <w:color w:val="000000" w:themeColor="text1"/>
                <w:sz w:val="24"/>
                <w:lang w:eastAsia="zh-CN"/>
                <w14:textFill>
                  <w14:solidFill>
                    <w14:schemeClr w14:val="tx1"/>
                  </w14:solidFill>
                </w14:textFill>
              </w:rPr>
              <w:t>水性底漆</w:t>
            </w:r>
            <w:r>
              <w:rPr>
                <w:rFonts w:hint="default"/>
                <w:color w:val="000000" w:themeColor="text1"/>
                <w:sz w:val="24"/>
                <w14:textFill>
                  <w14:solidFill>
                    <w14:schemeClr w14:val="tx1"/>
                  </w14:solidFill>
                </w14:textFill>
              </w:rPr>
              <w:t>密度</w:t>
            </w:r>
            <w:r>
              <w:rPr>
                <w:rFonts w:hint="default"/>
                <w:color w:val="000000" w:themeColor="text1"/>
                <w:sz w:val="24"/>
                <w:szCs w:val="24"/>
                <w:shd w:val="clear" w:color="auto" w:fill="FFFFFF"/>
                <w14:textFill>
                  <w14:solidFill>
                    <w14:schemeClr w14:val="tx1"/>
                  </w14:solidFill>
                </w14:textFill>
              </w:rPr>
              <w:t>为</w:t>
            </w:r>
            <w:r>
              <w:rPr>
                <w:rFonts w:hint="eastAsia" w:cs="Times New Roman"/>
                <w:color w:val="000000" w:themeColor="text1"/>
                <w:kern w:val="2"/>
                <w:sz w:val="24"/>
                <w:szCs w:val="24"/>
                <w:highlight w:val="none"/>
                <w:lang w:val="en-US" w:eastAsia="zh-CN" w:bidi="ar-SA"/>
                <w14:textFill>
                  <w14:solidFill>
                    <w14:schemeClr w14:val="tx1"/>
                  </w14:solidFill>
                </w14:textFill>
              </w:rPr>
              <w:t>1.1-1.4</w:t>
            </w:r>
            <w:r>
              <w:rPr>
                <w:rFonts w:hint="default"/>
                <w:color w:val="000000" w:themeColor="text1"/>
                <w:sz w:val="24"/>
                <w:szCs w:val="24"/>
                <w:shd w:val="clear" w:color="auto" w:fill="FFFFFF"/>
                <w14:textFill>
                  <w14:solidFill>
                    <w14:schemeClr w14:val="tx1"/>
                  </w14:solidFill>
                </w14:textFill>
              </w:rPr>
              <w:t>g/c</w:t>
            </w:r>
            <w:r>
              <w:rPr>
                <w:rFonts w:hint="default"/>
                <w:color w:val="000000" w:themeColor="text1"/>
                <w:sz w:val="24"/>
                <w:shd w:val="clear" w:color="auto" w:fill="FFFFFF"/>
                <w14:textFill>
                  <w14:solidFill>
                    <w14:schemeClr w14:val="tx1"/>
                  </w14:solidFill>
                </w14:textFill>
              </w:rPr>
              <w:t>m</w:t>
            </w:r>
            <w:r>
              <w:rPr>
                <w:rFonts w:hint="default"/>
                <w:color w:val="000000" w:themeColor="text1"/>
                <w:sz w:val="24"/>
                <w:shd w:val="clear" w:color="auto" w:fill="FFFFFF"/>
                <w:vertAlign w:val="superscript"/>
                <w14:textFill>
                  <w14:solidFill>
                    <w14:schemeClr w14:val="tx1"/>
                  </w14:solidFill>
                </w14:textFill>
              </w:rPr>
              <w:t>3</w:t>
            </w:r>
            <w:r>
              <w:rPr>
                <w:rFonts w:hint="default"/>
                <w:color w:val="000000" w:themeColor="text1"/>
                <w:sz w:val="24"/>
                <w:shd w:val="clear" w:color="auto" w:fill="FFFFFF"/>
                <w14:textFill>
                  <w14:solidFill>
                    <w14:schemeClr w14:val="tx1"/>
                  </w14:solidFill>
                </w14:textFill>
              </w:rPr>
              <w:t>，本环评取平均值</w:t>
            </w:r>
            <w:r>
              <w:rPr>
                <w:rFonts w:hint="default"/>
                <w:color w:val="000000" w:themeColor="text1"/>
                <w:sz w:val="24"/>
                <w14:textFill>
                  <w14:solidFill>
                    <w14:schemeClr w14:val="tx1"/>
                  </w14:solidFill>
                </w14:textFill>
              </w:rPr>
              <w:t>）：</w:t>
            </w:r>
          </w:p>
          <w:p w14:paraId="6FBD998D">
            <w:pPr>
              <w:pStyle w:val="77"/>
              <w:keepNext w:val="0"/>
              <w:keepLines w:val="0"/>
              <w:suppressLineNumbers w:val="0"/>
              <w:spacing w:before="0" w:beforeAutospacing="0" w:after="0" w:afterAutospacing="0" w:line="360" w:lineRule="auto"/>
              <w:ind w:left="0" w:right="0" w:firstLine="420"/>
              <w:rPr>
                <w:rFonts w:hint="default" w:ascii="Times New Roman" w:cs="Times New Roman"/>
                <w:i/>
                <w:color w:val="000000" w:themeColor="text1"/>
                <w:sz w:val="21"/>
                <w14:textFill>
                  <w14:solidFill>
                    <w14:schemeClr w14:val="tx1"/>
                  </w14:solidFill>
                </w14:textFill>
              </w:rPr>
            </w:pPr>
            <m:oMathPara>
              <m:oMath>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cs="Times New Roman"/>
                        <w:i/>
                        <w:color w:val="000000" w:themeColor="text1"/>
                        <w:sz w:val="21"/>
                        <w14:textFill>
                          <w14:solidFill>
                            <w14:schemeClr w14:val="tx1"/>
                          </w14:solidFill>
                        </w14:textFill>
                      </w:rPr>
                      <m:t>C</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r>
                  <m:rPr>
                    <m:nor/>
                    <m:sty m:val="p"/>
                  </m:rPr>
                  <w:rPr>
                    <w:rFonts w:hint="default" w:ascii="Times New Roman" w:cs="Times New Roman"/>
                    <w:b w:val="0"/>
                    <w:i w:val="0"/>
                    <w:color w:val="000000" w:themeColor="text1"/>
                    <w:sz w:val="21"/>
                    <w14:textFill>
                      <w14:solidFill>
                        <w14:schemeClr w14:val="tx1"/>
                      </w14:solidFill>
                    </w14:textFill>
                  </w:rPr>
                  <m:t>=</m:t>
                </m:r>
                <m:f>
                  <m:fPr>
                    <m:ctrlPr>
                      <w:rPr>
                        <w:rFonts w:hint="default" w:ascii="Cambria Math" w:hAnsi="Cambria Math" w:cs="Times New Roman"/>
                        <w:i/>
                        <w:color w:val="000000" w:themeColor="text1"/>
                        <w:sz w:val="21"/>
                        <w14:textFill>
                          <w14:solidFill>
                            <w14:schemeClr w14:val="tx1"/>
                          </w14:solidFill>
                        </w14:textFill>
                      </w:rPr>
                    </m:ctrlPr>
                  </m:fPr>
                  <m:num>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cs="Times New Roman"/>
                            <w:i/>
                            <w:color w:val="000000" w:themeColor="text1"/>
                            <w:sz w:val="21"/>
                            <w14:textFill>
                              <w14:solidFill>
                                <w14:schemeClr w14:val="tx1"/>
                              </w14:solidFill>
                            </w14:textFill>
                          </w:rPr>
                          <m:t>m</m:t>
                        </m:r>
                        <m:ctrlPr>
                          <w:rPr>
                            <w:rFonts w:hint="default" w:ascii="Cambria Math" w:hAnsi="Cambria Math" w:cs="Times New Roman"/>
                            <w:i/>
                            <w:color w:val="000000" w:themeColor="text1"/>
                            <w:sz w:val="21"/>
                            <w14:textFill>
                              <w14:solidFill>
                                <w14:schemeClr w14:val="tx1"/>
                              </w14:solidFill>
                            </w14:textFill>
                          </w:rPr>
                        </m:ctrlPr>
                      </m:e>
                      <m:sub>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cs="Times New Roman"/>
                                <w:i/>
                                <w:color w:val="000000" w:themeColor="text1"/>
                                <w:sz w:val="21"/>
                                <w14:textFill>
                                  <w14:solidFill>
                                    <w14:schemeClr w14:val="tx1"/>
                                  </w14:solidFill>
                                </w14:textFill>
                              </w:rPr>
                              <m:t>voc</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num>
                  <m:den>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cs="Times New Roman"/>
                            <w:i/>
                            <w:color w:val="000000" w:themeColor="text1"/>
                            <w:sz w:val="21"/>
                            <w14:textFill>
                              <w14:solidFill>
                                <w14:schemeClr w14:val="tx1"/>
                              </w14:solidFill>
                            </w14:textFill>
                          </w:rPr>
                          <m:t>v</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cs="Times New Roman"/>
                    <w:b w:val="0"/>
                    <w:i w:val="0"/>
                    <w:color w:val="000000" w:themeColor="text1"/>
                    <w:sz w:val="21"/>
                    <w14:textFill>
                      <w14:solidFill>
                        <w14:schemeClr w14:val="tx1"/>
                      </w14:solidFill>
                    </w14:textFill>
                  </w:rPr>
                  <m:t>=</m:t>
                </m:r>
                <m:f>
                  <m:fPr>
                    <m:ctrlPr>
                      <w:rPr>
                        <w:rFonts w:hint="default" w:ascii="Cambria Math" w:hAnsi="Cambria Math" w:cs="Times New Roman"/>
                        <w:i/>
                        <w:color w:val="000000" w:themeColor="text1"/>
                        <w:sz w:val="21"/>
                        <w14:textFill>
                          <w14:solidFill>
                            <w14:schemeClr w14:val="tx1"/>
                          </w14:solidFill>
                        </w14:textFill>
                      </w:rPr>
                    </m:ctrlPr>
                  </m:fPr>
                  <m:num>
                    <m:r>
                      <m:rPr>
                        <m:nor/>
                        <m:sty m:val="p"/>
                      </m:rPr>
                      <w:rPr>
                        <w:rFonts w:hint="default" w:ascii="Cambria Math" w:hAnsi="Cambria Math" w:cs="Times New Roman"/>
                        <w:b w:val="0"/>
                        <w:i w:val="0"/>
                        <w:color w:val="000000" w:themeColor="text1"/>
                        <w:sz w:val="21"/>
                        <w:lang w:val="en-US" w:eastAsia="zh-CN"/>
                        <w14:textFill>
                          <w14:solidFill>
                            <w14:schemeClr w14:val="tx1"/>
                          </w14:solidFill>
                        </w14:textFill>
                      </w:rPr>
                      <m:t>5.368</m:t>
                    </m:r>
                    <m:r>
                      <m:rPr>
                        <m:nor/>
                        <m:sty m:val="p"/>
                      </m:rPr>
                      <w:rPr>
                        <w:rFonts w:hint="default" w:ascii="Times New Roman" w:cs="Times New Roman"/>
                        <w:b w:val="0"/>
                        <w:i w:val="0"/>
                        <w:color w:val="000000" w:themeColor="text1"/>
                        <w:sz w:val="21"/>
                        <w14:textFill>
                          <w14:solidFill>
                            <w14:schemeClr w14:val="tx1"/>
                          </w14:solidFill>
                        </w14:textFill>
                      </w:rPr>
                      <m:t>×</m:t>
                    </m:r>
                    <m:r>
                      <m:rPr>
                        <m:nor/>
                        <m:sty m:val="p"/>
                      </m:rPr>
                      <w:rPr>
                        <w:rFonts w:hint="default" w:ascii="Times New Roman" w:cs="Times New Roman"/>
                        <w:b w:val="0"/>
                        <w:i w:val="0"/>
                        <w:color w:val="000000" w:themeColor="text1"/>
                        <w:sz w:val="21"/>
                        <w:lang w:val="en-US" w:eastAsia="zh-CN"/>
                        <w14:textFill>
                          <w14:solidFill>
                            <w14:schemeClr w14:val="tx1"/>
                          </w14:solidFill>
                        </w14:textFill>
                      </w:rPr>
                      <m:t>8</m:t>
                    </m:r>
                    <m:r>
                      <m:rPr>
                        <m:nor/>
                        <m:sty m:val="p"/>
                      </m:rPr>
                      <w:rPr>
                        <w:rFonts w:hint="default" w:ascii="Times New Roman" w:cs="Times New Roman"/>
                        <w:b w:val="0"/>
                        <w:i w:val="0"/>
                        <w:color w:val="000000" w:themeColor="text1"/>
                        <w:sz w:val="21"/>
                        <w14:textFill>
                          <w14:solidFill>
                            <w14:schemeClr w14:val="tx1"/>
                          </w14:solidFill>
                        </w14:textFill>
                      </w:rPr>
                      <m:t>%</m:t>
                    </m:r>
                    <m:ctrlPr>
                      <w:rPr>
                        <w:rFonts w:hint="default" w:ascii="Cambria Math" w:hAnsi="Cambria Math" w:cs="Times New Roman"/>
                        <w:i/>
                        <w:color w:val="000000" w:themeColor="text1"/>
                        <w:sz w:val="21"/>
                        <w14:textFill>
                          <w14:solidFill>
                            <w14:schemeClr w14:val="tx1"/>
                          </w14:solidFill>
                        </w14:textFill>
                      </w:rPr>
                    </m:ctrlPr>
                  </m:num>
                  <m:den>
                    <m:f>
                      <m:fPr>
                        <m:ctrlPr>
                          <w:rPr>
                            <w:rFonts w:hint="default" w:ascii="Cambria Math" w:hAnsi="Cambria Math" w:cs="Times New Roman"/>
                            <w:i/>
                            <w:color w:val="000000" w:themeColor="text1"/>
                            <w:sz w:val="21"/>
                            <w14:textFill>
                              <w14:solidFill>
                                <w14:schemeClr w14:val="tx1"/>
                              </w14:solidFill>
                            </w14:textFill>
                          </w:rPr>
                        </m:ctrlPr>
                      </m:fPr>
                      <m:num>
                        <m:r>
                          <m:rPr>
                            <m:nor/>
                            <m:sty m:val="p"/>
                          </m:rPr>
                          <w:rPr>
                            <w:rFonts w:hint="default" w:ascii="Times New Roman" w:cs="Times New Roman"/>
                            <w:b w:val="0"/>
                            <w:i w:val="0"/>
                            <w:color w:val="000000" w:themeColor="text1"/>
                            <w:sz w:val="21"/>
                            <w:lang w:val="en-US" w:eastAsia="zh-CN"/>
                            <w14:textFill>
                              <w14:solidFill>
                                <w14:schemeClr w14:val="tx1"/>
                              </w14:solidFill>
                            </w14:textFill>
                          </w:rPr>
                          <m:t>5.368</m:t>
                        </m:r>
                        <m:r>
                          <m:rPr>
                            <m:nor/>
                          </m:rPr>
                          <w:rPr>
                            <w:rFonts w:hint="default" w:ascii="Times New Roman" w:cs="Times New Roman"/>
                            <w:i/>
                            <w:color w:val="000000" w:themeColor="text1"/>
                            <w:sz w:val="21"/>
                            <w14:textFill>
                              <w14:solidFill>
                                <w14:schemeClr w14:val="tx1"/>
                              </w14:solidFill>
                            </w14:textFill>
                          </w:rPr>
                          <m:t>t</m:t>
                        </m:r>
                        <m:ctrlPr>
                          <w:rPr>
                            <w:rFonts w:hint="default" w:ascii="Cambria Math" w:hAnsi="Cambria Math" w:cs="Times New Roman"/>
                            <w:i/>
                            <w:color w:val="000000" w:themeColor="text1"/>
                            <w:sz w:val="21"/>
                            <w14:textFill>
                              <w14:solidFill>
                                <w14:schemeClr w14:val="tx1"/>
                              </w14:solidFill>
                            </w14:textFill>
                          </w:rPr>
                        </m:ctrlPr>
                      </m:num>
                      <m:den>
                        <m:r>
                          <m:rPr>
                            <m:nor/>
                            <m:sty m:val="p"/>
                          </m:rPr>
                          <w:rPr>
                            <w:rFonts w:hint="default" w:ascii="Times New Roman" w:cs="Times New Roman"/>
                            <w:b w:val="0"/>
                            <w:i w:val="0"/>
                            <w:color w:val="000000" w:themeColor="text1"/>
                            <w:sz w:val="21"/>
                            <w14:textFill>
                              <w14:solidFill>
                                <w14:schemeClr w14:val="tx1"/>
                              </w14:solidFill>
                            </w14:textFill>
                          </w:rPr>
                          <m:t>1.</m:t>
                        </m:r>
                        <m:r>
                          <m:rPr>
                            <m:nor/>
                            <m:sty m:val="p"/>
                          </m:rPr>
                          <w:rPr>
                            <w:rFonts w:hint="default" w:ascii="Times New Roman" w:cs="Times New Roman"/>
                            <w:b w:val="0"/>
                            <w:i w:val="0"/>
                            <w:color w:val="000000" w:themeColor="text1"/>
                            <w:sz w:val="21"/>
                            <w:lang w:val="en-US" w:eastAsia="zh-CN"/>
                            <w14:textFill>
                              <w14:solidFill>
                                <w14:schemeClr w14:val="tx1"/>
                              </w14:solidFill>
                            </w14:textFill>
                          </w:rPr>
                          <m:t>25</m:t>
                        </m:r>
                        <m:r>
                          <m:rPr>
                            <m:nor/>
                          </m:rPr>
                          <w:rPr>
                            <w:rFonts w:hint="default" w:ascii="Times New Roman" w:cs="Times New Roman"/>
                            <w:i/>
                            <w:color w:val="000000" w:themeColor="text1"/>
                            <w:sz w:val="21"/>
                            <w14:textFill>
                              <w14:solidFill>
                                <w14:schemeClr w14:val="tx1"/>
                              </w14:solidFill>
                            </w14:textFill>
                          </w:rPr>
                          <m:t>g</m:t>
                        </m:r>
                        <m:r>
                          <m:rPr>
                            <m:nor/>
                            <m:sty m:val="p"/>
                          </m:rPr>
                          <w:rPr>
                            <w:rFonts w:hint="default" w:ascii="Times New Roman" w:cs="Times New Roman"/>
                            <w:b w:val="0"/>
                            <w:i w:val="0"/>
                            <w:color w:val="000000" w:themeColor="text1"/>
                            <w:sz w:val="21"/>
                            <w14:textFill>
                              <w14:solidFill>
                                <w14:schemeClr w14:val="tx1"/>
                              </w14:solidFill>
                            </w14:textFill>
                          </w:rPr>
                          <m:t>/</m:t>
                        </m:r>
                        <m:sSup>
                          <m:sSupPr>
                            <m:ctrlPr>
                              <w:rPr>
                                <w:rFonts w:hint="default" w:ascii="Cambria Math" w:hAnsi="Cambria Math" w:cs="Times New Roman"/>
                                <w:i/>
                                <w:color w:val="000000" w:themeColor="text1"/>
                                <w:sz w:val="21"/>
                                <w14:textFill>
                                  <w14:solidFill>
                                    <w14:schemeClr w14:val="tx1"/>
                                  </w14:solidFill>
                                </w14:textFill>
                              </w:rPr>
                            </m:ctrlPr>
                          </m:sSupPr>
                          <m:e>
                            <m:r>
                              <m:rPr>
                                <m:nor/>
                              </m:rPr>
                              <w:rPr>
                                <w:rFonts w:hint="default" w:ascii="Times New Roman" w:cs="Times New Roman"/>
                                <w:i/>
                                <w:color w:val="000000" w:themeColor="text1"/>
                                <w:sz w:val="21"/>
                                <w14:textFill>
                                  <w14:solidFill>
                                    <w14:schemeClr w14:val="tx1"/>
                                  </w14:solidFill>
                                </w14:textFill>
                              </w:rPr>
                              <m:t>cm</m:t>
                            </m:r>
                            <m:ctrlPr>
                              <w:rPr>
                                <w:rFonts w:hint="default" w:ascii="Cambria Math" w:hAnsi="Cambria Math" w:cs="Times New Roman"/>
                                <w:i/>
                                <w:color w:val="000000" w:themeColor="text1"/>
                                <w:sz w:val="21"/>
                                <w14:textFill>
                                  <w14:solidFill>
                                    <w14:schemeClr w14:val="tx1"/>
                                  </w14:solidFill>
                                </w14:textFill>
                              </w:rPr>
                            </m:ctrlPr>
                          </m:e>
                          <m:sup>
                            <m:r>
                              <m:rPr>
                                <m:nor/>
                                <m:sty m:val="p"/>
                              </m:rPr>
                              <w:rPr>
                                <w:rFonts w:hint="default" w:ascii="Times New Roman" w:cs="Times New Roman"/>
                                <w:b w:val="0"/>
                                <w:i w:val="0"/>
                                <w:color w:val="000000" w:themeColor="text1"/>
                                <w:sz w:val="21"/>
                                <w14:textFill>
                                  <w14:solidFill>
                                    <w14:schemeClr w14:val="tx1"/>
                                  </w14:solidFill>
                                </w14:textFill>
                              </w:rPr>
                              <m:t>3</m:t>
                            </m:r>
                            <m:ctrlPr>
                              <w:rPr>
                                <w:rFonts w:hint="default" w:ascii="Cambria Math" w:hAnsi="Cambria Math" w:cs="Times New Roman"/>
                                <w:i/>
                                <w:color w:val="000000" w:themeColor="text1"/>
                                <w:sz w:val="21"/>
                                <w14:textFill>
                                  <w14:solidFill>
                                    <w14:schemeClr w14:val="tx1"/>
                                  </w14:solidFill>
                                </w14:textFill>
                              </w:rPr>
                            </m:ctrlPr>
                          </m:sup>
                        </m:sSup>
                        <m:ctrlPr>
                          <w:rPr>
                            <w:rFonts w:hint="default" w:ascii="Cambria Math" w:hAnsi="Cambria Math" w:cs="Times New Roman"/>
                            <w:i/>
                            <w:color w:val="000000" w:themeColor="text1"/>
                            <w:sz w:val="21"/>
                            <w14:textFill>
                              <w14:solidFill>
                                <w14:schemeClr w14:val="tx1"/>
                              </w14:solidFill>
                            </w14:textFill>
                          </w:rPr>
                        </m:ctrlPr>
                      </m:den>
                    </m:f>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cs="Times New Roman"/>
                    <w:b w:val="0"/>
                    <w:i w:val="0"/>
                    <w:color w:val="000000" w:themeColor="text1"/>
                    <w:sz w:val="21"/>
                    <w14:textFill>
                      <w14:solidFill>
                        <w14:schemeClr w14:val="tx1"/>
                      </w14:solidFill>
                    </w14:textFill>
                  </w:rPr>
                  <m:t>=</m:t>
                </m:r>
                <m:r>
                  <m:rPr>
                    <m:nor/>
                    <m:sty m:val="p"/>
                  </m:rPr>
                  <w:rPr>
                    <w:rFonts w:hint="default" w:ascii="Times New Roman" w:cs="Times New Roman"/>
                    <w:b w:val="0"/>
                    <w:i w:val="0"/>
                    <w:color w:val="000000" w:themeColor="text1"/>
                    <w:sz w:val="21"/>
                    <w:lang w:val="en-US" w:eastAsia="zh-CN"/>
                    <w14:textFill>
                      <w14:solidFill>
                        <w14:schemeClr w14:val="tx1"/>
                      </w14:solidFill>
                    </w14:textFill>
                  </w:rPr>
                  <m:t>100</m:t>
                </m:r>
                <m:r>
                  <m:rPr>
                    <m:nor/>
                  </m:rPr>
                  <w:rPr>
                    <w:rFonts w:hint="default" w:ascii="Times New Roman" w:cs="Times New Roman"/>
                    <w:i/>
                    <w:color w:val="000000" w:themeColor="text1"/>
                    <w:sz w:val="21"/>
                    <w14:textFill>
                      <w14:solidFill>
                        <w14:schemeClr w14:val="tx1"/>
                      </w14:solidFill>
                    </w14:textFill>
                  </w:rPr>
                  <m:t>g</m:t>
                </m:r>
                <m:r>
                  <m:rPr>
                    <m:nor/>
                    <m:sty m:val="p"/>
                  </m:rPr>
                  <w:rPr>
                    <w:rFonts w:hint="default" w:ascii="Times New Roman" w:cs="Times New Roman"/>
                    <w:b w:val="0"/>
                    <w:i w:val="0"/>
                    <w:color w:val="000000" w:themeColor="text1"/>
                    <w:sz w:val="21"/>
                    <w14:textFill>
                      <w14:solidFill>
                        <w14:schemeClr w14:val="tx1"/>
                      </w14:solidFill>
                    </w14:textFill>
                  </w:rPr>
                  <m:t>/</m:t>
                </m:r>
                <m:r>
                  <m:rPr>
                    <m:nor/>
                  </m:rPr>
                  <w:rPr>
                    <w:rFonts w:hint="default" w:ascii="Times New Roman" w:cs="Times New Roman"/>
                    <w:i/>
                    <w:color w:val="000000" w:themeColor="text1"/>
                    <w:sz w:val="21"/>
                    <w14:textFill>
                      <w14:solidFill>
                        <w14:schemeClr w14:val="tx1"/>
                      </w14:solidFill>
                    </w14:textFill>
                  </w:rPr>
                  <m:t>L</m:t>
                </m:r>
              </m:oMath>
            </m:oMathPara>
          </w:p>
          <w:p w14:paraId="57B89EBF">
            <w:pPr>
              <w:pStyle w:val="41"/>
              <w:keepNext w:val="0"/>
              <w:keepLines w:val="0"/>
              <w:suppressLineNumbers w:val="0"/>
              <w:spacing w:before="0" w:beforeAutospacing="0" w:after="0" w:afterAutospacing="0" w:line="360" w:lineRule="auto"/>
              <w:ind w:left="0" w:right="0" w:firstLine="480" w:firstLineChars="200"/>
              <w:jc w:val="both"/>
              <w:rPr>
                <w:rFonts w:hint="default"/>
                <w:color w:val="000000" w:themeColor="text1"/>
                <w14:textFill>
                  <w14:solidFill>
                    <w14:schemeClr w14:val="tx1"/>
                  </w14:solidFill>
                </w14:textFill>
              </w:rPr>
            </w:pPr>
            <w:r>
              <w:rPr>
                <w:rFonts w:hint="default"/>
                <w:color w:val="000000" w:themeColor="text1"/>
                <w:sz w:val="24"/>
                <w14:textFill>
                  <w14:solidFill>
                    <w14:schemeClr w14:val="tx1"/>
                  </w14:solidFill>
                </w14:textFill>
              </w:rPr>
              <w:t>计算可知本项目</w:t>
            </w:r>
            <w:r>
              <w:rPr>
                <w:rFonts w:hint="eastAsia"/>
                <w:color w:val="000000" w:themeColor="text1"/>
                <w:kern w:val="2"/>
                <w:sz w:val="24"/>
                <w:szCs w:val="24"/>
                <w:lang w:eastAsia="zh-CN"/>
                <w14:textFill>
                  <w14:solidFill>
                    <w14:schemeClr w14:val="tx1"/>
                  </w14:solidFill>
                </w14:textFill>
              </w:rPr>
              <w:t>水性底漆</w:t>
            </w:r>
            <w:r>
              <w:rPr>
                <w:rFonts w:hint="default"/>
                <w:color w:val="000000" w:themeColor="text1"/>
                <w:sz w:val="24"/>
                <w14:textFill>
                  <w14:solidFill>
                    <w14:schemeClr w14:val="tx1"/>
                  </w14:solidFill>
                </w14:textFill>
              </w:rPr>
              <w:t>满足</w:t>
            </w:r>
            <w:r>
              <w:rPr>
                <w:rFonts w:hint="default"/>
                <w:color w:val="000000" w:themeColor="text1"/>
                <w:sz w:val="24"/>
                <w:shd w:val="clear" w:color="auto" w:fill="FFFFFF"/>
                <w14:textFill>
                  <w14:solidFill>
                    <w14:schemeClr w14:val="tx1"/>
                  </w14:solidFill>
                </w14:textFill>
              </w:rPr>
              <w:t>《低挥发性有机化合物含量涂料产品技术要求》（GB/T38597-2020）表1规定的车辆涂料-汽车原厂涂料</w:t>
            </w:r>
            <w:r>
              <w:rPr>
                <w:rFonts w:hint="default" w:eastAsia="微软雅黑"/>
                <w:color w:val="000000" w:themeColor="text1"/>
                <w:sz w:val="24"/>
                <w:shd w:val="clear" w:color="auto" w:fill="FFFFFF"/>
                <w14:textFill>
                  <w14:solidFill>
                    <w14:schemeClr w14:val="tx1"/>
                  </w14:solidFill>
                </w14:textFill>
              </w:rPr>
              <w:t>〔</w:t>
            </w:r>
            <w:r>
              <w:rPr>
                <w:rFonts w:hint="default"/>
                <w:color w:val="000000" w:themeColor="text1"/>
                <w:sz w:val="24"/>
                <w:shd w:val="clear" w:color="auto" w:fill="FFFFFF"/>
                <w14:textFill>
                  <w14:solidFill>
                    <w14:schemeClr w14:val="tx1"/>
                  </w14:solidFill>
                </w14:textFill>
              </w:rPr>
              <w:t>客车（机动车）</w:t>
            </w:r>
            <w:r>
              <w:rPr>
                <w:rFonts w:hint="default" w:eastAsia="微软雅黑"/>
                <w:color w:val="000000" w:themeColor="text1"/>
                <w:sz w:val="24"/>
                <w:shd w:val="clear" w:color="auto" w:fill="FFFFFF"/>
                <w14:textFill>
                  <w14:solidFill>
                    <w14:schemeClr w14:val="tx1"/>
                  </w14:solidFill>
                </w14:textFill>
              </w:rPr>
              <w:t>〕</w:t>
            </w:r>
            <w:r>
              <w:rPr>
                <w:rFonts w:hint="default"/>
                <w:color w:val="000000" w:themeColor="text1"/>
                <w:sz w:val="24"/>
                <w14:textFill>
                  <w14:solidFill>
                    <w14:schemeClr w14:val="tx1"/>
                  </w14:solidFill>
                </w14:textFill>
              </w:rPr>
              <w:t>VOCs</w:t>
            </w:r>
            <w:r>
              <w:rPr>
                <w:rFonts w:hint="default"/>
                <w:color w:val="000000" w:themeColor="text1"/>
                <w:sz w:val="24"/>
                <w:shd w:val="clear" w:color="auto" w:fill="FFFFFF"/>
                <w14:textFill>
                  <w14:solidFill>
                    <w14:schemeClr w14:val="tx1"/>
                  </w14:solidFill>
                </w14:textFill>
              </w:rPr>
              <w:t>含量限值要求（</w:t>
            </w:r>
            <w:r>
              <w:rPr>
                <w:rFonts w:hint="default"/>
                <w:color w:val="000000" w:themeColor="text1"/>
                <w:sz w:val="24"/>
                <w14:textFill>
                  <w14:solidFill>
                    <w14:schemeClr w14:val="tx1"/>
                  </w14:solidFill>
                </w14:textFill>
              </w:rPr>
              <w:t>VOCs</w:t>
            </w:r>
            <w:r>
              <w:rPr>
                <w:rFonts w:hint="default"/>
                <w:color w:val="000000" w:themeColor="text1"/>
                <w:sz w:val="24"/>
                <w:szCs w:val="24"/>
                <w14:textFill>
                  <w14:solidFill>
                    <w14:schemeClr w14:val="tx1"/>
                  </w14:solidFill>
                </w14:textFill>
              </w:rPr>
              <w:t>含量≤250g/L</w:t>
            </w:r>
            <w:r>
              <w:rPr>
                <w:rFonts w:hint="default"/>
                <w:color w:val="000000" w:themeColor="text1"/>
                <w:sz w:val="24"/>
                <w:shd w:val="clear" w:color="auto" w:fill="FFFFFF"/>
                <w14:textFill>
                  <w14:solidFill>
                    <w14:schemeClr w14:val="tx1"/>
                  </w14:solidFill>
                </w14:textFill>
              </w:rPr>
              <w:t>）</w:t>
            </w:r>
            <w:r>
              <w:rPr>
                <w:rFonts w:hint="eastAsia"/>
                <w:color w:val="000000" w:themeColor="text1"/>
                <w:sz w:val="24"/>
                <w:shd w:val="clear" w:color="auto" w:fill="FFFFFF"/>
                <w:lang w:eastAsia="zh-CN"/>
                <w14:textFill>
                  <w14:solidFill>
                    <w14:schemeClr w14:val="tx1"/>
                  </w14:solidFill>
                </w14:textFill>
              </w:rPr>
              <w:t>、</w:t>
            </w:r>
            <w:r>
              <w:rPr>
                <w:rFonts w:hint="eastAsia"/>
                <w:color w:val="000000" w:themeColor="text1"/>
                <w:sz w:val="24"/>
                <w:shd w:val="clear" w:color="auto" w:fill="FFFFFF"/>
                <w:lang w:val="en-US" w:eastAsia="zh-CN"/>
                <w14:textFill>
                  <w14:solidFill>
                    <w14:schemeClr w14:val="tx1"/>
                  </w14:solidFill>
                </w14:textFill>
              </w:rPr>
              <w:t>工程机械和农业机械涂料（含零部件涂料）</w:t>
            </w:r>
            <w:r>
              <w:rPr>
                <w:rFonts w:hint="default"/>
                <w:color w:val="000000" w:themeColor="text1"/>
                <w:sz w:val="24"/>
                <w14:textFill>
                  <w14:solidFill>
                    <w14:schemeClr w14:val="tx1"/>
                  </w14:solidFill>
                </w14:textFill>
              </w:rPr>
              <w:t>VOCs</w:t>
            </w:r>
            <w:r>
              <w:rPr>
                <w:rFonts w:hint="default"/>
                <w:color w:val="000000" w:themeColor="text1"/>
                <w:sz w:val="24"/>
                <w:shd w:val="clear" w:color="auto" w:fill="FFFFFF"/>
                <w14:textFill>
                  <w14:solidFill>
                    <w14:schemeClr w14:val="tx1"/>
                  </w14:solidFill>
                </w14:textFill>
              </w:rPr>
              <w:t>含量限值要求（</w:t>
            </w:r>
            <w:r>
              <w:rPr>
                <w:rFonts w:hint="default"/>
                <w:color w:val="000000" w:themeColor="text1"/>
                <w:sz w:val="24"/>
                <w14:textFill>
                  <w14:solidFill>
                    <w14:schemeClr w14:val="tx1"/>
                  </w14:solidFill>
                </w14:textFill>
              </w:rPr>
              <w:t>VOCs</w:t>
            </w:r>
            <w:r>
              <w:rPr>
                <w:rFonts w:hint="default"/>
                <w:color w:val="000000" w:themeColor="text1"/>
                <w:sz w:val="24"/>
                <w:szCs w:val="24"/>
                <w14:textFill>
                  <w14:solidFill>
                    <w14:schemeClr w14:val="tx1"/>
                  </w14:solidFill>
                </w14:textFill>
              </w:rPr>
              <w:t>含量≤</w:t>
            </w:r>
            <w:r>
              <w:rPr>
                <w:rFonts w:hint="eastAsia"/>
                <w:color w:val="000000" w:themeColor="text1"/>
                <w:sz w:val="24"/>
                <w:szCs w:val="24"/>
                <w:lang w:val="en-US" w:eastAsia="zh-CN"/>
                <w14:textFill>
                  <w14:solidFill>
                    <w14:schemeClr w14:val="tx1"/>
                  </w14:solidFill>
                </w14:textFill>
              </w:rPr>
              <w:t>250</w:t>
            </w:r>
            <w:r>
              <w:rPr>
                <w:rFonts w:hint="default"/>
                <w:color w:val="000000" w:themeColor="text1"/>
                <w:sz w:val="24"/>
                <w:szCs w:val="24"/>
                <w14:textFill>
                  <w14:solidFill>
                    <w14:schemeClr w14:val="tx1"/>
                  </w14:solidFill>
                </w14:textFill>
              </w:rPr>
              <w:t>g/L</w:t>
            </w:r>
            <w:r>
              <w:rPr>
                <w:rFonts w:hint="default"/>
                <w:color w:val="000000" w:themeColor="text1"/>
                <w:sz w:val="24"/>
                <w:shd w:val="clear" w:color="auto" w:fill="FFFFFF"/>
                <w14:textFill>
                  <w14:solidFill>
                    <w14:schemeClr w14:val="tx1"/>
                  </w14:solidFill>
                </w14:textFill>
              </w:rPr>
              <w:t>）</w:t>
            </w:r>
            <w:r>
              <w:rPr>
                <w:rFonts w:hint="eastAsia" w:cs="Times New Roman"/>
                <w:color w:val="000000" w:themeColor="text1"/>
                <w:sz w:val="24"/>
                <w:shd w:val="clear" w:color="auto" w:fill="FFFFFF"/>
                <w:lang w:eastAsia="zh-CN"/>
                <w14:textFill>
                  <w14:solidFill>
                    <w14:schemeClr w14:val="tx1"/>
                  </w14:solidFill>
                </w14:textFill>
              </w:rPr>
              <w:t>；</w:t>
            </w:r>
            <w:r>
              <w:rPr>
                <w:rFonts w:hint="eastAsia" w:ascii="Times New Roman" w:hAnsi="Times New Roman" w:eastAsia="宋体" w:cs="Times New Roman"/>
                <w:color w:val="000000" w:themeColor="text1"/>
                <w:sz w:val="24"/>
                <w:shd w:val="clear" w:color="auto" w:fill="FFFFFF"/>
                <w:lang w:val="en-US" w:eastAsia="zh-CN"/>
                <w14:textFill>
                  <w14:solidFill>
                    <w14:schemeClr w14:val="tx1"/>
                  </w14:solidFill>
                </w14:textFill>
              </w:rPr>
              <w:t>同时满足《车辆涂料中有害物质限量GB24409-2020》表1规定的水性涂料中VOC含量的限量值要求-汽车原厂涂料〔客车（机动车）〕-其他底漆VOCs含量限值要求（VOCs含量≤420g/L）</w:t>
            </w:r>
            <w:r>
              <w:rPr>
                <w:rFonts w:hint="eastAsia" w:cs="Times New Roman"/>
                <w:color w:val="000000" w:themeColor="text1"/>
                <w:sz w:val="24"/>
                <w:shd w:val="clear" w:color="auto" w:fill="FFFFFF"/>
                <w:lang w:val="en-US" w:eastAsia="zh-CN"/>
                <w14:textFill>
                  <w14:solidFill>
                    <w14:schemeClr w14:val="tx1"/>
                  </w14:solidFill>
                </w14:textFill>
              </w:rPr>
              <w:t>、</w:t>
            </w:r>
            <w:r>
              <w:rPr>
                <w:rFonts w:hint="eastAsia"/>
                <w:color w:val="000000" w:themeColor="text1"/>
                <w:sz w:val="24"/>
                <w:highlight w:val="none"/>
                <w:shd w:val="clear" w:color="auto" w:fill="FFFFFF"/>
                <w:lang w:val="en-US" w:eastAsia="zh-CN"/>
                <w14:textFill>
                  <w14:solidFill>
                    <w14:schemeClr w14:val="tx1"/>
                  </w14:solidFill>
                </w14:textFill>
              </w:rPr>
              <w:t>《工业防护涂料中有害物质限量》（GB 30981-2020）表1规定的</w:t>
            </w:r>
            <w:r>
              <w:rPr>
                <w:rFonts w:hint="default"/>
                <w:color w:val="000000" w:themeColor="text1"/>
                <w:sz w:val="24"/>
                <w:highlight w:val="none"/>
                <w:shd w:val="clear" w:color="auto" w:fill="FFFFFF"/>
                <w14:textFill>
                  <w14:solidFill>
                    <w14:schemeClr w14:val="tx1"/>
                  </w14:solidFill>
                </w14:textFill>
              </w:rPr>
              <w:t>机械设备涂料-工程机械和农业机械涂料（含零部件涂料）中底漆</w:t>
            </w:r>
            <w:r>
              <w:rPr>
                <w:rFonts w:hint="default"/>
                <w:color w:val="000000" w:themeColor="text1"/>
                <w:sz w:val="24"/>
                <w:highlight w:val="none"/>
                <w14:textFill>
                  <w14:solidFill>
                    <w14:schemeClr w14:val="tx1"/>
                  </w14:solidFill>
                </w14:textFill>
              </w:rPr>
              <w:t>VOCs</w:t>
            </w:r>
            <w:r>
              <w:rPr>
                <w:rFonts w:hint="default"/>
                <w:color w:val="000000" w:themeColor="text1"/>
                <w:sz w:val="24"/>
                <w:highlight w:val="none"/>
                <w:shd w:val="clear" w:color="auto" w:fill="FFFFFF"/>
                <w14:textFill>
                  <w14:solidFill>
                    <w14:schemeClr w14:val="tx1"/>
                  </w14:solidFill>
                </w14:textFill>
              </w:rPr>
              <w:t>含量限值要求（</w:t>
            </w:r>
            <w:r>
              <w:rPr>
                <w:rFonts w:hint="default"/>
                <w:color w:val="000000" w:themeColor="text1"/>
                <w:sz w:val="24"/>
                <w:highlight w:val="none"/>
                <w14:textFill>
                  <w14:solidFill>
                    <w14:schemeClr w14:val="tx1"/>
                  </w14:solidFill>
                </w14:textFill>
              </w:rPr>
              <w:t>VOCs</w:t>
            </w:r>
            <w:r>
              <w:rPr>
                <w:rFonts w:hint="default"/>
                <w:color w:val="000000" w:themeColor="text1"/>
                <w:sz w:val="24"/>
                <w:szCs w:val="24"/>
                <w:highlight w:val="none"/>
                <w14:textFill>
                  <w14:solidFill>
                    <w14:schemeClr w14:val="tx1"/>
                  </w14:solidFill>
                </w14:textFill>
              </w:rPr>
              <w:t>含量≤</w:t>
            </w:r>
            <w:r>
              <w:rPr>
                <w:rFonts w:hint="eastAsia"/>
                <w:color w:val="000000" w:themeColor="text1"/>
                <w:sz w:val="24"/>
                <w:szCs w:val="24"/>
                <w:highlight w:val="none"/>
                <w:lang w:val="en-US" w:eastAsia="zh-CN"/>
                <w14:textFill>
                  <w14:solidFill>
                    <w14:schemeClr w14:val="tx1"/>
                  </w14:solidFill>
                </w14:textFill>
              </w:rPr>
              <w:t>300</w:t>
            </w:r>
            <w:r>
              <w:rPr>
                <w:rFonts w:hint="default"/>
                <w:color w:val="000000" w:themeColor="text1"/>
                <w:sz w:val="24"/>
                <w:szCs w:val="24"/>
                <w:highlight w:val="none"/>
                <w14:textFill>
                  <w14:solidFill>
                    <w14:schemeClr w14:val="tx1"/>
                  </w14:solidFill>
                </w14:textFill>
              </w:rPr>
              <w:t>g/L</w:t>
            </w:r>
            <w:r>
              <w:rPr>
                <w:rFonts w:hint="default"/>
                <w:color w:val="000000" w:themeColor="text1"/>
                <w:sz w:val="24"/>
                <w:highlight w:val="none"/>
                <w:shd w:val="clear" w:color="auto" w:fill="FFFFFF"/>
                <w14:textFill>
                  <w14:solidFill>
                    <w14:schemeClr w14:val="tx1"/>
                  </w14:solidFill>
                </w14:textFill>
              </w:rPr>
              <w:t>）</w:t>
            </w:r>
            <w:r>
              <w:rPr>
                <w:rFonts w:hint="default" w:ascii="Times New Roman" w:hAnsi="Times New Roman" w:eastAsia="宋体" w:cs="Times New Roman"/>
                <w:color w:val="000000" w:themeColor="text1"/>
                <w:sz w:val="24"/>
                <w:shd w:val="clear" w:color="auto" w:fill="FFFFFF"/>
                <w14:textFill>
                  <w14:solidFill>
                    <w14:schemeClr w14:val="tx1"/>
                  </w14:solidFill>
                </w14:textFill>
              </w:rPr>
              <w:t>。</w:t>
            </w:r>
          </w:p>
          <w:p w14:paraId="721B9F77">
            <w:pPr>
              <w:keepNext w:val="0"/>
              <w:keepLines w:val="0"/>
              <w:suppressLineNumbers w:val="0"/>
              <w:spacing w:before="0" w:beforeAutospacing="0" w:after="0" w:afterAutospacing="0" w:line="360" w:lineRule="auto"/>
              <w:ind w:left="0" w:right="0" w:firstLine="482" w:firstLineChars="200"/>
              <w:rPr>
                <w:rFonts w:hint="default"/>
                <w:b/>
                <w:color w:val="000000" w:themeColor="text1"/>
                <w:kern w:val="0"/>
                <w:sz w:val="24"/>
                <w14:textFill>
                  <w14:solidFill>
                    <w14:schemeClr w14:val="tx1"/>
                  </w14:solidFill>
                </w14:textFill>
              </w:rPr>
            </w:pPr>
            <w:r>
              <w:rPr>
                <w:rFonts w:hint="default"/>
                <w:b/>
                <w:color w:val="000000" w:themeColor="text1"/>
                <w:kern w:val="0"/>
                <w:sz w:val="24"/>
                <w14:textFill>
                  <w14:solidFill>
                    <w14:schemeClr w14:val="tx1"/>
                  </w14:solidFill>
                </w14:textFill>
              </w:rPr>
              <w:t>（2）塑粉核算</w:t>
            </w:r>
          </w:p>
          <w:p w14:paraId="28C18314">
            <w:pPr>
              <w:keepNext w:val="0"/>
              <w:keepLines w:val="0"/>
              <w:widowControl/>
              <w:suppressLineNumbers w:val="0"/>
              <w:spacing w:before="0" w:beforeAutospacing="0" w:after="0" w:afterAutospacing="0"/>
              <w:ind w:left="0" w:right="0"/>
              <w:jc w:val="center"/>
              <w:rPr>
                <w:rFonts w:hint="default"/>
                <w:b/>
                <w:color w:val="000000" w:themeColor="text1"/>
                <w:kern w:val="0"/>
                <w:sz w:val="24"/>
                <w:szCs w:val="20"/>
                <w14:textFill>
                  <w14:solidFill>
                    <w14:schemeClr w14:val="tx1"/>
                  </w14:solidFill>
                </w14:textFill>
              </w:rPr>
            </w:pPr>
            <w:r>
              <w:rPr>
                <w:rFonts w:hint="default"/>
                <w:b/>
                <w:color w:val="000000" w:themeColor="text1"/>
                <w:kern w:val="0"/>
                <w:sz w:val="24"/>
                <w:szCs w:val="20"/>
                <w14:textFill>
                  <w14:solidFill>
                    <w14:schemeClr w14:val="tx1"/>
                  </w14:solidFill>
                </w14:textFill>
              </w:rPr>
              <w:t>表2-10  塑粉消耗量核算一览表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694"/>
              <w:gridCol w:w="838"/>
              <w:gridCol w:w="1017"/>
              <w:gridCol w:w="876"/>
              <w:gridCol w:w="726"/>
              <w:gridCol w:w="937"/>
              <w:gridCol w:w="684"/>
              <w:gridCol w:w="778"/>
              <w:gridCol w:w="711"/>
              <w:gridCol w:w="593"/>
            </w:tblGrid>
            <w:tr w14:paraId="74AC6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04" w:hRule="atLeast"/>
                <w:jc w:val="center"/>
              </w:trPr>
              <w:tc>
                <w:tcPr>
                  <w:tcW w:w="314" w:type="pct"/>
                  <w:vAlign w:val="center"/>
                </w:tcPr>
                <w:p w14:paraId="22CE7102">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类别</w:t>
                  </w:r>
                </w:p>
              </w:tc>
              <w:tc>
                <w:tcPr>
                  <w:tcW w:w="414" w:type="pct"/>
                  <w:vAlign w:val="center"/>
                </w:tcPr>
                <w:p w14:paraId="64D20BE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产品</w:t>
                  </w:r>
                </w:p>
              </w:tc>
              <w:tc>
                <w:tcPr>
                  <w:tcW w:w="500" w:type="pct"/>
                  <w:shd w:val="clear" w:color="auto" w:fill="auto"/>
                  <w:vAlign w:val="center"/>
                </w:tcPr>
                <w:p w14:paraId="692077C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b/>
                      <w:color w:val="000000" w:themeColor="text1"/>
                      <w:szCs w:val="21"/>
                      <w14:textFill>
                        <w14:solidFill>
                          <w14:schemeClr w14:val="tx1"/>
                        </w14:solidFill>
                      </w14:textFill>
                    </w:rPr>
                    <w:t>产量</w:t>
                  </w:r>
                  <w:r>
                    <w:rPr>
                      <w:rFonts w:hint="default"/>
                      <w:b/>
                      <w:bCs/>
                      <w:color w:val="000000" w:themeColor="text1"/>
                      <w14:textFill>
                        <w14:solidFill>
                          <w14:schemeClr w14:val="tx1"/>
                        </w14:solidFill>
                      </w14:textFill>
                    </w:rPr>
                    <w:t>/</w:t>
                  </w:r>
                  <w:r>
                    <w:rPr>
                      <w:rFonts w:hint="default"/>
                      <w:b/>
                      <w:color w:val="000000" w:themeColor="text1"/>
                      <w:szCs w:val="21"/>
                      <w14:textFill>
                        <w14:solidFill>
                          <w14:schemeClr w14:val="tx1"/>
                        </w14:solidFill>
                      </w14:textFill>
                    </w:rPr>
                    <w:t>（</w:t>
                  </w:r>
                  <w:r>
                    <w:rPr>
                      <w:rFonts w:hint="eastAsia" w:ascii="Times New Roman" w:hAnsi="Times New Roman" w:cs="Times New Roman"/>
                      <w:b/>
                      <w:bCs/>
                      <w:color w:val="000000" w:themeColor="text1"/>
                      <w:sz w:val="21"/>
                      <w:szCs w:val="21"/>
                      <w14:textFill>
                        <w14:solidFill>
                          <w14:schemeClr w14:val="tx1"/>
                        </w14:solidFill>
                      </w14:textFill>
                    </w:rPr>
                    <w:t>万件/a</w:t>
                  </w:r>
                  <w:r>
                    <w:rPr>
                      <w:rFonts w:hint="default"/>
                      <w:b/>
                      <w:color w:val="000000" w:themeColor="text1"/>
                      <w:szCs w:val="21"/>
                      <w14:textFill>
                        <w14:solidFill>
                          <w14:schemeClr w14:val="tx1"/>
                        </w14:solidFill>
                      </w14:textFill>
                    </w:rPr>
                    <w:t>）</w:t>
                  </w:r>
                </w:p>
              </w:tc>
              <w:tc>
                <w:tcPr>
                  <w:tcW w:w="607" w:type="pct"/>
                  <w:shd w:val="clear" w:color="auto" w:fill="auto"/>
                  <w:vAlign w:val="center"/>
                </w:tcPr>
                <w:p w14:paraId="1D9F4690">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themeColor="text1"/>
                      <w:kern w:val="2"/>
                      <w:sz w:val="21"/>
                      <w:szCs w:val="24"/>
                      <w:lang w:val="en-US" w:eastAsia="zh-CN" w:bidi="ar-SA"/>
                      <w14:textFill>
                        <w14:solidFill>
                          <w14:schemeClr w14:val="tx1"/>
                        </w14:solidFill>
                      </w14:textFill>
                    </w:rPr>
                  </w:pPr>
                  <w:r>
                    <w:rPr>
                      <w:rFonts w:hint="default"/>
                      <w:b/>
                      <w:bCs/>
                      <w:color w:val="000000" w:themeColor="text1"/>
                      <w:szCs w:val="21"/>
                      <w14:textFill>
                        <w14:solidFill>
                          <w14:schemeClr w14:val="tx1"/>
                        </w14:solidFill>
                      </w14:textFill>
                    </w:rPr>
                    <w:t>单</w:t>
                  </w:r>
                  <w:r>
                    <w:rPr>
                      <w:rFonts w:hint="eastAsia" w:ascii="Times New Roman" w:hAnsi="Times New Roman" w:cs="Times New Roman"/>
                      <w:b/>
                      <w:bCs/>
                      <w:color w:val="000000" w:themeColor="text1"/>
                      <w:sz w:val="21"/>
                      <w:szCs w:val="21"/>
                      <w14:textFill>
                        <w14:solidFill>
                          <w14:schemeClr w14:val="tx1"/>
                        </w14:solidFill>
                      </w14:textFill>
                    </w:rPr>
                    <w:t>件</w:t>
                  </w:r>
                  <w:r>
                    <w:rPr>
                      <w:rFonts w:hint="default"/>
                      <w:b/>
                      <w:bCs/>
                      <w:color w:val="000000" w:themeColor="text1"/>
                      <w:szCs w:val="21"/>
                      <w14:textFill>
                        <w14:solidFill>
                          <w14:schemeClr w14:val="tx1"/>
                        </w14:solidFill>
                      </w14:textFill>
                    </w:rPr>
                    <w:t>涂装面积</w:t>
                  </w:r>
                  <w:r>
                    <w:rPr>
                      <w:rFonts w:hint="default"/>
                      <w:b/>
                      <w:bCs/>
                      <w:color w:val="000000" w:themeColor="text1"/>
                      <w14:textFill>
                        <w14:solidFill>
                          <w14:schemeClr w14:val="tx1"/>
                        </w14:solidFill>
                      </w14:textFill>
                    </w:rPr>
                    <w:t>/</w:t>
                  </w:r>
                  <w:r>
                    <w:rPr>
                      <w:rFonts w:hint="default"/>
                      <w:b/>
                      <w:color w:val="000000" w:themeColor="text1"/>
                      <w14:textFill>
                        <w14:solidFill>
                          <w14:schemeClr w14:val="tx1"/>
                        </w14:solidFill>
                      </w14:textFill>
                    </w:rPr>
                    <w:t>（</w:t>
                  </w:r>
                  <w:r>
                    <w:rPr>
                      <w:rFonts w:hint="default"/>
                      <w:b/>
                      <w:color w:val="000000" w:themeColor="text1"/>
                      <w:szCs w:val="21"/>
                      <w14:textFill>
                        <w14:solidFill>
                          <w14:schemeClr w14:val="tx1"/>
                        </w14:solidFill>
                      </w14:textFill>
                    </w:rPr>
                    <w:t>m</w:t>
                  </w:r>
                  <w:r>
                    <w:rPr>
                      <w:rFonts w:hint="default"/>
                      <w:b/>
                      <w:color w:val="000000" w:themeColor="text1"/>
                      <w:szCs w:val="21"/>
                      <w:vertAlign w:val="superscript"/>
                      <w14:textFill>
                        <w14:solidFill>
                          <w14:schemeClr w14:val="tx1"/>
                        </w14:solidFill>
                      </w14:textFill>
                    </w:rPr>
                    <w:t>2</w:t>
                  </w:r>
                  <w:r>
                    <w:rPr>
                      <w:rFonts w:hint="default"/>
                      <w:b/>
                      <w:color w:val="000000" w:themeColor="text1"/>
                      <w14:textFill>
                        <w14:solidFill>
                          <w14:schemeClr w14:val="tx1"/>
                        </w14:solidFill>
                      </w14:textFill>
                    </w:rPr>
                    <w:t>/</w:t>
                  </w:r>
                  <w:r>
                    <w:rPr>
                      <w:rFonts w:hint="eastAsia" w:ascii="Times New Roman" w:hAnsi="Times New Roman" w:cs="Times New Roman"/>
                      <w:b/>
                      <w:bCs/>
                      <w:color w:val="000000" w:themeColor="text1"/>
                      <w:sz w:val="21"/>
                      <w:szCs w:val="21"/>
                      <w14:textFill>
                        <w14:solidFill>
                          <w14:schemeClr w14:val="tx1"/>
                        </w14:solidFill>
                      </w14:textFill>
                    </w:rPr>
                    <w:t>件</w:t>
                  </w:r>
                  <w:r>
                    <w:rPr>
                      <w:rFonts w:hint="default"/>
                      <w:b/>
                      <w:color w:val="000000" w:themeColor="text1"/>
                      <w14:textFill>
                        <w14:solidFill>
                          <w14:schemeClr w14:val="tx1"/>
                        </w14:solidFill>
                      </w14:textFill>
                    </w:rPr>
                    <w:t>）</w:t>
                  </w:r>
                </w:p>
              </w:tc>
              <w:tc>
                <w:tcPr>
                  <w:tcW w:w="523" w:type="pct"/>
                  <w:vAlign w:val="center"/>
                </w:tcPr>
                <w:p w14:paraId="0262CA2C">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总</w:t>
                  </w:r>
                  <w:r>
                    <w:rPr>
                      <w:rFonts w:hint="default"/>
                      <w:b/>
                      <w:bCs/>
                      <w:color w:val="000000" w:themeColor="text1"/>
                      <w:szCs w:val="21"/>
                      <w14:textFill>
                        <w14:solidFill>
                          <w14:schemeClr w14:val="tx1"/>
                        </w14:solidFill>
                      </w14:textFill>
                    </w:rPr>
                    <w:t>喷粉</w:t>
                  </w:r>
                  <w:r>
                    <w:rPr>
                      <w:rFonts w:hint="default"/>
                      <w:b/>
                      <w:bCs/>
                      <w:color w:val="000000" w:themeColor="text1"/>
                      <w14:textFill>
                        <w14:solidFill>
                          <w14:schemeClr w14:val="tx1"/>
                        </w14:solidFill>
                      </w14:textFill>
                    </w:rPr>
                    <w:t>面积</w:t>
                  </w:r>
                </w:p>
                <w:p w14:paraId="22F2B4E1">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w:t>
                  </w:r>
                  <w:r>
                    <w:rPr>
                      <w:rFonts w:hint="default"/>
                      <w:b/>
                      <w:color w:val="000000" w:themeColor="text1"/>
                      <w14:textFill>
                        <w14:solidFill>
                          <w14:schemeClr w14:val="tx1"/>
                        </w14:solidFill>
                      </w14:textFill>
                    </w:rPr>
                    <w:t>（</w:t>
                  </w:r>
                  <w:r>
                    <w:rPr>
                      <w:rFonts w:hint="default"/>
                      <w:b/>
                      <w:color w:val="000000" w:themeColor="text1"/>
                      <w:szCs w:val="21"/>
                      <w14:textFill>
                        <w14:solidFill>
                          <w14:schemeClr w14:val="tx1"/>
                        </w14:solidFill>
                      </w14:textFill>
                    </w:rPr>
                    <w:t>m</w:t>
                  </w:r>
                  <w:r>
                    <w:rPr>
                      <w:rFonts w:hint="default"/>
                      <w:b/>
                      <w:color w:val="000000" w:themeColor="text1"/>
                      <w:szCs w:val="21"/>
                      <w:vertAlign w:val="superscript"/>
                      <w14:textFill>
                        <w14:solidFill>
                          <w14:schemeClr w14:val="tx1"/>
                        </w14:solidFill>
                      </w14:textFill>
                    </w:rPr>
                    <w:t>2</w:t>
                  </w:r>
                  <w:r>
                    <w:rPr>
                      <w:rFonts w:hint="default"/>
                      <w:b/>
                      <w:color w:val="000000" w:themeColor="text1"/>
                      <w14:textFill>
                        <w14:solidFill>
                          <w14:schemeClr w14:val="tx1"/>
                        </w14:solidFill>
                      </w14:textFill>
                    </w:rPr>
                    <w:t>）</w:t>
                  </w:r>
                </w:p>
              </w:tc>
              <w:tc>
                <w:tcPr>
                  <w:tcW w:w="433" w:type="pct"/>
                  <w:vAlign w:val="center"/>
                </w:tcPr>
                <w:p w14:paraId="5411ECB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喷粉厚度/μm</w:t>
                  </w:r>
                </w:p>
              </w:tc>
              <w:tc>
                <w:tcPr>
                  <w:tcW w:w="559" w:type="pct"/>
                  <w:vAlign w:val="center"/>
                </w:tcPr>
                <w:p w14:paraId="4EB3E6B3">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密度/(g/cm</w:t>
                  </w:r>
                  <w:r>
                    <w:rPr>
                      <w:rFonts w:hint="default"/>
                      <w:b/>
                      <w:bCs/>
                      <w:color w:val="000000" w:themeColor="text1"/>
                      <w:vertAlign w:val="superscript"/>
                      <w14:textFill>
                        <w14:solidFill>
                          <w14:schemeClr w14:val="tx1"/>
                        </w14:solidFill>
                      </w14:textFill>
                    </w:rPr>
                    <w:t>3</w:t>
                  </w:r>
                  <w:r>
                    <w:rPr>
                      <w:rFonts w:hint="default"/>
                      <w:b/>
                      <w:bCs/>
                      <w:color w:val="000000" w:themeColor="text1"/>
                      <w14:textFill>
                        <w14:solidFill>
                          <w14:schemeClr w14:val="tx1"/>
                        </w14:solidFill>
                      </w14:textFill>
                    </w:rPr>
                    <w:t>)</w:t>
                  </w:r>
                </w:p>
              </w:tc>
              <w:tc>
                <w:tcPr>
                  <w:tcW w:w="408" w:type="pct"/>
                  <w:vAlign w:val="center"/>
                </w:tcPr>
                <w:p w14:paraId="66A64B46">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szCs w:val="21"/>
                      <w14:textFill>
                        <w14:solidFill>
                          <w14:schemeClr w14:val="tx1"/>
                        </w14:solidFill>
                      </w14:textFill>
                    </w:rPr>
                    <w:t>附着率</w:t>
                  </w:r>
                </w:p>
              </w:tc>
              <w:tc>
                <w:tcPr>
                  <w:tcW w:w="888" w:type="pct"/>
                  <w:gridSpan w:val="2"/>
                  <w:vAlign w:val="center"/>
                </w:tcPr>
                <w:p w14:paraId="14A2AC00">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塑粉理论用量（t/a）</w:t>
                  </w:r>
                </w:p>
              </w:tc>
              <w:tc>
                <w:tcPr>
                  <w:tcW w:w="351" w:type="pct"/>
                  <w:vAlign w:val="center"/>
                </w:tcPr>
                <w:p w14:paraId="3FAD413C">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喷粉次数</w:t>
                  </w:r>
                </w:p>
              </w:tc>
            </w:tr>
            <w:tr w14:paraId="01773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14" w:type="pct"/>
                  <w:vMerge w:val="restart"/>
                  <w:vAlign w:val="center"/>
                </w:tcPr>
                <w:p w14:paraId="1611EDC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塑粉</w:t>
                  </w:r>
                </w:p>
              </w:tc>
              <w:tc>
                <w:tcPr>
                  <w:tcW w:w="414" w:type="pct"/>
                  <w:shd w:val="clear" w:color="auto" w:fill="auto"/>
                  <w:vAlign w:val="center"/>
                </w:tcPr>
                <w:p w14:paraId="48DAB930">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4"/>
                      <w:lang w:val="zh-CN" w:eastAsia="zh-CN" w:bidi="ar-SA"/>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光电设备配件</w:t>
                  </w:r>
                </w:p>
              </w:tc>
              <w:tc>
                <w:tcPr>
                  <w:tcW w:w="500" w:type="pct"/>
                  <w:shd w:val="clear" w:color="auto" w:fill="auto"/>
                  <w:vAlign w:val="center"/>
                </w:tcPr>
                <w:p w14:paraId="09FF49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50</w:t>
                  </w:r>
                </w:p>
              </w:tc>
              <w:tc>
                <w:tcPr>
                  <w:tcW w:w="607" w:type="pct"/>
                  <w:shd w:val="clear" w:color="auto" w:fill="auto"/>
                  <w:vAlign w:val="center"/>
                </w:tcPr>
                <w:p w14:paraId="21B3458F">
                  <w:pPr>
                    <w:keepNext w:val="0"/>
                    <w:keepLines w:val="0"/>
                    <w:widowControl/>
                    <w:suppressLineNumbers w:val="0"/>
                    <w:spacing w:before="0" w:beforeAutospacing="0" w:after="0" w:afterAutospacing="0"/>
                    <w:ind w:left="0" w:right="0"/>
                    <w:jc w:val="center"/>
                    <w:textAlignment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0.004</w:t>
                  </w:r>
                </w:p>
              </w:tc>
              <w:tc>
                <w:tcPr>
                  <w:tcW w:w="523" w:type="pct"/>
                  <w:shd w:val="clear" w:color="auto" w:fill="auto"/>
                  <w:vAlign w:val="center"/>
                </w:tcPr>
                <w:p w14:paraId="7580502B">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2000</w:t>
                  </w:r>
                </w:p>
              </w:tc>
              <w:tc>
                <w:tcPr>
                  <w:tcW w:w="433" w:type="pct"/>
                  <w:vAlign w:val="center"/>
                </w:tcPr>
                <w:p w14:paraId="56907DED">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p>
              </w:tc>
              <w:tc>
                <w:tcPr>
                  <w:tcW w:w="559" w:type="pct"/>
                  <w:vAlign w:val="center"/>
                </w:tcPr>
                <w:p w14:paraId="003BD42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w:t>
                  </w:r>
                </w:p>
              </w:tc>
              <w:tc>
                <w:tcPr>
                  <w:tcW w:w="408" w:type="pct"/>
                  <w:vAlign w:val="center"/>
                </w:tcPr>
                <w:p w14:paraId="1245A01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65</w:t>
                  </w:r>
                  <w:r>
                    <w:rPr>
                      <w:rFonts w:hint="default"/>
                      <w:color w:val="000000" w:themeColor="text1"/>
                      <w14:textFill>
                        <w14:solidFill>
                          <w14:schemeClr w14:val="tx1"/>
                        </w14:solidFill>
                      </w14:textFill>
                    </w:rPr>
                    <w:t>%</w:t>
                  </w:r>
                </w:p>
              </w:tc>
              <w:tc>
                <w:tcPr>
                  <w:tcW w:w="464" w:type="pct"/>
                  <w:vAlign w:val="center"/>
                </w:tcPr>
                <w:p w14:paraId="141BBC13">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0.215</w:t>
                  </w:r>
                </w:p>
              </w:tc>
              <w:tc>
                <w:tcPr>
                  <w:tcW w:w="424" w:type="pct"/>
                  <w:vMerge w:val="restart"/>
                  <w:vAlign w:val="center"/>
                </w:tcPr>
                <w:p w14:paraId="070AD059">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155.292</w:t>
                  </w:r>
                </w:p>
              </w:tc>
              <w:tc>
                <w:tcPr>
                  <w:tcW w:w="351" w:type="pct"/>
                  <w:vAlign w:val="center"/>
                </w:tcPr>
                <w:p w14:paraId="44E788C8">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1次</w:t>
                  </w:r>
                </w:p>
              </w:tc>
            </w:tr>
            <w:tr w14:paraId="3CE2A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4" w:type="pct"/>
                  <w:vMerge w:val="continue"/>
                  <w:vAlign w:val="center"/>
                </w:tcPr>
                <w:p w14:paraId="54A9A3C4">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414" w:type="pct"/>
                  <w:shd w:val="clear" w:color="auto" w:fill="auto"/>
                  <w:vAlign w:val="center"/>
                </w:tcPr>
                <w:p w14:paraId="0AFC7A89">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汽车零部件</w:t>
                  </w:r>
                </w:p>
              </w:tc>
              <w:tc>
                <w:tcPr>
                  <w:tcW w:w="500" w:type="pct"/>
                  <w:shd w:val="clear" w:color="auto" w:fill="auto"/>
                  <w:vAlign w:val="center"/>
                </w:tcPr>
                <w:p w14:paraId="12F5A10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375</w:t>
                  </w:r>
                </w:p>
              </w:tc>
              <w:tc>
                <w:tcPr>
                  <w:tcW w:w="607" w:type="pct"/>
                  <w:shd w:val="clear" w:color="auto" w:fill="auto"/>
                  <w:vAlign w:val="center"/>
                </w:tcPr>
                <w:p w14:paraId="742F596A">
                  <w:pPr>
                    <w:keepNext w:val="0"/>
                    <w:keepLines w:val="0"/>
                    <w:widowControl/>
                    <w:suppressLineNumbers w:val="0"/>
                    <w:spacing w:before="0" w:beforeAutospacing="0" w:after="0" w:afterAutospacing="0"/>
                    <w:ind w:left="0" w:right="0"/>
                    <w:jc w:val="center"/>
                    <w:textAlignment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0.07</w:t>
                  </w:r>
                </w:p>
              </w:tc>
              <w:tc>
                <w:tcPr>
                  <w:tcW w:w="523" w:type="pct"/>
                  <w:shd w:val="clear" w:color="auto" w:fill="auto"/>
                  <w:vAlign w:val="center"/>
                </w:tcPr>
                <w:p w14:paraId="57862979">
                  <w:pPr>
                    <w:keepNext w:val="0"/>
                    <w:keepLines w:val="0"/>
                    <w:widowControl/>
                    <w:suppressLineNumbers w:val="0"/>
                    <w:spacing w:before="0" w:beforeAutospacing="0" w:after="0" w:afterAutospacing="0"/>
                    <w:ind w:left="0" w:right="0"/>
                    <w:jc w:val="center"/>
                    <w:textAlignment w:val="center"/>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262500</w:t>
                  </w:r>
                </w:p>
              </w:tc>
              <w:tc>
                <w:tcPr>
                  <w:tcW w:w="433" w:type="pct"/>
                  <w:vAlign w:val="center"/>
                </w:tcPr>
                <w:p w14:paraId="50F1EB6F">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60</w:t>
                  </w:r>
                </w:p>
              </w:tc>
              <w:tc>
                <w:tcPr>
                  <w:tcW w:w="559" w:type="pct"/>
                  <w:vAlign w:val="center"/>
                </w:tcPr>
                <w:p w14:paraId="6BE1F16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w:t>
                  </w:r>
                </w:p>
              </w:tc>
              <w:tc>
                <w:tcPr>
                  <w:tcW w:w="408" w:type="pct"/>
                  <w:vAlign w:val="center"/>
                </w:tcPr>
                <w:p w14:paraId="55F76585">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65</w:t>
                  </w:r>
                  <w:r>
                    <w:rPr>
                      <w:rFonts w:hint="default"/>
                      <w:color w:val="000000" w:themeColor="text1"/>
                      <w14:textFill>
                        <w14:solidFill>
                          <w14:schemeClr w14:val="tx1"/>
                        </w14:solidFill>
                      </w14:textFill>
                    </w:rPr>
                    <w:t>%</w:t>
                  </w:r>
                </w:p>
              </w:tc>
              <w:tc>
                <w:tcPr>
                  <w:tcW w:w="464" w:type="pct"/>
                  <w:vAlign w:val="center"/>
                </w:tcPr>
                <w:p w14:paraId="0EFE7C75">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33.923</w:t>
                  </w:r>
                </w:p>
              </w:tc>
              <w:tc>
                <w:tcPr>
                  <w:tcW w:w="424" w:type="pct"/>
                  <w:vMerge w:val="continue"/>
                  <w:vAlign w:val="center"/>
                </w:tcPr>
                <w:p w14:paraId="53F93F8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351" w:type="pct"/>
                  <w:vAlign w:val="center"/>
                </w:tcPr>
                <w:p w14:paraId="1C066879">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1次</w:t>
                  </w:r>
                </w:p>
              </w:tc>
            </w:tr>
            <w:tr w14:paraId="40A7E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4" w:type="pct"/>
                  <w:vMerge w:val="continue"/>
                  <w:vAlign w:val="center"/>
                </w:tcPr>
                <w:p w14:paraId="13D863B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414" w:type="pct"/>
                  <w:shd w:val="clear" w:color="auto" w:fill="auto"/>
                  <w:vAlign w:val="center"/>
                </w:tcPr>
                <w:p w14:paraId="1307F5E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caps w:val="0"/>
                      <w:color w:val="000000" w:themeColor="text1"/>
                      <w:sz w:val="21"/>
                      <w:szCs w:val="21"/>
                      <w:lang w:val="en-US" w:eastAsia="zh-CN"/>
                      <w14:textFill>
                        <w14:solidFill>
                          <w14:schemeClr w14:val="tx1"/>
                        </w14:solidFill>
                      </w14:textFill>
                    </w:rPr>
                    <w:t>通讯五金部件</w:t>
                  </w:r>
                </w:p>
              </w:tc>
              <w:tc>
                <w:tcPr>
                  <w:tcW w:w="500" w:type="pct"/>
                  <w:shd w:val="clear" w:color="auto" w:fill="auto"/>
                  <w:vAlign w:val="center"/>
                </w:tcPr>
                <w:p w14:paraId="78A1374E">
                  <w:pPr>
                    <w:keepNext w:val="0"/>
                    <w:keepLines w:val="0"/>
                    <w:suppressLineNumbers w:val="0"/>
                    <w:spacing w:before="0" w:beforeAutospacing="0" w:after="0" w:afterAutospacing="0"/>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150</w:t>
                  </w:r>
                </w:p>
              </w:tc>
              <w:tc>
                <w:tcPr>
                  <w:tcW w:w="607" w:type="pct"/>
                  <w:shd w:val="clear" w:color="auto" w:fill="auto"/>
                  <w:vAlign w:val="center"/>
                </w:tcPr>
                <w:p w14:paraId="6BCB10B5">
                  <w:pPr>
                    <w:keepNext w:val="0"/>
                    <w:keepLines w:val="0"/>
                    <w:widowControl/>
                    <w:suppressLineNumbers w:val="0"/>
                    <w:spacing w:before="0" w:beforeAutospacing="0" w:after="0" w:afterAutospacing="0"/>
                    <w:ind w:left="0" w:right="0"/>
                    <w:jc w:val="center"/>
                    <w:textAlignment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0.5</w:t>
                  </w:r>
                </w:p>
              </w:tc>
              <w:tc>
                <w:tcPr>
                  <w:tcW w:w="523" w:type="pct"/>
                  <w:shd w:val="clear" w:color="auto" w:fill="auto"/>
                  <w:vAlign w:val="center"/>
                </w:tcPr>
                <w:p w14:paraId="417590B3">
                  <w:pPr>
                    <w:keepNext w:val="0"/>
                    <w:keepLines w:val="0"/>
                    <w:widowControl/>
                    <w:suppressLineNumbers w:val="0"/>
                    <w:spacing w:before="0" w:beforeAutospacing="0" w:after="0" w:afterAutospacing="0"/>
                    <w:ind w:left="0" w:right="0"/>
                    <w:jc w:val="center"/>
                    <w:textAlignment w:val="center"/>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750000</w:t>
                  </w:r>
                </w:p>
              </w:tc>
              <w:tc>
                <w:tcPr>
                  <w:tcW w:w="433" w:type="pct"/>
                  <w:vAlign w:val="center"/>
                </w:tcPr>
                <w:p w14:paraId="05A6E2EC">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75</w:t>
                  </w:r>
                </w:p>
              </w:tc>
              <w:tc>
                <w:tcPr>
                  <w:tcW w:w="559" w:type="pct"/>
                  <w:vAlign w:val="center"/>
                </w:tcPr>
                <w:p w14:paraId="766338BB">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1.4</w:t>
                  </w:r>
                </w:p>
              </w:tc>
              <w:tc>
                <w:tcPr>
                  <w:tcW w:w="408" w:type="pct"/>
                  <w:vAlign w:val="center"/>
                </w:tcPr>
                <w:p w14:paraId="58B3372B">
                  <w:pPr>
                    <w:keepNext w:val="0"/>
                    <w:keepLines w:val="0"/>
                    <w:suppressLineNumbers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65</w:t>
                  </w:r>
                  <w:r>
                    <w:rPr>
                      <w:rFonts w:hint="default"/>
                      <w:color w:val="000000" w:themeColor="text1"/>
                      <w14:textFill>
                        <w14:solidFill>
                          <w14:schemeClr w14:val="tx1"/>
                        </w14:solidFill>
                      </w14:textFill>
                    </w:rPr>
                    <w:t>%</w:t>
                  </w:r>
                </w:p>
              </w:tc>
              <w:tc>
                <w:tcPr>
                  <w:tcW w:w="464" w:type="pct"/>
                  <w:vAlign w:val="center"/>
                </w:tcPr>
                <w:p w14:paraId="6363A6E7">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121.154</w:t>
                  </w:r>
                </w:p>
              </w:tc>
              <w:tc>
                <w:tcPr>
                  <w:tcW w:w="424" w:type="pct"/>
                  <w:vMerge w:val="continue"/>
                  <w:vAlign w:val="center"/>
                </w:tcPr>
                <w:p w14:paraId="29E545E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351" w:type="pct"/>
                  <w:vAlign w:val="center"/>
                </w:tcPr>
                <w:p w14:paraId="2DA86964">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1次</w:t>
                  </w:r>
                </w:p>
              </w:tc>
            </w:tr>
            <w:tr w14:paraId="62D6D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000" w:type="pct"/>
                  <w:gridSpan w:val="11"/>
                  <w:vAlign w:val="center"/>
                </w:tcPr>
                <w:p w14:paraId="3850C648">
                  <w:pPr>
                    <w:keepNext w:val="0"/>
                    <w:keepLines w:val="0"/>
                    <w:numPr>
                      <w:ilvl w:val="0"/>
                      <w:numId w:val="6"/>
                    </w:numPr>
                    <w:suppressLineNumbers w:val="0"/>
                    <w:spacing w:before="0" w:beforeAutospacing="0" w:after="0" w:afterAutospacing="0" w:line="240" w:lineRule="auto"/>
                    <w:ind w:left="0" w:right="0"/>
                    <w:jc w:val="left"/>
                    <w:rPr>
                      <w:rFonts w:hint="eastAsia"/>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产品规格不均，喷</w:t>
                  </w:r>
                  <w:r>
                    <w:rPr>
                      <w:rFonts w:hint="eastAsia"/>
                      <w:color w:val="000000" w:themeColor="text1"/>
                      <w:sz w:val="21"/>
                      <w:szCs w:val="21"/>
                      <w:lang w:val="en-US" w:eastAsia="zh-CN"/>
                      <w14:textFill>
                        <w14:solidFill>
                          <w14:schemeClr w14:val="tx1"/>
                        </w14:solidFill>
                      </w14:textFill>
                    </w:rPr>
                    <w:t>粉</w:t>
                  </w:r>
                  <w:r>
                    <w:rPr>
                      <w:rFonts w:hint="default"/>
                      <w:color w:val="000000" w:themeColor="text1"/>
                      <w:sz w:val="21"/>
                      <w:szCs w:val="21"/>
                      <w14:textFill>
                        <w14:solidFill>
                          <w14:schemeClr w14:val="tx1"/>
                        </w14:solidFill>
                      </w14:textFill>
                    </w:rPr>
                    <w:t>面积按最大规格产品计，每道</w:t>
                  </w:r>
                  <w:r>
                    <w:rPr>
                      <w:rFonts w:hint="eastAsia"/>
                      <w:color w:val="000000" w:themeColor="text1"/>
                      <w:sz w:val="21"/>
                      <w:szCs w:val="21"/>
                      <w:lang w:val="en-US" w:eastAsia="zh-CN"/>
                      <w14:textFill>
                        <w14:solidFill>
                          <w14:schemeClr w14:val="tx1"/>
                        </w14:solidFill>
                      </w14:textFill>
                    </w:rPr>
                    <w:t>粉</w:t>
                  </w:r>
                  <w:r>
                    <w:rPr>
                      <w:rFonts w:hint="default"/>
                      <w:color w:val="000000" w:themeColor="text1"/>
                      <w:sz w:val="21"/>
                      <w:szCs w:val="21"/>
                      <w14:textFill>
                        <w14:solidFill>
                          <w14:schemeClr w14:val="tx1"/>
                        </w14:solidFill>
                      </w14:textFill>
                    </w:rPr>
                    <w:t>均喷一次。</w:t>
                  </w:r>
                </w:p>
                <w:p w14:paraId="72F7D05F">
                  <w:pPr>
                    <w:keepNext w:val="0"/>
                    <w:keepLines w:val="0"/>
                    <w:numPr>
                      <w:ilvl w:val="0"/>
                      <w:numId w:val="6"/>
                    </w:numPr>
                    <w:suppressLineNumbers w:val="0"/>
                    <w:spacing w:before="0" w:beforeAutospacing="0" w:after="0" w:afterAutospacing="0" w:line="240" w:lineRule="auto"/>
                    <w:ind w:left="0" w:right="0"/>
                    <w:jc w:val="left"/>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喷粉厚度为建设单位根据同行业经验数据提供；</w:t>
                  </w:r>
                </w:p>
                <w:p w14:paraId="71DF0FBD">
                  <w:pPr>
                    <w:keepNext w:val="0"/>
                    <w:keepLines w:val="0"/>
                    <w:numPr>
                      <w:ilvl w:val="0"/>
                      <w:numId w:val="6"/>
                    </w:numPr>
                    <w:suppressLineNumbers w:val="0"/>
                    <w:spacing w:before="0" w:beforeAutospacing="0" w:after="0" w:afterAutospacing="0" w:line="240" w:lineRule="auto"/>
                    <w:ind w:left="0" w:right="0"/>
                    <w:jc w:val="left"/>
                    <w:rPr>
                      <w:rFonts w:hint="eastAsia"/>
                      <w:color w:val="000000" w:themeColor="text1"/>
                      <w:sz w:val="21"/>
                      <w:szCs w:val="21"/>
                      <w:lang w:eastAsia="zh-CN"/>
                      <w14:textFill>
                        <w14:solidFill>
                          <w14:schemeClr w14:val="tx1"/>
                        </w14:solidFill>
                      </w14:textFill>
                    </w:rPr>
                  </w:pPr>
                  <w:r>
                    <w:rPr>
                      <w:rFonts w:hint="default"/>
                      <w:color w:val="000000" w:themeColor="text1"/>
                      <w:sz w:val="21"/>
                      <w:szCs w:val="21"/>
                      <w14:textFill>
                        <w14:solidFill>
                          <w14:schemeClr w14:val="tx1"/>
                        </w14:solidFill>
                      </w14:textFill>
                    </w:rPr>
                    <w:t>根据企业提供</w:t>
                  </w:r>
                  <w:r>
                    <w:rPr>
                      <w:rFonts w:hint="eastAsia"/>
                      <w:color w:val="000000" w:themeColor="text1"/>
                      <w:sz w:val="21"/>
                      <w:szCs w:val="21"/>
                      <w:lang w:val="en-US" w:eastAsia="zh-CN"/>
                      <w14:textFill>
                        <w14:solidFill>
                          <w14:schemeClr w14:val="tx1"/>
                        </w14:solidFill>
                      </w14:textFill>
                    </w:rPr>
                    <w:t>MSDS</w:t>
                  </w:r>
                  <w:r>
                    <w:rPr>
                      <w:rFonts w:hint="default"/>
                      <w:color w:val="000000" w:themeColor="text1"/>
                      <w:sz w:val="21"/>
                      <w:szCs w:val="21"/>
                      <w14:textFill>
                        <w14:solidFill>
                          <w14:schemeClr w14:val="tx1"/>
                        </w14:solidFill>
                      </w14:textFill>
                    </w:rPr>
                    <w:t>，塑粉密度为1.2-1.</w:t>
                  </w:r>
                  <w:r>
                    <w:rPr>
                      <w:rFonts w:hint="eastAsia"/>
                      <w:color w:val="000000" w:themeColor="text1"/>
                      <w:sz w:val="21"/>
                      <w:szCs w:val="21"/>
                      <w:lang w:val="en-US" w:eastAsia="zh-CN"/>
                      <w14:textFill>
                        <w14:solidFill>
                          <w14:schemeClr w14:val="tx1"/>
                        </w14:solidFill>
                      </w14:textFill>
                    </w:rPr>
                    <w:t>6</w:t>
                  </w:r>
                  <w:r>
                    <w:rPr>
                      <w:rFonts w:hint="default"/>
                      <w:color w:val="000000" w:themeColor="text1"/>
                      <w:sz w:val="21"/>
                      <w:szCs w:val="21"/>
                      <w14:textFill>
                        <w14:solidFill>
                          <w14:schemeClr w14:val="tx1"/>
                        </w14:solidFill>
                      </w14:textFill>
                    </w:rPr>
                    <w:t>g/cm</w:t>
                  </w:r>
                  <w:r>
                    <w:rPr>
                      <w:rFonts w:hint="default"/>
                      <w:color w:val="000000" w:themeColor="text1"/>
                      <w:sz w:val="21"/>
                      <w:szCs w:val="21"/>
                      <w:vertAlign w:val="superscript"/>
                      <w14:textFill>
                        <w14:solidFill>
                          <w14:schemeClr w14:val="tx1"/>
                        </w14:solidFill>
                      </w14:textFill>
                    </w:rPr>
                    <w:t>3</w:t>
                  </w:r>
                  <w:r>
                    <w:rPr>
                      <w:rFonts w:hint="default"/>
                      <w:color w:val="000000" w:themeColor="text1"/>
                      <w:sz w:val="21"/>
                      <w:szCs w:val="21"/>
                      <w14:textFill>
                        <w14:solidFill>
                          <w14:schemeClr w14:val="tx1"/>
                        </w14:solidFill>
                      </w14:textFill>
                    </w:rPr>
                    <w:t>，本环评取平均值1.4g/cm</w:t>
                  </w:r>
                  <w:r>
                    <w:rPr>
                      <w:rFonts w:hint="default"/>
                      <w:color w:val="000000" w:themeColor="text1"/>
                      <w:sz w:val="21"/>
                      <w:szCs w:val="21"/>
                      <w:vertAlign w:val="superscript"/>
                      <w14:textFill>
                        <w14:solidFill>
                          <w14:schemeClr w14:val="tx1"/>
                        </w14:solidFill>
                      </w14:textFill>
                    </w:rPr>
                    <w:t>3</w:t>
                  </w:r>
                  <w:r>
                    <w:rPr>
                      <w:rFonts w:hint="eastAsia"/>
                      <w:color w:val="000000" w:themeColor="text1"/>
                      <w:sz w:val="21"/>
                      <w:szCs w:val="21"/>
                      <w:lang w:eastAsia="zh-CN"/>
                      <w14:textFill>
                        <w14:solidFill>
                          <w14:schemeClr w14:val="tx1"/>
                        </w14:solidFill>
                      </w14:textFill>
                    </w:rPr>
                    <w:t>；</w:t>
                  </w:r>
                </w:p>
                <w:p w14:paraId="66E87711">
                  <w:pPr>
                    <w:keepNext w:val="0"/>
                    <w:keepLines w:val="0"/>
                    <w:suppressLineNumbers w:val="0"/>
                    <w:spacing w:before="0" w:beforeAutospacing="0" w:after="0" w:afterAutospacing="0"/>
                    <w:ind w:left="0" w:right="0"/>
                    <w:jc w:val="center"/>
                    <w:rPr>
                      <w:rFonts w:hint="default"/>
                      <w:color w:val="000000" w:themeColor="text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根据</w:t>
                  </w:r>
                  <w:r>
                    <w:rPr>
                      <w:rFonts w:hint="eastAsia"/>
                      <w:color w:val="000000" w:themeColor="text1"/>
                      <w:sz w:val="21"/>
                      <w:szCs w:val="21"/>
                      <w14:textFill>
                        <w14:solidFill>
                          <w14:schemeClr w14:val="tx1"/>
                        </w14:solidFill>
                      </w14:textFill>
                    </w:rPr>
                    <w:t>《污染源源强核算技术指南</w:t>
                  </w:r>
                  <w:r>
                    <w:rPr>
                      <w:rFonts w:hint="default"/>
                      <w:color w:val="000000" w:themeColor="text1"/>
                      <w:sz w:val="21"/>
                      <w:szCs w:val="21"/>
                      <w14:textFill>
                        <w14:solidFill>
                          <w14:schemeClr w14:val="tx1"/>
                        </w14:solidFill>
                      </w14:textFill>
                    </w:rPr>
                    <w:t xml:space="preserve"> </w:t>
                  </w:r>
                  <w:r>
                    <w:rPr>
                      <w:rFonts w:hint="eastAsia"/>
                      <w:color w:val="000000" w:themeColor="text1"/>
                      <w:sz w:val="21"/>
                      <w:szCs w:val="21"/>
                      <w14:textFill>
                        <w14:solidFill>
                          <w14:schemeClr w14:val="tx1"/>
                        </w14:solidFill>
                      </w14:textFill>
                    </w:rPr>
                    <w:t>汽车制造》</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HJ 1097-2020）附录E，本项目产品</w:t>
                  </w:r>
                  <w:r>
                    <w:rPr>
                      <w:rFonts w:hint="default" w:ascii="Times New Roman" w:hAnsi="Times New Roman" w:cs="Times New Roman"/>
                      <w:color w:val="000000" w:themeColor="text1"/>
                      <w:sz w:val="21"/>
                      <w:szCs w:val="21"/>
                      <w14:textFill>
                        <w14:solidFill>
                          <w14:schemeClr w14:val="tx1"/>
                        </w14:solidFill>
                      </w14:textFill>
                    </w:rPr>
                    <w:t>汽车零部件</w:t>
                  </w:r>
                  <w:r>
                    <w:rPr>
                      <w:rFonts w:hint="eastAsia"/>
                      <w:color w:val="000000" w:themeColor="text1"/>
                      <w:sz w:val="21"/>
                      <w:szCs w:val="21"/>
                      <w:lang w:val="en-US" w:eastAsia="zh-CN"/>
                      <w14:textFill>
                        <w14:solidFill>
                          <w14:schemeClr w14:val="tx1"/>
                        </w14:solidFill>
                      </w14:textFill>
                    </w:rPr>
                    <w:t>属于粉末喷涂-静电喷涂-零部件喷涂，粉末涂料附着率为65%；本项目产品侧围加强版属于粉末喷涂-静电喷涂-零部件喷涂，粉末涂料附着率为65%；</w:t>
                  </w:r>
                  <w:r>
                    <w:rPr>
                      <w:rFonts w:hint="default" w:ascii="Times New Roman" w:hAnsi="Times New Roman" w:cs="Times New Roman"/>
                      <w:color w:val="000000" w:themeColor="text1"/>
                      <w:sz w:val="21"/>
                      <w:szCs w:val="21"/>
                      <w14:textFill>
                        <w14:solidFill>
                          <w14:schemeClr w14:val="tx1"/>
                        </w14:solidFill>
                      </w14:textFill>
                    </w:rPr>
                    <w:t>通讯五金部件</w:t>
                  </w:r>
                  <w:r>
                    <w:rPr>
                      <w:rFonts w:hint="eastAsia" w:cs="Times New Roman"/>
                      <w:color w:val="000000" w:themeColor="text1"/>
                      <w:sz w:val="21"/>
                      <w:szCs w:val="21"/>
                      <w:lang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光电设备配件</w:t>
                  </w:r>
                  <w:r>
                    <w:rPr>
                      <w:rFonts w:hint="eastAsia" w:ascii="Times New Roman" w:hAnsi="Times New Roman" w:cs="Times New Roman"/>
                      <w:color w:val="000000" w:themeColor="text1"/>
                      <w:sz w:val="21"/>
                      <w:szCs w:val="21"/>
                      <w:lang w:val="en-US" w:eastAsia="zh-CN"/>
                      <w14:textFill>
                        <w14:solidFill>
                          <w14:schemeClr w14:val="tx1"/>
                        </w14:solidFill>
                      </w14:textFill>
                    </w:rPr>
                    <w:t>喷涂工艺和汽车零部件喷涂工艺一致，故</w:t>
                  </w:r>
                  <w:r>
                    <w:rPr>
                      <w:rFonts w:hint="eastAsia"/>
                      <w:color w:val="000000" w:themeColor="text1"/>
                      <w:sz w:val="21"/>
                      <w:szCs w:val="21"/>
                      <w:lang w:val="en-US" w:eastAsia="zh-CN"/>
                      <w14:textFill>
                        <w14:solidFill>
                          <w14:schemeClr w14:val="tx1"/>
                        </w14:solidFill>
                      </w14:textFill>
                    </w:rPr>
                    <w:t>粉末涂料附着率参照</w:t>
                  </w:r>
                  <w:r>
                    <w:rPr>
                      <w:rFonts w:hint="eastAsia" w:ascii="Times New Roman" w:hAnsi="Times New Roman" w:cs="Times New Roman"/>
                      <w:color w:val="000000" w:themeColor="text1"/>
                      <w:sz w:val="21"/>
                      <w:szCs w:val="21"/>
                      <w:lang w:val="en-US" w:eastAsia="zh-CN"/>
                      <w14:textFill>
                        <w14:solidFill>
                          <w14:schemeClr w14:val="tx1"/>
                        </w14:solidFill>
                      </w14:textFill>
                    </w:rPr>
                    <w:t>汽车零部件，以65%计。</w:t>
                  </w:r>
                </w:p>
              </w:tc>
            </w:tr>
          </w:tbl>
          <w:p w14:paraId="605CBD2A">
            <w:pPr>
              <w:keepNext w:val="0"/>
              <w:keepLines w:val="0"/>
              <w:suppressLineNumbers w:val="0"/>
              <w:spacing w:before="0" w:beforeAutospacing="0" w:after="0" w:afterAutospacing="0" w:line="360" w:lineRule="auto"/>
              <w:ind w:left="0" w:right="0" w:firstLine="482" w:firstLineChars="200"/>
              <w:jc w:val="left"/>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塑粉核算</w:t>
            </w:r>
          </w:p>
          <w:p w14:paraId="5E7663F2">
            <w:pPr>
              <w:keepNext w:val="0"/>
              <w:keepLines w:val="0"/>
              <w:suppressLineNumbers w:val="0"/>
              <w:spacing w:before="0" w:beforeAutospacing="0" w:after="0" w:afterAutospacing="0" w:line="360" w:lineRule="auto"/>
              <w:ind w:left="0" w:right="0" w:firstLine="480" w:firstLineChars="200"/>
              <w:jc w:val="left"/>
              <w:rPr>
                <w:rFonts w:hint="default"/>
                <w:color w:val="000000" w:themeColor="text1"/>
                <w:sz w:val="24"/>
                <w14:textFill>
                  <w14:solidFill>
                    <w14:schemeClr w14:val="tx1"/>
                  </w14:solidFill>
                </w14:textFill>
              </w:rPr>
            </w:pPr>
            <w:r>
              <w:rPr>
                <w:rFonts w:hint="default"/>
                <w:color w:val="000000" w:themeColor="text1"/>
                <w:sz w:val="24"/>
                <w:szCs w:val="24"/>
                <w14:textFill>
                  <w14:solidFill>
                    <w14:schemeClr w14:val="tx1"/>
                  </w14:solidFill>
                </w14:textFill>
              </w:rPr>
              <w:t>塑粉密度</w:t>
            </w:r>
            <w:r>
              <w:rPr>
                <w:rFonts w:hint="eastAsia"/>
                <w:color w:val="000000" w:themeColor="text1"/>
                <w:sz w:val="24"/>
                <w:szCs w:val="24"/>
                <w:lang w:val="en-US" w:eastAsia="zh-CN"/>
                <w14:textFill>
                  <w14:solidFill>
                    <w14:schemeClr w14:val="tx1"/>
                  </w14:solidFill>
                </w14:textFill>
              </w:rPr>
              <w:t>按</w:t>
            </w:r>
            <w:r>
              <w:rPr>
                <w:rFonts w:hint="default"/>
                <w:color w:val="000000" w:themeColor="text1"/>
                <w:sz w:val="24"/>
                <w:szCs w:val="24"/>
                <w14:textFill>
                  <w14:solidFill>
                    <w14:schemeClr w14:val="tx1"/>
                  </w14:solidFill>
                </w14:textFill>
              </w:rPr>
              <w:t>1.4g/cm</w:t>
            </w:r>
            <w:r>
              <w:rPr>
                <w:rFonts w:hint="default"/>
                <w:color w:val="000000" w:themeColor="text1"/>
                <w:sz w:val="24"/>
                <w:szCs w:val="24"/>
                <w:vertAlign w:val="superscript"/>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计</w:t>
            </w:r>
            <w:r>
              <w:rPr>
                <w:rFonts w:hint="default"/>
                <w:color w:val="000000" w:themeColor="text1"/>
                <w:sz w:val="24"/>
                <w:szCs w:val="24"/>
                <w14:textFill>
                  <w14:solidFill>
                    <w14:schemeClr w14:val="tx1"/>
                  </w14:solidFill>
                </w14:textFill>
              </w:rPr>
              <w:t>，</w:t>
            </w:r>
            <w:r>
              <w:rPr>
                <w:rFonts w:hint="default" w:eastAsia="宋体"/>
                <w:color w:val="000000" w:themeColor="text1"/>
                <w:sz w:val="24"/>
                <w:szCs w:val="24"/>
                <w:lang w:val="en-US" w:eastAsia="zh-CN"/>
                <w14:textFill>
                  <w14:solidFill>
                    <w14:schemeClr w14:val="tx1"/>
                  </w14:solidFill>
                </w14:textFill>
              </w:rPr>
              <w:t>光电设备配件</w:t>
            </w:r>
            <w:r>
              <w:rPr>
                <w:rFonts w:hint="eastAsia" w:eastAsia="宋体"/>
                <w:color w:val="000000" w:themeColor="text1"/>
                <w:sz w:val="24"/>
                <w:szCs w:val="24"/>
                <w:lang w:val="en-US" w:eastAsia="zh-CN"/>
                <w14:textFill>
                  <w14:solidFill>
                    <w14:schemeClr w14:val="tx1"/>
                  </w14:solidFill>
                </w14:textFill>
              </w:rPr>
              <w:t>、</w:t>
            </w:r>
            <w:r>
              <w:rPr>
                <w:rFonts w:hint="default" w:eastAsia="宋体"/>
                <w:color w:val="000000" w:themeColor="text1"/>
                <w:sz w:val="24"/>
                <w:szCs w:val="24"/>
                <w:lang w:val="en-US" w:eastAsia="zh-CN"/>
                <w14:textFill>
                  <w14:solidFill>
                    <w14:schemeClr w14:val="tx1"/>
                  </w14:solidFill>
                </w14:textFill>
              </w:rPr>
              <w:t>汽车零部件</w:t>
            </w:r>
            <w:r>
              <w:rPr>
                <w:rFonts w:hint="eastAsia" w:eastAsia="宋体"/>
                <w:color w:val="000000" w:themeColor="text1"/>
                <w:sz w:val="24"/>
                <w:szCs w:val="24"/>
                <w:lang w:val="en-US" w:eastAsia="zh-CN"/>
                <w14:textFill>
                  <w14:solidFill>
                    <w14:schemeClr w14:val="tx1"/>
                  </w14:solidFill>
                </w14:textFill>
              </w:rPr>
              <w:t>、</w:t>
            </w:r>
            <w:r>
              <w:rPr>
                <w:rFonts w:hint="default" w:eastAsia="宋体"/>
                <w:color w:val="000000" w:themeColor="text1"/>
                <w:sz w:val="24"/>
                <w:szCs w:val="24"/>
                <w:lang w:val="en-US" w:eastAsia="zh-CN"/>
                <w14:textFill>
                  <w14:solidFill>
                    <w14:schemeClr w14:val="tx1"/>
                  </w14:solidFill>
                </w14:textFill>
              </w:rPr>
              <w:t>通讯五金部件</w:t>
            </w:r>
            <w:r>
              <w:rPr>
                <w:rFonts w:hint="default"/>
                <w:color w:val="000000" w:themeColor="text1"/>
                <w:sz w:val="24"/>
                <w14:textFill>
                  <w14:solidFill>
                    <w14:schemeClr w14:val="tx1"/>
                  </w14:solidFill>
                </w14:textFill>
              </w:rPr>
              <w:t>喷粉厚度</w:t>
            </w:r>
            <w:r>
              <w:rPr>
                <w:rFonts w:hint="eastAsia"/>
                <w:color w:val="000000" w:themeColor="text1"/>
                <w:sz w:val="24"/>
                <w:lang w:val="en-US" w:eastAsia="zh-CN"/>
                <w14:textFill>
                  <w14:solidFill>
                    <w14:schemeClr w14:val="tx1"/>
                  </w14:solidFill>
                </w14:textFill>
              </w:rPr>
              <w:t>分别</w:t>
            </w:r>
            <w:r>
              <w:rPr>
                <w:rFonts w:hint="default"/>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50</w:t>
            </w:r>
            <w:r>
              <w:rPr>
                <w:rFonts w:hint="default"/>
                <w:color w:val="000000" w:themeColor="text1"/>
                <w:szCs w:val="21"/>
                <w:shd w:val="clear" w:color="auto" w:fill="FFFFFF"/>
                <w14:textFill>
                  <w14:solidFill>
                    <w14:schemeClr w14:val="tx1"/>
                  </w14:solidFill>
                </w14:textFill>
              </w:rPr>
              <w:t>μm</w:t>
            </w:r>
            <w:r>
              <w:rPr>
                <w:rFonts w:hint="eastAsia" w:eastAsia="宋体"/>
                <w:color w:val="000000" w:themeColor="text1"/>
                <w:sz w:val="24"/>
                <w:szCs w:val="24"/>
                <w:lang w:val="en-US"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60</w:t>
            </w:r>
            <w:r>
              <w:rPr>
                <w:rFonts w:hint="default"/>
                <w:color w:val="000000" w:themeColor="text1"/>
                <w:szCs w:val="21"/>
                <w:shd w:val="clear" w:color="auto" w:fill="FFFFFF"/>
                <w14:textFill>
                  <w14:solidFill>
                    <w14:schemeClr w14:val="tx1"/>
                  </w14:solidFill>
                </w14:textFill>
              </w:rPr>
              <w:t>μm</w:t>
            </w:r>
            <w:r>
              <w:rPr>
                <w:rFonts w:hint="eastAsia" w:eastAsia="宋体"/>
                <w:color w:val="000000" w:themeColor="text1"/>
                <w:sz w:val="24"/>
                <w:szCs w:val="24"/>
                <w:lang w:val="en-US"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75</w:t>
            </w:r>
            <w:r>
              <w:rPr>
                <w:rFonts w:hint="default"/>
                <w:color w:val="000000" w:themeColor="text1"/>
                <w:szCs w:val="21"/>
                <w:shd w:val="clear" w:color="auto" w:fill="FFFFFF"/>
                <w14:textFill>
                  <w14:solidFill>
                    <w14:schemeClr w14:val="tx1"/>
                  </w14:solidFill>
                </w14:textFill>
              </w:rPr>
              <w:t>μm，</w:t>
            </w:r>
            <w:r>
              <w:rPr>
                <w:rFonts w:hint="eastAsia"/>
                <w:color w:val="000000" w:themeColor="text1"/>
                <w:kern w:val="2"/>
                <w:sz w:val="24"/>
                <w:szCs w:val="24"/>
                <w:lang w:val="en-US" w:eastAsia="zh-CN"/>
                <w14:textFill>
                  <w14:solidFill>
                    <w14:schemeClr w14:val="tx1"/>
                  </w14:solidFill>
                </w14:textFill>
              </w:rPr>
              <w:t>喷粉面积分别为</w:t>
            </w:r>
            <w:r>
              <w:rPr>
                <w:rFonts w:hint="eastAsia" w:eastAsia="宋体"/>
                <w:color w:val="000000" w:themeColor="text1"/>
                <w:sz w:val="24"/>
                <w:szCs w:val="24"/>
                <w:lang w:val="en-US" w:eastAsia="zh-CN"/>
                <w14:textFill>
                  <w14:solidFill>
                    <w14:schemeClr w14:val="tx1"/>
                  </w14:solidFill>
                </w14:textFill>
              </w:rPr>
              <w:t>2000</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2</w:t>
            </w:r>
            <w:r>
              <w:rPr>
                <w:rFonts w:hint="eastAsia" w:eastAsia="宋体"/>
                <w:color w:val="000000" w:themeColor="text1"/>
                <w:sz w:val="24"/>
                <w:szCs w:val="24"/>
                <w:lang w:val="en-US" w:eastAsia="zh-CN"/>
                <w14:textFill>
                  <w14:solidFill>
                    <w14:schemeClr w14:val="tx1"/>
                  </w14:solidFill>
                </w14:textFill>
              </w:rPr>
              <w:t>、262500</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2</w:t>
            </w:r>
            <w:r>
              <w:rPr>
                <w:rFonts w:hint="eastAsia" w:eastAsia="宋体"/>
                <w:color w:val="000000" w:themeColor="text1"/>
                <w:sz w:val="24"/>
                <w:szCs w:val="24"/>
                <w:lang w:val="en-US" w:eastAsia="zh-CN"/>
                <w14:textFill>
                  <w14:solidFill>
                    <w14:schemeClr w14:val="tx1"/>
                  </w14:solidFill>
                </w14:textFill>
              </w:rPr>
              <w:t>、750000</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2</w:t>
            </w:r>
            <w:r>
              <w:rPr>
                <w:rFonts w:hint="default"/>
                <w:color w:val="000000" w:themeColor="text1"/>
                <w:sz w:val="24"/>
                <w:szCs w:val="24"/>
                <w14:textFill>
                  <w14:solidFill>
                    <w14:schemeClr w14:val="tx1"/>
                  </w14:solidFill>
                </w14:textFill>
              </w:rPr>
              <w:t>，</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喷粉附着率</w:t>
            </w:r>
            <w:r>
              <w:rPr>
                <w:rFonts w:hint="eastAsia"/>
                <w:color w:val="000000" w:themeColor="text1"/>
                <w:kern w:val="2"/>
                <w:sz w:val="24"/>
                <w:szCs w:val="24"/>
                <w:highlight w:val="none"/>
                <w:lang w:val="en-US" w:eastAsia="zh-CN"/>
                <w14:textFill>
                  <w14:solidFill>
                    <w14:schemeClr w14:val="tx1"/>
                  </w14:solidFill>
                </w14:textFill>
              </w:rPr>
              <w:t>均</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以</w:t>
            </w:r>
            <w:r>
              <w:rPr>
                <w:rFonts w:hint="eastAsia"/>
                <w:color w:val="000000" w:themeColor="text1"/>
                <w:kern w:val="2"/>
                <w:sz w:val="24"/>
                <w:szCs w:val="24"/>
                <w:highlight w:val="none"/>
                <w:lang w:val="en-US" w:eastAsia="zh-CN"/>
                <w14:textFill>
                  <w14:solidFill>
                    <w14:schemeClr w14:val="tx1"/>
                  </w14:solidFill>
                </w14:textFill>
              </w:rPr>
              <w:t>65</w:t>
            </w:r>
            <w:r>
              <w:rPr>
                <w:rFonts w:hint="eastAsia" w:ascii="Times New Roman" w:hAnsi="Times New Roman"/>
                <w:color w:val="000000" w:themeColor="text1"/>
                <w:kern w:val="2"/>
                <w:sz w:val="24"/>
                <w:szCs w:val="24"/>
                <w:highlight w:val="none"/>
                <w:lang w:val="en-US" w:eastAsia="zh-CN"/>
                <w14:textFill>
                  <w14:solidFill>
                    <w14:schemeClr w14:val="tx1"/>
                  </w14:solidFill>
                </w14:textFill>
              </w:rPr>
              <w:t>%计</w:t>
            </w:r>
            <w:r>
              <w:rPr>
                <w:rFonts w:hint="default"/>
                <w:color w:val="000000" w:themeColor="text1"/>
                <w:sz w:val="24"/>
                <w:highlight w:val="none"/>
                <w14:textFill>
                  <w14:solidFill>
                    <w14:schemeClr w14:val="tx1"/>
                  </w14:solidFill>
                </w14:textFill>
              </w:rPr>
              <w:t>。</w:t>
            </w:r>
          </w:p>
          <w:p w14:paraId="7BFCBDD1">
            <w:pPr>
              <w:keepNext w:val="0"/>
              <w:keepLines w:val="0"/>
              <w:numPr>
                <w:ilvl w:val="0"/>
                <w:numId w:val="7"/>
              </w:numPr>
              <w:suppressLineNumbers w:val="0"/>
              <w:spacing w:before="0" w:beforeAutospacing="0" w:after="0" w:afterAutospacing="0" w:line="360" w:lineRule="auto"/>
              <w:ind w:left="0" w:right="0" w:firstLine="480" w:firstLineChars="200"/>
              <w:rPr>
                <w:rFonts w:hint="eastAsia"/>
                <w:color w:val="000000" w:themeColor="text1"/>
                <w:sz w:val="24"/>
                <w:lang w:val="en-US" w:eastAsia="zh-CN"/>
                <w14:textFill>
                  <w14:solidFill>
                    <w14:schemeClr w14:val="tx1"/>
                  </w14:solidFill>
                </w14:textFill>
              </w:rPr>
            </w:pPr>
            <w:r>
              <w:rPr>
                <w:rFonts w:hint="default" w:eastAsia="宋体"/>
                <w:color w:val="000000" w:themeColor="text1"/>
                <w:sz w:val="24"/>
                <w:szCs w:val="24"/>
                <w:lang w:val="en-US" w:eastAsia="zh-CN"/>
                <w14:textFill>
                  <w14:solidFill>
                    <w14:schemeClr w14:val="tx1"/>
                  </w14:solidFill>
                </w14:textFill>
              </w:rPr>
              <w:t>光电设备配件</w:t>
            </w:r>
          </w:p>
          <w:p w14:paraId="7EE52E4D">
            <w:pPr>
              <w:keepNext w:val="0"/>
              <w:keepLines w:val="0"/>
              <w:numPr>
                <w:ilvl w:val="0"/>
                <w:numId w:val="0"/>
              </w:numPr>
              <w:suppressLineNumbers w:val="0"/>
              <w:spacing w:before="0" w:beforeAutospacing="0" w:after="0" w:afterAutospacing="0" w:line="360" w:lineRule="auto"/>
              <w:ind w:left="0" w:right="0" w:firstLine="480" w:firstLineChars="200"/>
              <w:rPr>
                <w:rFonts w:hint="default"/>
                <w:color w:val="000000" w:themeColor="text1"/>
                <w:sz w:val="24"/>
                <w:highlight w:val="none"/>
                <w14:textFill>
                  <w14:solidFill>
                    <w14:schemeClr w14:val="tx1"/>
                  </w14:solidFill>
                </w14:textFill>
              </w:rPr>
            </w:pPr>
            <w:r>
              <w:rPr>
                <w:rFonts w:hint="default"/>
                <w:color w:val="000000" w:themeColor="text1"/>
                <w:sz w:val="24"/>
                <w14:textFill>
                  <w14:solidFill>
                    <w14:schemeClr w14:val="tx1"/>
                  </w14:solidFill>
                </w14:textFill>
              </w:rPr>
              <w:t>根据</w:t>
            </w:r>
            <w:r>
              <w:rPr>
                <w:rFonts w:hint="default"/>
                <w:color w:val="000000" w:themeColor="text1"/>
                <w:sz w:val="24"/>
                <w:highlight w:val="none"/>
                <w14:textFill>
                  <w14:solidFill>
                    <w14:schemeClr w14:val="tx1"/>
                  </w14:solidFill>
                </w14:textFill>
              </w:rPr>
              <w:t>：附着量=喷粉面积×喷粉厚度×密度=</w:t>
            </w:r>
            <w:r>
              <w:rPr>
                <w:rFonts w:hint="eastAsia"/>
                <w:color w:val="000000" w:themeColor="text1"/>
                <w:sz w:val="24"/>
                <w:szCs w:val="24"/>
                <w:highlight w:val="none"/>
                <w:lang w:val="en-US" w:eastAsia="zh-CN"/>
                <w14:textFill>
                  <w14:solidFill>
                    <w14:schemeClr w14:val="tx1"/>
                  </w14:solidFill>
                </w14:textFill>
              </w:rPr>
              <w:t>2000</w:t>
            </w:r>
            <w:r>
              <w:rPr>
                <w:rFonts w:hint="default"/>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50</w:t>
            </w:r>
            <w:r>
              <w:rPr>
                <w:rFonts w:hint="default"/>
                <w:color w:val="000000" w:themeColor="text1"/>
                <w:sz w:val="24"/>
                <w:highlight w:val="none"/>
                <w14:textFill>
                  <w14:solidFill>
                    <w14:schemeClr w14:val="tx1"/>
                  </w14:solidFill>
                </w14:textFill>
              </w:rPr>
              <w:t>×10</w:t>
            </w:r>
            <w:r>
              <w:rPr>
                <w:rFonts w:hint="default"/>
                <w:color w:val="000000" w:themeColor="text1"/>
                <w:sz w:val="24"/>
                <w:highlight w:val="none"/>
                <w:vertAlign w:val="superscript"/>
                <w14:textFill>
                  <w14:solidFill>
                    <w14:schemeClr w14:val="tx1"/>
                  </w14:solidFill>
                </w14:textFill>
              </w:rPr>
              <w:t>-6</w:t>
            </w:r>
            <w:r>
              <w:rPr>
                <w:rFonts w:hint="default"/>
                <w:color w:val="000000" w:themeColor="text1"/>
                <w:sz w:val="24"/>
                <w:highlight w:val="none"/>
                <w14:textFill>
                  <w14:solidFill>
                    <w14:schemeClr w14:val="tx1"/>
                  </w14:solidFill>
                </w14:textFill>
              </w:rPr>
              <w:t>×1.4</w:t>
            </w:r>
            <w:r>
              <w:rPr>
                <w:rFonts w:hint="eastAsia" w:ascii="Arial" w:hAnsi="Arial" w:cs="Arial"/>
                <w:color w:val="000000" w:themeColor="text1"/>
                <w:kern w:val="2"/>
                <w:sz w:val="24"/>
                <w:szCs w:val="24"/>
                <w:highlight w:val="none"/>
                <w:lang w:val="en-US"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22.05</w:t>
            </w:r>
            <w:r>
              <w:rPr>
                <w:rFonts w:hint="default"/>
                <w:color w:val="000000" w:themeColor="text1"/>
                <w:sz w:val="24"/>
                <w:highlight w:val="none"/>
                <w14:textFill>
                  <w14:solidFill>
                    <w14:schemeClr w14:val="tx1"/>
                  </w14:solidFill>
                </w14:textFill>
              </w:rPr>
              <w:t>t</w:t>
            </w:r>
          </w:p>
          <w:p w14:paraId="392E35B0">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highlight w:val="none"/>
                <w14:textFill>
                  <w14:solidFill>
                    <w14:schemeClr w14:val="tx1"/>
                  </w14:solidFill>
                </w14:textFill>
              </w:rPr>
            </w:pPr>
            <w:r>
              <w:rPr>
                <w:rFonts w:hint="default"/>
                <w:color w:val="000000" w:themeColor="text1"/>
                <w:sz w:val="24"/>
                <w:highlight w:val="none"/>
                <w14:textFill>
                  <w14:solidFill>
                    <w14:schemeClr w14:val="tx1"/>
                  </w14:solidFill>
                </w14:textFill>
              </w:rPr>
              <w:t>则喷粉用量=附着量÷附着率=</w:t>
            </w:r>
            <w:r>
              <w:rPr>
                <w:rFonts w:hint="eastAsia"/>
                <w:color w:val="000000" w:themeColor="text1"/>
                <w:sz w:val="24"/>
                <w:highlight w:val="none"/>
                <w:lang w:val="en-US" w:eastAsia="zh-CN"/>
                <w14:textFill>
                  <w14:solidFill>
                    <w14:schemeClr w14:val="tx1"/>
                  </w14:solidFill>
                </w14:textFill>
              </w:rPr>
              <w:t>22.05</w:t>
            </w:r>
            <w:r>
              <w:rPr>
                <w:rFonts w:hint="default"/>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65</w:t>
            </w:r>
            <w:r>
              <w:rPr>
                <w:rFonts w:hint="default"/>
                <w:color w:val="000000" w:themeColor="text1"/>
                <w:sz w:val="24"/>
                <w:highlight w:val="none"/>
                <w14:textFill>
                  <w14:solidFill>
                    <w14:schemeClr w14:val="tx1"/>
                  </w14:solidFill>
                </w14:textFill>
              </w:rPr>
              <w:t>%</w:t>
            </w:r>
            <w:r>
              <w:rPr>
                <w:rFonts w:hint="default" w:ascii="Arial" w:hAnsi="Arial" w:cs="Arial"/>
                <w:color w:val="000000" w:themeColor="text1"/>
                <w:kern w:val="2"/>
                <w:sz w:val="24"/>
                <w:szCs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11.909</w:t>
            </w:r>
            <w:r>
              <w:rPr>
                <w:rFonts w:hint="default"/>
                <w:color w:val="000000" w:themeColor="text1"/>
                <w:sz w:val="24"/>
                <w:highlight w:val="none"/>
                <w14:textFill>
                  <w14:solidFill>
                    <w14:schemeClr w14:val="tx1"/>
                  </w14:solidFill>
                </w14:textFill>
              </w:rPr>
              <w:t>t</w:t>
            </w:r>
          </w:p>
          <w:p w14:paraId="7DEEE1A1">
            <w:pPr>
              <w:keepNext w:val="0"/>
              <w:keepLines w:val="0"/>
              <w:numPr>
                <w:ilvl w:val="0"/>
                <w:numId w:val="7"/>
              </w:numPr>
              <w:suppressLineNumbers w:val="0"/>
              <w:spacing w:before="0" w:beforeAutospacing="0" w:after="0" w:afterAutospacing="0" w:line="360" w:lineRule="auto"/>
              <w:ind w:left="0" w:leftChars="0" w:right="0" w:firstLine="480" w:firstLineChars="200"/>
              <w:rPr>
                <w:rFonts w:hint="default"/>
                <w:color w:val="000000" w:themeColor="text1"/>
                <w:sz w:val="24"/>
                <w:highlight w:val="none"/>
                <w14:textFill>
                  <w14:solidFill>
                    <w14:schemeClr w14:val="tx1"/>
                  </w14:solidFill>
                </w14:textFill>
              </w:rPr>
            </w:pPr>
            <w:r>
              <w:rPr>
                <w:rFonts w:hint="default" w:eastAsia="宋体"/>
                <w:color w:val="000000" w:themeColor="text1"/>
                <w:sz w:val="24"/>
                <w:szCs w:val="24"/>
                <w:lang w:val="en-US" w:eastAsia="zh-CN"/>
                <w14:textFill>
                  <w14:solidFill>
                    <w14:schemeClr w14:val="tx1"/>
                  </w14:solidFill>
                </w14:textFill>
              </w:rPr>
              <w:t>汽车零部件</w:t>
            </w:r>
          </w:p>
          <w:p w14:paraId="242AB1FE">
            <w:pPr>
              <w:keepNext w:val="0"/>
              <w:keepLines w:val="0"/>
              <w:numPr>
                <w:ilvl w:val="0"/>
                <w:numId w:val="0"/>
              </w:numPr>
              <w:suppressLineNumbers w:val="0"/>
              <w:spacing w:before="0" w:beforeAutospacing="0" w:after="0" w:afterAutospacing="0" w:line="360" w:lineRule="auto"/>
              <w:ind w:left="0" w:right="0" w:firstLine="480" w:firstLineChars="200"/>
              <w:rPr>
                <w:rFonts w:hint="default"/>
                <w:color w:val="000000" w:themeColor="text1"/>
                <w:sz w:val="24"/>
                <w:highlight w:val="none"/>
                <w14:textFill>
                  <w14:solidFill>
                    <w14:schemeClr w14:val="tx1"/>
                  </w14:solidFill>
                </w14:textFill>
              </w:rPr>
            </w:pPr>
            <w:r>
              <w:rPr>
                <w:rFonts w:hint="default"/>
                <w:color w:val="000000" w:themeColor="text1"/>
                <w:sz w:val="24"/>
                <w:highlight w:val="none"/>
                <w14:textFill>
                  <w14:solidFill>
                    <w14:schemeClr w14:val="tx1"/>
                  </w14:solidFill>
                </w14:textFill>
              </w:rPr>
              <w:t>根据：附着量=喷粉面积×喷粉厚度×密度=</w:t>
            </w:r>
            <w:r>
              <w:rPr>
                <w:rFonts w:hint="eastAsia" w:eastAsia="宋体"/>
                <w:color w:val="000000" w:themeColor="text1"/>
                <w:sz w:val="24"/>
                <w:szCs w:val="24"/>
                <w:lang w:val="en-US" w:eastAsia="zh-CN"/>
                <w14:textFill>
                  <w14:solidFill>
                    <w14:schemeClr w14:val="tx1"/>
                  </w14:solidFill>
                </w14:textFill>
              </w:rPr>
              <w:t>262500</w:t>
            </w:r>
            <w:r>
              <w:rPr>
                <w:rFonts w:hint="default"/>
                <w:color w:val="000000" w:themeColor="text1"/>
                <w:sz w:val="24"/>
                <w:highlight w:val="none"/>
                <w14:textFill>
                  <w14:solidFill>
                    <w14:schemeClr w14:val="tx1"/>
                  </w14:solidFill>
                </w14:textFill>
              </w:rPr>
              <w:t>×60×10</w:t>
            </w:r>
            <w:r>
              <w:rPr>
                <w:rFonts w:hint="default"/>
                <w:color w:val="000000" w:themeColor="text1"/>
                <w:sz w:val="24"/>
                <w:highlight w:val="none"/>
                <w:vertAlign w:val="superscript"/>
                <w14:textFill>
                  <w14:solidFill>
                    <w14:schemeClr w14:val="tx1"/>
                  </w14:solidFill>
                </w14:textFill>
              </w:rPr>
              <w:t>-6</w:t>
            </w:r>
            <w:r>
              <w:rPr>
                <w:rFonts w:hint="default"/>
                <w:color w:val="000000" w:themeColor="text1"/>
                <w:sz w:val="24"/>
                <w:highlight w:val="none"/>
                <w14:textFill>
                  <w14:solidFill>
                    <w14:schemeClr w14:val="tx1"/>
                  </w14:solidFill>
                </w14:textFill>
              </w:rPr>
              <w:t>×1.4</w:t>
            </w:r>
            <w:r>
              <w:rPr>
                <w:rFonts w:hint="eastAsia" w:ascii="Arial" w:hAnsi="Arial" w:cs="Arial"/>
                <w:color w:val="000000" w:themeColor="text1"/>
                <w:kern w:val="2"/>
                <w:sz w:val="24"/>
                <w:szCs w:val="24"/>
                <w:highlight w:val="none"/>
                <w:lang w:val="en-US"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22.05</w:t>
            </w:r>
            <w:r>
              <w:rPr>
                <w:rFonts w:hint="default"/>
                <w:color w:val="000000" w:themeColor="text1"/>
                <w:sz w:val="24"/>
                <w:highlight w:val="none"/>
                <w14:textFill>
                  <w14:solidFill>
                    <w14:schemeClr w14:val="tx1"/>
                  </w14:solidFill>
                </w14:textFill>
              </w:rPr>
              <w:t>t</w:t>
            </w:r>
          </w:p>
          <w:p w14:paraId="27296F40">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highlight w:val="none"/>
                <w14:textFill>
                  <w14:solidFill>
                    <w14:schemeClr w14:val="tx1"/>
                  </w14:solidFill>
                </w14:textFill>
              </w:rPr>
            </w:pPr>
            <w:r>
              <w:rPr>
                <w:rFonts w:hint="default"/>
                <w:color w:val="000000" w:themeColor="text1"/>
                <w:sz w:val="24"/>
                <w:highlight w:val="none"/>
                <w14:textFill>
                  <w14:solidFill>
                    <w14:schemeClr w14:val="tx1"/>
                  </w14:solidFill>
                </w14:textFill>
              </w:rPr>
              <w:t>则喷粉用量=附着量÷附着率=</w:t>
            </w:r>
            <w:r>
              <w:rPr>
                <w:rFonts w:hint="eastAsia"/>
                <w:color w:val="000000" w:themeColor="text1"/>
                <w:sz w:val="24"/>
                <w:highlight w:val="none"/>
                <w:lang w:val="en-US" w:eastAsia="zh-CN"/>
                <w14:textFill>
                  <w14:solidFill>
                    <w14:schemeClr w14:val="tx1"/>
                  </w14:solidFill>
                </w14:textFill>
              </w:rPr>
              <w:t>20.05</w:t>
            </w:r>
            <w:r>
              <w:rPr>
                <w:rFonts w:hint="default"/>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65</w:t>
            </w:r>
            <w:r>
              <w:rPr>
                <w:rFonts w:hint="default"/>
                <w:color w:val="000000" w:themeColor="text1"/>
                <w:sz w:val="24"/>
                <w:highlight w:val="none"/>
                <w14:textFill>
                  <w14:solidFill>
                    <w14:schemeClr w14:val="tx1"/>
                  </w14:solidFill>
                </w14:textFill>
              </w:rPr>
              <w:t>%</w:t>
            </w:r>
            <w:r>
              <w:rPr>
                <w:rFonts w:hint="default" w:ascii="Arial" w:hAnsi="Arial" w:cs="Arial"/>
                <w:color w:val="000000" w:themeColor="text1"/>
                <w:kern w:val="2"/>
                <w:sz w:val="24"/>
                <w:szCs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33.923</w:t>
            </w:r>
            <w:r>
              <w:rPr>
                <w:rFonts w:hint="default"/>
                <w:color w:val="000000" w:themeColor="text1"/>
                <w:sz w:val="24"/>
                <w:highlight w:val="none"/>
                <w14:textFill>
                  <w14:solidFill>
                    <w14:schemeClr w14:val="tx1"/>
                  </w14:solidFill>
                </w14:textFill>
              </w:rPr>
              <w:t>t</w:t>
            </w:r>
          </w:p>
          <w:p w14:paraId="246E3336">
            <w:pPr>
              <w:keepNext w:val="0"/>
              <w:keepLines w:val="0"/>
              <w:numPr>
                <w:ilvl w:val="0"/>
                <w:numId w:val="7"/>
              </w:numPr>
              <w:suppressLineNumbers w:val="0"/>
              <w:spacing w:before="0" w:beforeAutospacing="0" w:after="0" w:afterAutospacing="0" w:line="360" w:lineRule="auto"/>
              <w:ind w:left="0" w:leftChars="0" w:right="0" w:firstLine="480" w:firstLineChars="200"/>
              <w:rPr>
                <w:rFonts w:hint="default"/>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通讯五金部件</w:t>
            </w:r>
          </w:p>
          <w:p w14:paraId="3694A348">
            <w:pPr>
              <w:keepNext w:val="0"/>
              <w:keepLines w:val="0"/>
              <w:numPr>
                <w:ilvl w:val="0"/>
                <w:numId w:val="0"/>
              </w:numPr>
              <w:suppressLineNumbers w:val="0"/>
              <w:spacing w:before="0" w:beforeAutospacing="0" w:after="0" w:afterAutospacing="0" w:line="360" w:lineRule="auto"/>
              <w:ind w:left="0" w:right="0" w:firstLine="480" w:firstLineChars="200"/>
              <w:rPr>
                <w:rFonts w:hint="default"/>
                <w:color w:val="000000" w:themeColor="text1"/>
                <w:sz w:val="24"/>
                <w:highlight w:val="none"/>
                <w14:textFill>
                  <w14:solidFill>
                    <w14:schemeClr w14:val="tx1"/>
                  </w14:solidFill>
                </w14:textFill>
              </w:rPr>
            </w:pPr>
            <w:r>
              <w:rPr>
                <w:rFonts w:hint="default"/>
                <w:color w:val="000000" w:themeColor="text1"/>
                <w:sz w:val="24"/>
                <w:highlight w:val="none"/>
                <w14:textFill>
                  <w14:solidFill>
                    <w14:schemeClr w14:val="tx1"/>
                  </w14:solidFill>
                </w14:textFill>
              </w:rPr>
              <w:t>根据：附着量=喷粉面积×喷粉厚度×密度=</w:t>
            </w:r>
            <w:r>
              <w:rPr>
                <w:rFonts w:hint="eastAsia" w:eastAsia="宋体"/>
                <w:color w:val="000000" w:themeColor="text1"/>
                <w:sz w:val="24"/>
                <w:szCs w:val="24"/>
                <w:lang w:val="en-US" w:eastAsia="zh-CN"/>
                <w14:textFill>
                  <w14:solidFill>
                    <w14:schemeClr w14:val="tx1"/>
                  </w14:solidFill>
                </w14:textFill>
              </w:rPr>
              <w:t>750000</w:t>
            </w:r>
            <w:r>
              <w:rPr>
                <w:rFonts w:hint="default"/>
                <w:color w:val="000000" w:themeColor="text1"/>
                <w:sz w:val="24"/>
                <w:highlight w:val="none"/>
                <w14:textFill>
                  <w14:solidFill>
                    <w14:schemeClr w14:val="tx1"/>
                  </w14:solidFill>
                </w14:textFill>
              </w:rPr>
              <w:t>×60×10</w:t>
            </w:r>
            <w:r>
              <w:rPr>
                <w:rFonts w:hint="default"/>
                <w:color w:val="000000" w:themeColor="text1"/>
                <w:sz w:val="24"/>
                <w:highlight w:val="none"/>
                <w:vertAlign w:val="superscript"/>
                <w14:textFill>
                  <w14:solidFill>
                    <w14:schemeClr w14:val="tx1"/>
                  </w14:solidFill>
                </w14:textFill>
              </w:rPr>
              <w:t>-6</w:t>
            </w:r>
            <w:r>
              <w:rPr>
                <w:rFonts w:hint="default"/>
                <w:color w:val="000000" w:themeColor="text1"/>
                <w:sz w:val="24"/>
                <w:highlight w:val="none"/>
                <w14:textFill>
                  <w14:solidFill>
                    <w14:schemeClr w14:val="tx1"/>
                  </w14:solidFill>
                </w14:textFill>
              </w:rPr>
              <w:t>×1.4</w:t>
            </w:r>
            <w:r>
              <w:rPr>
                <w:rFonts w:hint="default" w:ascii="Arial" w:hAnsi="Arial" w:cs="Arial"/>
                <w:color w:val="000000" w:themeColor="text1"/>
                <w:kern w:val="2"/>
                <w:sz w:val="24"/>
                <w:szCs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78.75</w:t>
            </w:r>
            <w:r>
              <w:rPr>
                <w:rFonts w:hint="default"/>
                <w:color w:val="000000" w:themeColor="text1"/>
                <w:sz w:val="24"/>
                <w:highlight w:val="none"/>
                <w14:textFill>
                  <w14:solidFill>
                    <w14:schemeClr w14:val="tx1"/>
                  </w14:solidFill>
                </w14:textFill>
              </w:rPr>
              <w:t>t</w:t>
            </w:r>
          </w:p>
          <w:p w14:paraId="2CE9BE3C">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highlight w:val="none"/>
                <w14:textFill>
                  <w14:solidFill>
                    <w14:schemeClr w14:val="tx1"/>
                  </w14:solidFill>
                </w14:textFill>
              </w:rPr>
            </w:pPr>
            <w:r>
              <w:rPr>
                <w:rFonts w:hint="default"/>
                <w:color w:val="000000" w:themeColor="text1"/>
                <w:sz w:val="24"/>
                <w:highlight w:val="none"/>
                <w14:textFill>
                  <w14:solidFill>
                    <w14:schemeClr w14:val="tx1"/>
                  </w14:solidFill>
                </w14:textFill>
              </w:rPr>
              <w:t>则喷粉用量=附着量÷附着率=</w:t>
            </w:r>
            <w:r>
              <w:rPr>
                <w:rFonts w:hint="eastAsia"/>
                <w:color w:val="000000" w:themeColor="text1"/>
                <w:sz w:val="24"/>
                <w:highlight w:val="none"/>
                <w:lang w:val="en-US" w:eastAsia="zh-CN"/>
                <w14:textFill>
                  <w14:solidFill>
                    <w14:schemeClr w14:val="tx1"/>
                  </w14:solidFill>
                </w14:textFill>
              </w:rPr>
              <w:t>78.75</w:t>
            </w:r>
            <w:r>
              <w:rPr>
                <w:rFonts w:hint="default"/>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65</w:t>
            </w:r>
            <w:r>
              <w:rPr>
                <w:rFonts w:hint="default"/>
                <w:color w:val="000000" w:themeColor="text1"/>
                <w:sz w:val="24"/>
                <w:highlight w:val="none"/>
                <w14:textFill>
                  <w14:solidFill>
                    <w14:schemeClr w14:val="tx1"/>
                  </w14:solidFill>
                </w14:textFill>
              </w:rPr>
              <w:t>%</w:t>
            </w:r>
            <w:r>
              <w:rPr>
                <w:rFonts w:hint="default" w:ascii="Arial" w:hAnsi="Arial" w:cs="Arial"/>
                <w:color w:val="000000" w:themeColor="text1"/>
                <w:kern w:val="2"/>
                <w:sz w:val="24"/>
                <w:szCs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121.154</w:t>
            </w:r>
            <w:r>
              <w:rPr>
                <w:rFonts w:hint="default"/>
                <w:color w:val="000000" w:themeColor="text1"/>
                <w:sz w:val="24"/>
                <w:highlight w:val="none"/>
                <w14:textFill>
                  <w14:solidFill>
                    <w14:schemeClr w14:val="tx1"/>
                  </w14:solidFill>
                </w14:textFill>
              </w:rPr>
              <w:t>t</w:t>
            </w:r>
          </w:p>
          <w:p w14:paraId="3CCE6233">
            <w:pPr>
              <w:keepNext w:val="0"/>
              <w:keepLines w:val="0"/>
              <w:suppressLineNumbers w:val="0"/>
              <w:spacing w:before="0" w:beforeAutospacing="0" w:after="0" w:afterAutospacing="0" w:line="360" w:lineRule="auto"/>
              <w:ind w:left="0" w:right="0" w:firstLine="480" w:firstLineChars="200"/>
              <w:rPr>
                <w:rFonts w:hint="default"/>
                <w:color w:val="000000" w:themeColor="text1"/>
                <w:szCs w:val="21"/>
                <w:highlight w:val="none"/>
                <w14:textFill>
                  <w14:solidFill>
                    <w14:schemeClr w14:val="tx1"/>
                  </w14:solidFill>
                </w14:textFill>
              </w:rPr>
            </w:pPr>
            <w:r>
              <w:rPr>
                <w:rFonts w:hint="default"/>
                <w:color w:val="000000" w:themeColor="text1"/>
                <w:sz w:val="24"/>
                <w:highlight w:val="none"/>
                <w14:textFill>
                  <w14:solidFill>
                    <w14:schemeClr w14:val="tx1"/>
                  </w14:solidFill>
                </w14:textFill>
              </w:rPr>
              <w:t>综上所述，喷粉塑粉年用量为</w:t>
            </w:r>
            <w:r>
              <w:rPr>
                <w:rFonts w:hint="eastAsia"/>
                <w:color w:val="000000" w:themeColor="text1"/>
                <w:sz w:val="24"/>
                <w:highlight w:val="none"/>
                <w:lang w:val="en-US" w:eastAsia="zh-CN"/>
                <w14:textFill>
                  <w14:solidFill>
                    <w14:schemeClr w14:val="tx1"/>
                  </w14:solidFill>
                </w14:textFill>
              </w:rPr>
              <w:t>155.292</w:t>
            </w:r>
            <w:r>
              <w:rPr>
                <w:rFonts w:hint="default"/>
                <w:color w:val="000000" w:themeColor="text1"/>
                <w:sz w:val="24"/>
                <w:highlight w:val="none"/>
                <w14:textFill>
                  <w14:solidFill>
                    <w14:schemeClr w14:val="tx1"/>
                  </w14:solidFill>
                </w14:textFill>
              </w:rPr>
              <w:t>t/a，与本项目实际用量基本相符。</w:t>
            </w:r>
          </w:p>
          <w:p w14:paraId="549A2062">
            <w:pPr>
              <w:keepNext w:val="0"/>
              <w:keepLines w:val="0"/>
              <w:widowControl/>
              <w:suppressLineNumbers w:val="0"/>
              <w:spacing w:before="0" w:beforeAutospacing="0" w:after="0" w:afterAutospacing="0" w:line="360" w:lineRule="auto"/>
              <w:ind w:left="0" w:right="0" w:firstLine="480" w:firstLineChars="200"/>
              <w:jc w:val="left"/>
              <w:rPr>
                <w:rFonts w:hint="default"/>
                <w:color w:val="000000" w:themeColor="text1"/>
                <w:sz w:val="24"/>
                <w:highlight w:val="none"/>
                <w14:textFill>
                  <w14:solidFill>
                    <w14:schemeClr w14:val="tx1"/>
                  </w14:solidFill>
                </w14:textFill>
              </w:rPr>
            </w:pPr>
            <w:r>
              <w:rPr>
                <w:rFonts w:hint="default"/>
                <w:color w:val="000000" w:themeColor="text1"/>
                <w:sz w:val="24"/>
                <w:highlight w:val="none"/>
                <w14:textFill>
                  <w14:solidFill>
                    <w14:schemeClr w14:val="tx1"/>
                  </w14:solidFill>
                </w14:textFill>
              </w:rPr>
              <w:t>根据《低挥发性有机化合物含量涂料产品技术要求》（GB/T 38597-2020）的相关内容：8.1粉末涂料、无机建筑涂料（含建筑无机粉体涂装材料）、建筑用有机粉体产品中VOC含量通常很少，属于低挥发性有机化合物含量涂料产品。</w:t>
            </w:r>
          </w:p>
          <w:p w14:paraId="37D931FC">
            <w:pPr>
              <w:keepNext w:val="0"/>
              <w:keepLines w:val="0"/>
              <w:widowControl/>
              <w:suppressLineNumbers w:val="0"/>
              <w:spacing w:before="0" w:beforeAutospacing="0" w:after="0" w:afterAutospacing="0" w:line="360" w:lineRule="auto"/>
              <w:ind w:left="0" w:right="0" w:firstLine="480" w:firstLineChars="200"/>
              <w:jc w:val="left"/>
              <w:rPr>
                <w:rFonts w:hint="default"/>
                <w:color w:val="000000" w:themeColor="text1"/>
                <w:sz w:val="24"/>
                <w14:textFill>
                  <w14:solidFill>
                    <w14:schemeClr w14:val="tx1"/>
                  </w14:solidFill>
                </w14:textFill>
              </w:rPr>
            </w:pPr>
            <w:r>
              <w:rPr>
                <w:rFonts w:hint="default"/>
                <w:color w:val="000000" w:themeColor="text1"/>
                <w:sz w:val="24"/>
                <w:highlight w:val="none"/>
                <w14:textFill>
                  <w14:solidFill>
                    <w14:schemeClr w14:val="tx1"/>
                  </w14:solidFill>
                </w14:textFill>
              </w:rPr>
              <w:t>本项目塑粉属于粉末涂料，属于低挥发性有机化合物含量涂料产品，因</w:t>
            </w:r>
            <w:r>
              <w:rPr>
                <w:rFonts w:hint="default"/>
                <w:color w:val="000000" w:themeColor="text1"/>
                <w:sz w:val="24"/>
                <w14:textFill>
                  <w14:solidFill>
                    <w14:schemeClr w14:val="tx1"/>
                  </w14:solidFill>
                </w14:textFill>
              </w:rPr>
              <w:t>此符合《低挥发性有机化合物含量涂料产品技术要求》（GB/T 38597-2020）的要求。</w:t>
            </w:r>
          </w:p>
          <w:p w14:paraId="225F56FB">
            <w:pPr>
              <w:pStyle w:val="34"/>
              <w:keepNext w:val="0"/>
              <w:keepLines w:val="0"/>
              <w:numPr>
                <w:ilvl w:val="0"/>
                <w:numId w:val="8"/>
              </w:numPr>
              <w:suppressLineNumbers w:val="0"/>
              <w:spacing w:before="0" w:beforeAutospacing="0" w:after="0" w:afterAutospacing="0" w:line="360" w:lineRule="auto"/>
              <w:ind w:left="0" w:right="0" w:firstLine="482" w:firstLineChars="200"/>
              <w:rPr>
                <w:rFonts w:hint="default" w:ascii="Times New Roman" w:hAnsi="Times New Roman"/>
                <w:b/>
                <w:bCs/>
                <w:color w:val="000000" w:themeColor="text1"/>
                <w:kern w:val="2"/>
                <w:sz w:val="24"/>
                <w:szCs w:val="24"/>
                <w14:textFill>
                  <w14:solidFill>
                    <w14:schemeClr w14:val="tx1"/>
                  </w14:solidFill>
                </w14:textFill>
              </w:rPr>
            </w:pPr>
            <w:r>
              <w:rPr>
                <w:rFonts w:hint="default" w:ascii="Times New Roman" w:hAnsi="Times New Roman"/>
                <w:b/>
                <w:bCs/>
                <w:color w:val="000000" w:themeColor="text1"/>
                <w:kern w:val="2"/>
                <w:sz w:val="24"/>
                <w:szCs w:val="24"/>
                <w14:textFill>
                  <w14:solidFill>
                    <w14:schemeClr w14:val="tx1"/>
                  </w14:solidFill>
                </w14:textFill>
              </w:rPr>
              <w:t>漆料平衡</w:t>
            </w:r>
          </w:p>
          <w:p w14:paraId="3E98AB22">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本项目漆料平衡见下表及图。</w:t>
            </w:r>
          </w:p>
          <w:p w14:paraId="01EA09ED">
            <w:pPr>
              <w:keepNext w:val="0"/>
              <w:keepLines w:val="0"/>
              <w:widowControl/>
              <w:suppressLineNumbers w:val="0"/>
              <w:spacing w:before="0" w:beforeAutospacing="0" w:after="0" w:afterAutospacing="0"/>
              <w:ind w:left="0" w:right="0"/>
              <w:jc w:val="center"/>
              <w:rPr>
                <w:rFonts w:hint="default"/>
                <w:b/>
                <w:color w:val="000000" w:themeColor="text1"/>
                <w:kern w:val="0"/>
                <w:sz w:val="24"/>
                <w:szCs w:val="20"/>
                <w14:textFill>
                  <w14:solidFill>
                    <w14:schemeClr w14:val="tx1"/>
                  </w14:solidFill>
                </w14:textFill>
              </w:rPr>
            </w:pPr>
            <w:r>
              <w:rPr>
                <w:rFonts w:hint="default"/>
                <w:b/>
                <w:color w:val="000000" w:themeColor="text1"/>
                <w:kern w:val="0"/>
                <w:sz w:val="24"/>
                <w:szCs w:val="20"/>
                <w14:textFill>
                  <w14:solidFill>
                    <w14:schemeClr w14:val="tx1"/>
                  </w14:solidFill>
                </w14:textFill>
              </w:rPr>
              <w:t>表2-11  本项目</w:t>
            </w:r>
            <w:r>
              <w:rPr>
                <w:rFonts w:hint="eastAsia"/>
                <w:b/>
                <w:color w:val="000000" w:themeColor="text1"/>
                <w:kern w:val="0"/>
                <w:sz w:val="24"/>
                <w:szCs w:val="20"/>
                <w:lang w:eastAsia="zh-CN"/>
                <w14:textFill>
                  <w14:solidFill>
                    <w14:schemeClr w14:val="tx1"/>
                  </w14:solidFill>
                </w14:textFill>
              </w:rPr>
              <w:t>水性底漆</w:t>
            </w:r>
            <w:r>
              <w:rPr>
                <w:rFonts w:hint="default"/>
                <w:b/>
                <w:color w:val="000000" w:themeColor="text1"/>
                <w:kern w:val="0"/>
                <w:sz w:val="24"/>
                <w:szCs w:val="20"/>
                <w14:textFill>
                  <w14:solidFill>
                    <w14:schemeClr w14:val="tx1"/>
                  </w14:solidFill>
                </w14:textFill>
              </w:rPr>
              <w:t>调漆、</w:t>
            </w:r>
            <w:r>
              <w:rPr>
                <w:rFonts w:hint="eastAsia"/>
                <w:b/>
                <w:color w:val="000000" w:themeColor="text1"/>
                <w:kern w:val="0"/>
                <w:sz w:val="24"/>
                <w:szCs w:val="20"/>
                <w:lang w:eastAsia="zh-CN"/>
                <w14:textFill>
                  <w14:solidFill>
                    <w14:schemeClr w14:val="tx1"/>
                  </w14:solidFill>
                </w14:textFill>
              </w:rPr>
              <w:t>喷漆</w:t>
            </w:r>
            <w:r>
              <w:rPr>
                <w:rFonts w:hint="default"/>
                <w:b/>
                <w:color w:val="000000" w:themeColor="text1"/>
                <w:kern w:val="0"/>
                <w:sz w:val="24"/>
                <w:szCs w:val="20"/>
                <w14:textFill>
                  <w14:solidFill>
                    <w14:schemeClr w14:val="tx1"/>
                  </w14:solidFill>
                </w14:textFill>
              </w:rPr>
              <w:t>工序漆料平衡表</w:t>
            </w:r>
          </w:p>
          <w:tbl>
            <w:tblPr>
              <w:tblStyle w:val="61"/>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74A68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0A8B8305">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入方</w:t>
                  </w:r>
                </w:p>
              </w:tc>
              <w:tc>
                <w:tcPr>
                  <w:tcW w:w="3842" w:type="dxa"/>
                  <w:gridSpan w:val="3"/>
                  <w:vAlign w:val="center"/>
                </w:tcPr>
                <w:p w14:paraId="252E19F5">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出方</w:t>
                  </w:r>
                </w:p>
              </w:tc>
            </w:tr>
            <w:tr w14:paraId="33994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3477903C">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名称</w:t>
                  </w:r>
                </w:p>
              </w:tc>
              <w:tc>
                <w:tcPr>
                  <w:tcW w:w="1089" w:type="dxa"/>
                  <w:vAlign w:val="center"/>
                </w:tcPr>
                <w:p w14:paraId="69E50CA9">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用量（t/a）</w:t>
                  </w:r>
                </w:p>
              </w:tc>
              <w:tc>
                <w:tcPr>
                  <w:tcW w:w="1397" w:type="dxa"/>
                  <w:vAlign w:val="center"/>
                </w:tcPr>
                <w:p w14:paraId="13239872">
                  <w:pPr>
                    <w:keepNext w:val="0"/>
                    <w:keepLines w:val="0"/>
                    <w:suppressLineNumbers w:val="0"/>
                    <w:spacing w:before="0" w:beforeAutospacing="0" w:after="0" w:afterAutospacing="0"/>
                    <w:ind w:left="0" w:right="0"/>
                    <w:jc w:val="center"/>
                    <w:rPr>
                      <w:rFonts w:hint="default"/>
                      <w:b/>
                      <w:color w:val="000000" w:themeColor="text1"/>
                      <w:szCs w:val="22"/>
                      <w14:textFill>
                        <w14:solidFill>
                          <w14:schemeClr w14:val="tx1"/>
                        </w14:solidFill>
                      </w14:textFill>
                    </w:rPr>
                  </w:pPr>
                  <w:r>
                    <w:rPr>
                      <w:rFonts w:hint="default"/>
                      <w:b/>
                      <w:color w:val="000000" w:themeColor="text1"/>
                      <w:szCs w:val="22"/>
                      <w14:textFill>
                        <w14:solidFill>
                          <w14:schemeClr w14:val="tx1"/>
                        </w14:solidFill>
                      </w14:textFill>
                    </w:rPr>
                    <w:t>组分名称</w:t>
                  </w:r>
                </w:p>
              </w:tc>
              <w:tc>
                <w:tcPr>
                  <w:tcW w:w="1308" w:type="dxa"/>
                  <w:vAlign w:val="center"/>
                </w:tcPr>
                <w:p w14:paraId="579C1A37">
                  <w:pPr>
                    <w:keepNext w:val="0"/>
                    <w:keepLines w:val="0"/>
                    <w:suppressLineNumbers w:val="0"/>
                    <w:spacing w:before="0" w:beforeAutospacing="0" w:after="0" w:afterAutospacing="0"/>
                    <w:ind w:left="0" w:right="0"/>
                    <w:jc w:val="center"/>
                    <w:rPr>
                      <w:rFonts w:hint="default"/>
                      <w:b/>
                      <w:color w:val="000000" w:themeColor="text1"/>
                      <w:szCs w:val="22"/>
                      <w14:textFill>
                        <w14:solidFill>
                          <w14:schemeClr w14:val="tx1"/>
                        </w14:solidFill>
                      </w14:textFill>
                    </w:rPr>
                  </w:pPr>
                  <w:r>
                    <w:rPr>
                      <w:rFonts w:hint="default"/>
                      <w:b/>
                      <w:color w:val="000000" w:themeColor="text1"/>
                      <w:szCs w:val="22"/>
                      <w14:textFill>
                        <w14:solidFill>
                          <w14:schemeClr w14:val="tx1"/>
                        </w14:solidFill>
                      </w14:textFill>
                    </w:rPr>
                    <w:t>组分数量（t/a）</w:t>
                  </w:r>
                </w:p>
              </w:tc>
              <w:tc>
                <w:tcPr>
                  <w:tcW w:w="2753" w:type="dxa"/>
                  <w:gridSpan w:val="2"/>
                  <w:vAlign w:val="center"/>
                </w:tcPr>
                <w:p w14:paraId="1AA690CA">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去向</w:t>
                  </w:r>
                </w:p>
              </w:tc>
              <w:tc>
                <w:tcPr>
                  <w:tcW w:w="1089" w:type="dxa"/>
                  <w:vAlign w:val="center"/>
                </w:tcPr>
                <w:p w14:paraId="030D62F0">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数量（t/a）</w:t>
                  </w:r>
                </w:p>
              </w:tc>
            </w:tr>
            <w:tr w14:paraId="0D785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19E91F90">
                  <w:pPr>
                    <w:keepNext w:val="0"/>
                    <w:keepLines w:val="0"/>
                    <w:suppressLineNumbers w:val="0"/>
                    <w:snapToGrid w:val="0"/>
                    <w:spacing w:before="0" w:beforeAutospacing="0" w:after="0" w:afterAutospacing="0"/>
                    <w:ind w:left="-105" w:leftChars="-50" w:right="-105" w:rightChars="-50"/>
                    <w:jc w:val="center"/>
                    <w:rPr>
                      <w:rFonts w:hint="eastAsia" w:eastAsia="宋体"/>
                      <w:color w:val="000000" w:themeColor="text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水性底漆</w:t>
                  </w:r>
                </w:p>
              </w:tc>
              <w:tc>
                <w:tcPr>
                  <w:tcW w:w="1089" w:type="dxa"/>
                  <w:vMerge w:val="restart"/>
                  <w:shd w:val="clear" w:color="auto" w:fill="auto"/>
                  <w:vAlign w:val="center"/>
                </w:tcPr>
                <w:p w14:paraId="1F6CA577">
                  <w:pPr>
                    <w:keepNext w:val="0"/>
                    <w:keepLines w:val="0"/>
                    <w:suppressLineNumbers w:val="0"/>
                    <w:snapToGrid w:val="0"/>
                    <w:spacing w:before="0" w:beforeAutospacing="0" w:after="0" w:afterAutospacing="0"/>
                    <w:ind w:left="0" w:right="0"/>
                    <w:jc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eastAsia="宋体"/>
                      <w:b w:val="0"/>
                      <w:bCs w:val="0"/>
                      <w:color w:val="000000" w:themeColor="text1"/>
                      <w:lang w:val="en-US" w:eastAsia="zh-CN"/>
                      <w14:textFill>
                        <w14:solidFill>
                          <w14:schemeClr w14:val="tx1"/>
                        </w14:solidFill>
                      </w14:textFill>
                    </w:rPr>
                    <w:t>5.368</w:t>
                  </w:r>
                </w:p>
              </w:tc>
              <w:tc>
                <w:tcPr>
                  <w:tcW w:w="1397" w:type="dxa"/>
                  <w:vMerge w:val="restart"/>
                  <w:vAlign w:val="center"/>
                </w:tcPr>
                <w:p w14:paraId="26148B04">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固体份</w:t>
                  </w:r>
                </w:p>
                <w:p w14:paraId="7D25E88C">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62</w:t>
                  </w:r>
                  <w:r>
                    <w:rPr>
                      <w:rFonts w:hint="default"/>
                      <w:color w:val="000000" w:themeColor="text1"/>
                      <w:szCs w:val="21"/>
                      <w14:textFill>
                        <w14:solidFill>
                          <w14:schemeClr w14:val="tx1"/>
                        </w14:solidFill>
                      </w14:textFill>
                    </w:rPr>
                    <w:t>%</w:t>
                  </w:r>
                </w:p>
              </w:tc>
              <w:tc>
                <w:tcPr>
                  <w:tcW w:w="1308" w:type="dxa"/>
                  <w:vMerge w:val="restart"/>
                  <w:vAlign w:val="center"/>
                </w:tcPr>
                <w:p w14:paraId="325749BB">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3.3282</w:t>
                  </w:r>
                </w:p>
              </w:tc>
              <w:tc>
                <w:tcPr>
                  <w:tcW w:w="643" w:type="dxa"/>
                  <w:vMerge w:val="restart"/>
                  <w:vAlign w:val="center"/>
                </w:tcPr>
                <w:p w14:paraId="59B462F9">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固体份</w:t>
                  </w:r>
                </w:p>
              </w:tc>
              <w:tc>
                <w:tcPr>
                  <w:tcW w:w="2110" w:type="dxa"/>
                  <w:vAlign w:val="center"/>
                </w:tcPr>
                <w:p w14:paraId="7845D4B4">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工件附着</w:t>
                  </w:r>
                </w:p>
              </w:tc>
              <w:tc>
                <w:tcPr>
                  <w:tcW w:w="1089" w:type="dxa"/>
                  <w:vAlign w:val="center"/>
                </w:tcPr>
                <w:p w14:paraId="29FDECF6">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1.6641</w:t>
                  </w:r>
                </w:p>
              </w:tc>
            </w:tr>
            <w:tr w14:paraId="6CFEF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5DD4ED5C">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4CA2CC72">
                  <w:pPr>
                    <w:keepNext w:val="0"/>
                    <w:keepLines w:val="0"/>
                    <w:suppressLineNumbers w:val="0"/>
                    <w:snapToGrid w:val="0"/>
                    <w:spacing w:before="0" w:beforeAutospacing="0" w:after="0" w:afterAutospacing="0"/>
                    <w:ind w:left="-105" w:leftChars="-50" w:right="-105" w:rightChars="-50"/>
                    <w:jc w:val="center"/>
                    <w:rPr>
                      <w:rFonts w:hint="default"/>
                      <w:color w:val="000000" w:themeColor="text1"/>
                      <w:szCs w:val="21"/>
                      <w14:textFill>
                        <w14:solidFill>
                          <w14:schemeClr w14:val="tx1"/>
                        </w14:solidFill>
                      </w14:textFill>
                    </w:rPr>
                  </w:pPr>
                </w:p>
              </w:tc>
              <w:tc>
                <w:tcPr>
                  <w:tcW w:w="1397" w:type="dxa"/>
                  <w:vMerge w:val="continue"/>
                  <w:vAlign w:val="center"/>
                </w:tcPr>
                <w:p w14:paraId="1C8A0C14">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08" w:type="dxa"/>
                  <w:vMerge w:val="continue"/>
                  <w:vAlign w:val="center"/>
                </w:tcPr>
                <w:p w14:paraId="76FE2CDC">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43" w:type="dxa"/>
                  <w:vMerge w:val="continue"/>
                  <w:vAlign w:val="center"/>
                </w:tcPr>
                <w:p w14:paraId="100BECB6">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3484AE1A">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进入漆渣</w:t>
                  </w:r>
                </w:p>
              </w:tc>
              <w:tc>
                <w:tcPr>
                  <w:tcW w:w="1089" w:type="dxa"/>
                  <w:vAlign w:val="center"/>
                </w:tcPr>
                <w:p w14:paraId="6117E6D2">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1.5019</w:t>
                  </w:r>
                </w:p>
              </w:tc>
            </w:tr>
            <w:tr w14:paraId="09A52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0D1C334C">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0DE896E5">
                  <w:pPr>
                    <w:keepNext w:val="0"/>
                    <w:keepLines w:val="0"/>
                    <w:suppressLineNumbers w:val="0"/>
                    <w:snapToGrid w:val="0"/>
                    <w:spacing w:before="0" w:beforeAutospacing="0" w:after="0" w:afterAutospacing="0"/>
                    <w:ind w:left="-105" w:leftChars="-50" w:right="-105" w:rightChars="-50"/>
                    <w:jc w:val="center"/>
                    <w:rPr>
                      <w:rFonts w:hint="default"/>
                      <w:color w:val="000000" w:themeColor="text1"/>
                      <w:szCs w:val="21"/>
                      <w14:textFill>
                        <w14:solidFill>
                          <w14:schemeClr w14:val="tx1"/>
                        </w14:solidFill>
                      </w14:textFill>
                    </w:rPr>
                  </w:pPr>
                </w:p>
              </w:tc>
              <w:tc>
                <w:tcPr>
                  <w:tcW w:w="1397" w:type="dxa"/>
                  <w:vMerge w:val="continue"/>
                  <w:vAlign w:val="center"/>
                </w:tcPr>
                <w:p w14:paraId="2EF19015">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08" w:type="dxa"/>
                  <w:vMerge w:val="continue"/>
                  <w:vAlign w:val="center"/>
                </w:tcPr>
                <w:p w14:paraId="043134A6">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43" w:type="dxa"/>
                  <w:vMerge w:val="continue"/>
                  <w:vAlign w:val="center"/>
                </w:tcPr>
                <w:p w14:paraId="6EBD6E90">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7447753B">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漆雾无组织排放</w:t>
                  </w:r>
                </w:p>
              </w:tc>
              <w:tc>
                <w:tcPr>
                  <w:tcW w:w="1089" w:type="dxa"/>
                  <w:vAlign w:val="center"/>
                </w:tcPr>
                <w:p w14:paraId="7469606D">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0.0832</w:t>
                  </w:r>
                </w:p>
              </w:tc>
            </w:tr>
            <w:tr w14:paraId="69D83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2036606E">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611E2DA2">
                  <w:pPr>
                    <w:keepNext w:val="0"/>
                    <w:keepLines w:val="0"/>
                    <w:suppressLineNumbers w:val="0"/>
                    <w:snapToGrid w:val="0"/>
                    <w:spacing w:before="0" w:beforeAutospacing="0" w:after="0" w:afterAutospacing="0"/>
                    <w:ind w:left="-105" w:leftChars="-50" w:right="-105" w:rightChars="-50"/>
                    <w:jc w:val="center"/>
                    <w:rPr>
                      <w:rFonts w:hint="default"/>
                      <w:color w:val="000000" w:themeColor="text1"/>
                      <w:szCs w:val="21"/>
                      <w14:textFill>
                        <w14:solidFill>
                          <w14:schemeClr w14:val="tx1"/>
                        </w14:solidFill>
                      </w14:textFill>
                    </w:rPr>
                  </w:pPr>
                </w:p>
              </w:tc>
              <w:tc>
                <w:tcPr>
                  <w:tcW w:w="1397" w:type="dxa"/>
                  <w:vMerge w:val="restart"/>
                  <w:vAlign w:val="center"/>
                </w:tcPr>
                <w:p w14:paraId="5DC9793D">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挥发份</w:t>
                  </w:r>
                </w:p>
                <w:p w14:paraId="153D0DC0">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r>
                    <w:rPr>
                      <w:rFonts w:hint="eastAsia"/>
                      <w:color w:val="000000" w:themeColor="text1"/>
                      <w:szCs w:val="21"/>
                      <w:lang w:val="en-US" w:eastAsia="zh-CN"/>
                      <w14:textFill>
                        <w14:solidFill>
                          <w14:schemeClr w14:val="tx1"/>
                        </w14:solidFill>
                      </w14:textFill>
                    </w:rPr>
                    <w:t>8</w:t>
                  </w:r>
                  <w:r>
                    <w:rPr>
                      <w:rFonts w:hint="default"/>
                      <w:color w:val="000000" w:themeColor="text1"/>
                      <w:szCs w:val="21"/>
                      <w14:textFill>
                        <w14:solidFill>
                          <w14:schemeClr w14:val="tx1"/>
                        </w14:solidFill>
                      </w14:textFill>
                    </w:rPr>
                    <w:t>%</w:t>
                  </w:r>
                </w:p>
              </w:tc>
              <w:tc>
                <w:tcPr>
                  <w:tcW w:w="1308" w:type="dxa"/>
                  <w:vMerge w:val="restart"/>
                  <w:vAlign w:val="center"/>
                </w:tcPr>
                <w:p w14:paraId="62454A80">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0.4294</w:t>
                  </w:r>
                </w:p>
              </w:tc>
              <w:tc>
                <w:tcPr>
                  <w:tcW w:w="643" w:type="dxa"/>
                  <w:vMerge w:val="continue"/>
                  <w:vAlign w:val="center"/>
                </w:tcPr>
                <w:p w14:paraId="174802D8">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40A1D2FD">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漆渣有组织排放</w:t>
                  </w:r>
                </w:p>
              </w:tc>
              <w:tc>
                <w:tcPr>
                  <w:tcW w:w="1089" w:type="dxa"/>
                  <w:vAlign w:val="center"/>
                </w:tcPr>
                <w:p w14:paraId="1B28086F">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0.079</w:t>
                  </w:r>
                </w:p>
              </w:tc>
            </w:tr>
            <w:tr w14:paraId="4AAE2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continue"/>
                  <w:shd w:val="clear" w:color="auto" w:fill="auto"/>
                  <w:vAlign w:val="center"/>
                </w:tcPr>
                <w:p w14:paraId="2726BA63">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shd w:val="clear" w:color="auto" w:fill="auto"/>
                  <w:vAlign w:val="center"/>
                </w:tcPr>
                <w:p w14:paraId="13C941F5">
                  <w:pPr>
                    <w:keepNext w:val="0"/>
                    <w:keepLines w:val="0"/>
                    <w:suppressLineNumbers w:val="0"/>
                    <w:snapToGrid w:val="0"/>
                    <w:spacing w:before="0" w:beforeAutospacing="0" w:after="0" w:afterAutospacing="0"/>
                    <w:ind w:left="-105" w:leftChars="-50" w:right="-105" w:rightChars="-50"/>
                    <w:jc w:val="center"/>
                    <w:rPr>
                      <w:rFonts w:hint="default"/>
                      <w:color w:val="000000" w:themeColor="text1"/>
                      <w:szCs w:val="21"/>
                      <w14:textFill>
                        <w14:solidFill>
                          <w14:schemeClr w14:val="tx1"/>
                        </w14:solidFill>
                      </w14:textFill>
                    </w:rPr>
                  </w:pPr>
                </w:p>
              </w:tc>
              <w:tc>
                <w:tcPr>
                  <w:tcW w:w="1397" w:type="dxa"/>
                  <w:vMerge w:val="continue"/>
                  <w:vAlign w:val="center"/>
                </w:tcPr>
                <w:p w14:paraId="2AF40D40">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p>
              </w:tc>
              <w:tc>
                <w:tcPr>
                  <w:tcW w:w="1308" w:type="dxa"/>
                  <w:vMerge w:val="continue"/>
                  <w:vAlign w:val="center"/>
                </w:tcPr>
                <w:p w14:paraId="6FAD2165">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p>
              </w:tc>
              <w:tc>
                <w:tcPr>
                  <w:tcW w:w="643" w:type="dxa"/>
                  <w:vMerge w:val="restart"/>
                  <w:vAlign w:val="center"/>
                </w:tcPr>
                <w:p w14:paraId="5FE71507">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挥发份</w:t>
                  </w:r>
                </w:p>
              </w:tc>
              <w:tc>
                <w:tcPr>
                  <w:tcW w:w="2110" w:type="dxa"/>
                  <w:vAlign w:val="center"/>
                </w:tcPr>
                <w:p w14:paraId="3F1E98C4">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有组织排放</w:t>
                  </w:r>
                </w:p>
              </w:tc>
              <w:tc>
                <w:tcPr>
                  <w:tcW w:w="1089" w:type="dxa"/>
                  <w:vAlign w:val="center"/>
                </w:tcPr>
                <w:p w14:paraId="13D76E46">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0.0408</w:t>
                  </w:r>
                </w:p>
              </w:tc>
            </w:tr>
            <w:tr w14:paraId="31638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shd w:val="clear" w:color="auto" w:fill="auto"/>
                  <w:vAlign w:val="center"/>
                </w:tcPr>
                <w:p w14:paraId="16791F8F">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shd w:val="clear" w:color="auto" w:fill="auto"/>
                  <w:vAlign w:val="center"/>
                </w:tcPr>
                <w:p w14:paraId="3FBC7150">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continue"/>
                  <w:vAlign w:val="center"/>
                </w:tcPr>
                <w:p w14:paraId="3B53E507">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p>
              </w:tc>
              <w:tc>
                <w:tcPr>
                  <w:tcW w:w="1308" w:type="dxa"/>
                  <w:vMerge w:val="continue"/>
                  <w:vAlign w:val="center"/>
                </w:tcPr>
                <w:p w14:paraId="1C8604A7">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43" w:type="dxa"/>
                  <w:vMerge w:val="continue"/>
                  <w:vAlign w:val="center"/>
                </w:tcPr>
                <w:p w14:paraId="5C6D3C9A">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65BADA27">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无组织排放</w:t>
                  </w:r>
                </w:p>
              </w:tc>
              <w:tc>
                <w:tcPr>
                  <w:tcW w:w="1089" w:type="dxa"/>
                  <w:vAlign w:val="center"/>
                </w:tcPr>
                <w:p w14:paraId="4C4FEDD2">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0.0215</w:t>
                  </w:r>
                </w:p>
              </w:tc>
            </w:tr>
            <w:tr w14:paraId="06D32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516A3C1F">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73914A3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restart"/>
                  <w:vAlign w:val="center"/>
                </w:tcPr>
                <w:p w14:paraId="27D877AC">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水份</w:t>
                  </w:r>
                  <w:r>
                    <w:rPr>
                      <w:rFonts w:hint="eastAsia"/>
                      <w:color w:val="000000" w:themeColor="text1"/>
                      <w:szCs w:val="21"/>
                      <w:lang w:val="en-US" w:eastAsia="zh-CN"/>
                      <w14:textFill>
                        <w14:solidFill>
                          <w14:schemeClr w14:val="tx1"/>
                        </w14:solidFill>
                      </w14:textFill>
                    </w:rPr>
                    <w:t>30</w:t>
                  </w:r>
                  <w:r>
                    <w:rPr>
                      <w:rFonts w:hint="default"/>
                      <w:color w:val="000000" w:themeColor="text1"/>
                      <w:szCs w:val="21"/>
                      <w14:textFill>
                        <w14:solidFill>
                          <w14:schemeClr w14:val="tx1"/>
                        </w14:solidFill>
                      </w14:textFill>
                    </w:rPr>
                    <w:t>%</w:t>
                  </w:r>
                </w:p>
              </w:tc>
              <w:tc>
                <w:tcPr>
                  <w:tcW w:w="1308" w:type="dxa"/>
                  <w:vMerge w:val="restart"/>
                  <w:vAlign w:val="center"/>
                </w:tcPr>
                <w:p w14:paraId="3673BFC0">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1.6104</w:t>
                  </w:r>
                </w:p>
              </w:tc>
              <w:tc>
                <w:tcPr>
                  <w:tcW w:w="643" w:type="dxa"/>
                  <w:vMerge w:val="continue"/>
                  <w:vAlign w:val="center"/>
                </w:tcPr>
                <w:p w14:paraId="1190006B">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2110" w:type="dxa"/>
                  <w:vAlign w:val="center"/>
                </w:tcPr>
                <w:p w14:paraId="5C6CD047">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两级活性炭吸附装置去除</w:t>
                  </w:r>
                </w:p>
              </w:tc>
              <w:tc>
                <w:tcPr>
                  <w:tcW w:w="1089" w:type="dxa"/>
                  <w:vAlign w:val="center"/>
                </w:tcPr>
                <w:p w14:paraId="557F119A">
                  <w:pPr>
                    <w:keepNext w:val="0"/>
                    <w:keepLines w:val="0"/>
                    <w:widowControl/>
                    <w:suppressLineNumbers w:val="0"/>
                    <w:tabs>
                      <w:tab w:val="left" w:pos="418"/>
                    </w:tabs>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0.3671</w:t>
                  </w:r>
                </w:p>
              </w:tc>
            </w:tr>
            <w:tr w14:paraId="739DC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6E18C746">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1089" w:type="dxa"/>
                  <w:vMerge w:val="continue"/>
                  <w:vAlign w:val="center"/>
                </w:tcPr>
                <w:p w14:paraId="47A1AA83">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1397" w:type="dxa"/>
                  <w:vMerge w:val="continue"/>
                  <w:vAlign w:val="center"/>
                </w:tcPr>
                <w:p w14:paraId="20173497">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p>
              </w:tc>
              <w:tc>
                <w:tcPr>
                  <w:tcW w:w="1308" w:type="dxa"/>
                  <w:vMerge w:val="continue"/>
                  <w:vAlign w:val="center"/>
                </w:tcPr>
                <w:p w14:paraId="354945E5">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643" w:type="dxa"/>
                  <w:vAlign w:val="center"/>
                </w:tcPr>
                <w:p w14:paraId="570B2F24">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color w:val="000000" w:themeColor="text1"/>
                      <w:szCs w:val="21"/>
                      <w14:textFill>
                        <w14:solidFill>
                          <w14:schemeClr w14:val="tx1"/>
                        </w14:solidFill>
                      </w14:textFill>
                    </w:rPr>
                    <w:t>水</w:t>
                  </w:r>
                </w:p>
              </w:tc>
              <w:tc>
                <w:tcPr>
                  <w:tcW w:w="2110" w:type="dxa"/>
                  <w:vAlign w:val="center"/>
                </w:tcPr>
                <w:p w14:paraId="631C66D2">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w:t>
                  </w:r>
                </w:p>
              </w:tc>
              <w:tc>
                <w:tcPr>
                  <w:tcW w:w="1089" w:type="dxa"/>
                  <w:vAlign w:val="center"/>
                </w:tcPr>
                <w:p w14:paraId="53A171F6">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1.6104</w:t>
                  </w:r>
                </w:p>
              </w:tc>
            </w:tr>
            <w:tr w14:paraId="08E0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2" w:hRule="atLeast"/>
                <w:jc w:val="center"/>
              </w:trPr>
              <w:tc>
                <w:tcPr>
                  <w:tcW w:w="810" w:type="dxa"/>
                  <w:vAlign w:val="center"/>
                </w:tcPr>
                <w:p w14:paraId="0696D5C4">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合计</w:t>
                  </w:r>
                </w:p>
              </w:tc>
              <w:tc>
                <w:tcPr>
                  <w:tcW w:w="1089" w:type="dxa"/>
                  <w:vAlign w:val="center"/>
                </w:tcPr>
                <w:p w14:paraId="63937493">
                  <w:pPr>
                    <w:keepNext w:val="0"/>
                    <w:keepLines w:val="0"/>
                    <w:suppressLineNumbers w:val="0"/>
                    <w:snapToGrid w:val="0"/>
                    <w:spacing w:before="0" w:beforeAutospacing="0" w:after="0" w:afterAutospacing="0"/>
                    <w:ind w:left="0" w:right="0"/>
                    <w:jc w:val="center"/>
                    <w:rPr>
                      <w:rFonts w:hint="eastAsia" w:eastAsia="宋体"/>
                      <w:b/>
                      <w:bCs/>
                      <w:color w:val="000000" w:themeColor="text1"/>
                      <w:lang w:eastAsia="zh-CN"/>
                      <w14:textFill>
                        <w14:solidFill>
                          <w14:schemeClr w14:val="tx1"/>
                        </w14:solidFill>
                      </w14:textFill>
                    </w:rPr>
                  </w:pPr>
                  <w:r>
                    <w:rPr>
                      <w:rFonts w:hint="eastAsia" w:eastAsia="宋体"/>
                      <w:b/>
                      <w:bCs/>
                      <w:color w:val="000000" w:themeColor="text1"/>
                      <w:lang w:val="en-US" w:eastAsia="zh-CN"/>
                      <w14:textFill>
                        <w14:solidFill>
                          <w14:schemeClr w14:val="tx1"/>
                        </w14:solidFill>
                      </w14:textFill>
                    </w:rPr>
                    <w:t>5.368</w:t>
                  </w:r>
                </w:p>
              </w:tc>
              <w:tc>
                <w:tcPr>
                  <w:tcW w:w="1397" w:type="dxa"/>
                  <w:vAlign w:val="center"/>
                </w:tcPr>
                <w:p w14:paraId="2AEC2A55">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w:t>
                  </w:r>
                </w:p>
              </w:tc>
              <w:tc>
                <w:tcPr>
                  <w:tcW w:w="1308" w:type="dxa"/>
                  <w:vAlign w:val="center"/>
                </w:tcPr>
                <w:p w14:paraId="4120CD2E">
                  <w:pPr>
                    <w:keepNext w:val="0"/>
                    <w:keepLines w:val="0"/>
                    <w:suppressLineNumbers w:val="0"/>
                    <w:snapToGrid w:val="0"/>
                    <w:spacing w:before="0" w:beforeAutospacing="0" w:after="0" w:afterAutospacing="0"/>
                    <w:ind w:left="0" w:right="0"/>
                    <w:jc w:val="center"/>
                    <w:rPr>
                      <w:rFonts w:hint="eastAsia" w:eastAsia="宋体"/>
                      <w:b/>
                      <w:bCs/>
                      <w:color w:val="000000" w:themeColor="text1"/>
                      <w:lang w:eastAsia="zh-CN"/>
                      <w14:textFill>
                        <w14:solidFill>
                          <w14:schemeClr w14:val="tx1"/>
                        </w14:solidFill>
                      </w14:textFill>
                    </w:rPr>
                  </w:pPr>
                  <w:r>
                    <w:rPr>
                      <w:rFonts w:hint="eastAsia" w:eastAsia="宋体"/>
                      <w:b/>
                      <w:bCs/>
                      <w:color w:val="000000" w:themeColor="text1"/>
                      <w:lang w:val="en-US" w:eastAsia="zh-CN"/>
                      <w14:textFill>
                        <w14:solidFill>
                          <w14:schemeClr w14:val="tx1"/>
                        </w14:solidFill>
                      </w14:textFill>
                    </w:rPr>
                    <w:t>5.368</w:t>
                  </w:r>
                </w:p>
              </w:tc>
              <w:tc>
                <w:tcPr>
                  <w:tcW w:w="2753" w:type="dxa"/>
                  <w:gridSpan w:val="2"/>
                  <w:vAlign w:val="center"/>
                </w:tcPr>
                <w:p w14:paraId="226C306F">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合计</w:t>
                  </w:r>
                </w:p>
              </w:tc>
              <w:tc>
                <w:tcPr>
                  <w:tcW w:w="1089" w:type="dxa"/>
                  <w:vAlign w:val="center"/>
                </w:tcPr>
                <w:p w14:paraId="2B8ADA2F">
                  <w:pPr>
                    <w:keepNext w:val="0"/>
                    <w:keepLines w:val="0"/>
                    <w:suppressLineNumbers w:val="0"/>
                    <w:snapToGrid w:val="0"/>
                    <w:spacing w:before="0" w:beforeAutospacing="0" w:after="0" w:afterAutospacing="0"/>
                    <w:ind w:left="0" w:right="0"/>
                    <w:jc w:val="center"/>
                    <w:rPr>
                      <w:rFonts w:hint="eastAsia" w:eastAsia="宋体"/>
                      <w:b/>
                      <w:bCs/>
                      <w:color w:val="000000" w:themeColor="text1"/>
                      <w:lang w:eastAsia="zh-CN"/>
                      <w14:textFill>
                        <w14:solidFill>
                          <w14:schemeClr w14:val="tx1"/>
                        </w14:solidFill>
                      </w14:textFill>
                    </w:rPr>
                  </w:pPr>
                  <w:r>
                    <w:rPr>
                      <w:rFonts w:hint="eastAsia" w:eastAsia="宋体"/>
                      <w:b/>
                      <w:bCs/>
                      <w:color w:val="000000" w:themeColor="text1"/>
                      <w:lang w:val="en-US" w:eastAsia="zh-CN"/>
                      <w14:textFill>
                        <w14:solidFill>
                          <w14:schemeClr w14:val="tx1"/>
                        </w14:solidFill>
                      </w14:textFill>
                    </w:rPr>
                    <w:t>5.368</w:t>
                  </w:r>
                </w:p>
              </w:tc>
            </w:tr>
          </w:tbl>
          <w:p w14:paraId="63DCB8F9">
            <w:pPr>
              <w:keepNext w:val="0"/>
              <w:keepLines w:val="0"/>
              <w:suppressLineNumbers w:val="0"/>
              <w:spacing w:before="0" w:beforeAutospacing="0" w:after="0" w:afterAutospacing="0" w:line="360" w:lineRule="auto"/>
              <w:ind w:left="0" w:right="0"/>
              <w:jc w:val="center"/>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object>
                <v:shape id="_x0000_i1025" o:spt="75" type="#_x0000_t75" style="height:165.1pt;width:418.8pt;" o:ole="t" filled="f" o:preferrelative="t" stroked="f" coordsize="21600,21600">
                  <v:path/>
                  <v:fill on="f" focussize="0,0"/>
                  <v:stroke on="f"/>
                  <v:imagedata r:id="rId12" o:title=""/>
                  <o:lock v:ext="edit" aspectratio="f"/>
                  <w10:wrap type="none"/>
                  <w10:anchorlock/>
                </v:shape>
                <o:OLEObject Type="Embed" ProgID="Visio.Drawing.11" ShapeID="_x0000_i1025" DrawAspect="Content" ObjectID="_1468075725" r:id="rId11">
                  <o:LockedField>false</o:LockedField>
                </o:OLEObject>
              </w:object>
            </w:r>
            <w:r>
              <w:rPr>
                <w:rFonts w:hint="default"/>
                <w:b/>
                <w:bCs/>
                <w:color w:val="000000" w:themeColor="text1"/>
                <w:sz w:val="24"/>
                <w14:textFill>
                  <w14:solidFill>
                    <w14:schemeClr w14:val="tx1"/>
                  </w14:solidFill>
                </w14:textFill>
              </w:rPr>
              <w:t xml:space="preserve">图2-1  </w:t>
            </w:r>
            <w:r>
              <w:rPr>
                <w:rFonts w:hint="eastAsia"/>
                <w:b/>
                <w:color w:val="000000" w:themeColor="text1"/>
                <w:kern w:val="0"/>
                <w:sz w:val="24"/>
                <w:szCs w:val="20"/>
                <w:lang w:eastAsia="zh-CN"/>
                <w14:textFill>
                  <w14:solidFill>
                    <w14:schemeClr w14:val="tx1"/>
                  </w14:solidFill>
                </w14:textFill>
              </w:rPr>
              <w:t>水性底漆</w:t>
            </w:r>
            <w:r>
              <w:rPr>
                <w:rFonts w:hint="default"/>
                <w:b/>
                <w:color w:val="000000" w:themeColor="text1"/>
                <w:kern w:val="0"/>
                <w:sz w:val="24"/>
                <w:szCs w:val="20"/>
                <w14:textFill>
                  <w14:solidFill>
                    <w14:schemeClr w14:val="tx1"/>
                  </w14:solidFill>
                </w14:textFill>
              </w:rPr>
              <w:t>调漆、</w:t>
            </w:r>
            <w:r>
              <w:rPr>
                <w:rFonts w:hint="eastAsia"/>
                <w:b/>
                <w:color w:val="000000" w:themeColor="text1"/>
                <w:kern w:val="0"/>
                <w:sz w:val="24"/>
                <w:szCs w:val="20"/>
                <w:lang w:eastAsia="zh-CN"/>
                <w14:textFill>
                  <w14:solidFill>
                    <w14:schemeClr w14:val="tx1"/>
                  </w14:solidFill>
                </w14:textFill>
              </w:rPr>
              <w:t>喷漆</w:t>
            </w:r>
            <w:r>
              <w:rPr>
                <w:rFonts w:hint="default"/>
                <w:b/>
                <w:bCs/>
                <w:color w:val="000000" w:themeColor="text1"/>
                <w:sz w:val="24"/>
                <w14:textFill>
                  <w14:solidFill>
                    <w14:schemeClr w14:val="tx1"/>
                  </w14:solidFill>
                </w14:textFill>
              </w:rPr>
              <w:t>工序平衡图  单位：t/a</w:t>
            </w:r>
          </w:p>
          <w:p w14:paraId="1F40EBFC">
            <w:pPr>
              <w:pStyle w:val="34"/>
              <w:keepNext w:val="0"/>
              <w:keepLines w:val="0"/>
              <w:suppressLineNumbers w:val="0"/>
              <w:spacing w:before="0" w:beforeAutospacing="0" w:after="0" w:afterAutospacing="0" w:line="360" w:lineRule="auto"/>
              <w:ind w:left="0" w:right="0" w:firstLine="482" w:firstLineChars="200"/>
              <w:rPr>
                <w:rFonts w:hint="default" w:ascii="Times New Roman" w:hAnsi="Times New Roman"/>
                <w:b/>
                <w:bCs/>
                <w:color w:val="000000" w:themeColor="text1"/>
                <w:kern w:val="2"/>
                <w:sz w:val="24"/>
                <w:szCs w:val="24"/>
                <w14:textFill>
                  <w14:solidFill>
                    <w14:schemeClr w14:val="tx1"/>
                  </w14:solidFill>
                </w14:textFill>
              </w:rPr>
            </w:pPr>
            <w:r>
              <w:rPr>
                <w:rFonts w:hint="default" w:ascii="Times New Roman" w:hAnsi="Times New Roman"/>
                <w:b/>
                <w:bCs/>
                <w:color w:val="000000" w:themeColor="text1"/>
                <w:kern w:val="2"/>
                <w:sz w:val="24"/>
                <w:szCs w:val="24"/>
                <w14:textFill>
                  <w14:solidFill>
                    <w14:schemeClr w14:val="tx1"/>
                  </w14:solidFill>
                </w14:textFill>
              </w:rPr>
              <w:t>（4）塑粉平衡</w:t>
            </w:r>
          </w:p>
          <w:p w14:paraId="18A9E250">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本项目塑粉平衡见下表及图。</w:t>
            </w:r>
          </w:p>
          <w:p w14:paraId="485BE0A4">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b/>
                <w:color w:val="000000" w:themeColor="text1"/>
                <w:kern w:val="0"/>
                <w:sz w:val="24"/>
                <w14:textFill>
                  <w14:solidFill>
                    <w14:schemeClr w14:val="tx1"/>
                  </w14:solidFill>
                </w14:textFill>
              </w:rPr>
              <w:t>表2-1</w:t>
            </w:r>
            <w:r>
              <w:rPr>
                <w:rFonts w:hint="eastAsia"/>
                <w:b/>
                <w:color w:val="000000" w:themeColor="text1"/>
                <w:kern w:val="0"/>
                <w:sz w:val="24"/>
                <w:lang w:val="en-US" w:eastAsia="zh-CN"/>
                <w14:textFill>
                  <w14:solidFill>
                    <w14:schemeClr w14:val="tx1"/>
                  </w14:solidFill>
                </w14:textFill>
              </w:rPr>
              <w:t>2</w:t>
            </w:r>
            <w:r>
              <w:rPr>
                <w:rFonts w:hint="default"/>
                <w:b/>
                <w:color w:val="000000" w:themeColor="text1"/>
                <w:kern w:val="0"/>
                <w:sz w:val="24"/>
                <w14:textFill>
                  <w14:solidFill>
                    <w14:schemeClr w14:val="tx1"/>
                  </w14:solidFill>
                </w14:textFill>
              </w:rPr>
              <w:t xml:space="preserve">  本项目车门框架喷粉工序</w:t>
            </w:r>
            <w:r>
              <w:rPr>
                <w:rFonts w:hint="default"/>
                <w:b/>
                <w:color w:val="000000" w:themeColor="text1"/>
                <w:sz w:val="24"/>
                <w14:textFill>
                  <w14:solidFill>
                    <w14:schemeClr w14:val="tx1"/>
                  </w14:solidFill>
                </w14:textFill>
              </w:rPr>
              <w:t>塑粉</w:t>
            </w:r>
            <w:r>
              <w:rPr>
                <w:rFonts w:hint="default"/>
                <w:b/>
                <w:color w:val="000000" w:themeColor="text1"/>
                <w:kern w:val="0"/>
                <w:sz w:val="24"/>
                <w14:textFill>
                  <w14:solidFill>
                    <w14:schemeClr w14:val="tx1"/>
                  </w14:solidFill>
                </w14:textFill>
              </w:rPr>
              <w:t>平衡表</w:t>
            </w:r>
          </w:p>
          <w:tbl>
            <w:tblPr>
              <w:tblStyle w:val="61"/>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2AE26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07C5DBA8">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入方</w:t>
                  </w:r>
                </w:p>
              </w:tc>
              <w:tc>
                <w:tcPr>
                  <w:tcW w:w="3842" w:type="dxa"/>
                  <w:gridSpan w:val="3"/>
                  <w:vAlign w:val="center"/>
                </w:tcPr>
                <w:p w14:paraId="4C887AF8">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出方</w:t>
                  </w:r>
                </w:p>
              </w:tc>
            </w:tr>
            <w:tr w14:paraId="3FABA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4B5A5D37">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名称</w:t>
                  </w:r>
                </w:p>
              </w:tc>
              <w:tc>
                <w:tcPr>
                  <w:tcW w:w="1089" w:type="dxa"/>
                  <w:vAlign w:val="center"/>
                </w:tcPr>
                <w:p w14:paraId="64B6E829">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用量（t/a）</w:t>
                  </w:r>
                </w:p>
              </w:tc>
              <w:tc>
                <w:tcPr>
                  <w:tcW w:w="1397" w:type="dxa"/>
                  <w:vAlign w:val="center"/>
                </w:tcPr>
                <w:p w14:paraId="57F55D49">
                  <w:pPr>
                    <w:keepNext w:val="0"/>
                    <w:keepLines w:val="0"/>
                    <w:suppressLineNumbers w:val="0"/>
                    <w:spacing w:before="0" w:beforeAutospacing="0" w:after="0" w:afterAutospacing="0"/>
                    <w:ind w:left="0" w:right="0"/>
                    <w:jc w:val="center"/>
                    <w:rPr>
                      <w:rFonts w:hint="default"/>
                      <w:b/>
                      <w:color w:val="000000" w:themeColor="text1"/>
                      <w:szCs w:val="22"/>
                      <w14:textFill>
                        <w14:solidFill>
                          <w14:schemeClr w14:val="tx1"/>
                        </w14:solidFill>
                      </w14:textFill>
                    </w:rPr>
                  </w:pPr>
                  <w:r>
                    <w:rPr>
                      <w:rFonts w:hint="default"/>
                      <w:b/>
                      <w:color w:val="000000" w:themeColor="text1"/>
                      <w:szCs w:val="22"/>
                      <w14:textFill>
                        <w14:solidFill>
                          <w14:schemeClr w14:val="tx1"/>
                        </w14:solidFill>
                      </w14:textFill>
                    </w:rPr>
                    <w:t>组分名称</w:t>
                  </w:r>
                </w:p>
              </w:tc>
              <w:tc>
                <w:tcPr>
                  <w:tcW w:w="1308" w:type="dxa"/>
                  <w:vAlign w:val="center"/>
                </w:tcPr>
                <w:p w14:paraId="7B08A50A">
                  <w:pPr>
                    <w:keepNext w:val="0"/>
                    <w:keepLines w:val="0"/>
                    <w:suppressLineNumbers w:val="0"/>
                    <w:spacing w:before="0" w:beforeAutospacing="0" w:after="0" w:afterAutospacing="0"/>
                    <w:ind w:left="0" w:right="0"/>
                    <w:jc w:val="center"/>
                    <w:rPr>
                      <w:rFonts w:hint="default"/>
                      <w:b/>
                      <w:color w:val="000000" w:themeColor="text1"/>
                      <w:szCs w:val="22"/>
                      <w14:textFill>
                        <w14:solidFill>
                          <w14:schemeClr w14:val="tx1"/>
                        </w14:solidFill>
                      </w14:textFill>
                    </w:rPr>
                  </w:pPr>
                  <w:r>
                    <w:rPr>
                      <w:rFonts w:hint="default"/>
                      <w:b/>
                      <w:color w:val="000000" w:themeColor="text1"/>
                      <w:szCs w:val="22"/>
                      <w14:textFill>
                        <w14:solidFill>
                          <w14:schemeClr w14:val="tx1"/>
                        </w14:solidFill>
                      </w14:textFill>
                    </w:rPr>
                    <w:t>组分数量（t/a）</w:t>
                  </w:r>
                </w:p>
              </w:tc>
              <w:tc>
                <w:tcPr>
                  <w:tcW w:w="2753" w:type="dxa"/>
                  <w:gridSpan w:val="2"/>
                  <w:vAlign w:val="center"/>
                </w:tcPr>
                <w:p w14:paraId="15B06393">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去向</w:t>
                  </w:r>
                </w:p>
              </w:tc>
              <w:tc>
                <w:tcPr>
                  <w:tcW w:w="1089" w:type="dxa"/>
                  <w:vAlign w:val="center"/>
                </w:tcPr>
                <w:p w14:paraId="2AE8CA75">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数量（t/a）</w:t>
                  </w:r>
                </w:p>
              </w:tc>
            </w:tr>
            <w:tr w14:paraId="6363C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37F1FFAC">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塑粉</w:t>
                  </w:r>
                </w:p>
              </w:tc>
              <w:tc>
                <w:tcPr>
                  <w:tcW w:w="1089" w:type="dxa"/>
                  <w:vMerge w:val="restart"/>
                  <w:shd w:val="clear" w:color="auto" w:fill="auto"/>
                  <w:vAlign w:val="center"/>
                </w:tcPr>
                <w:p w14:paraId="59EA3F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themeColor="text1"/>
                      <w:kern w:val="2"/>
                      <w:sz w:val="22"/>
                      <w:szCs w:val="22"/>
                      <w:u w:val="none"/>
                      <w:lang w:val="en-US" w:eastAsia="zh-CN" w:bidi="ar-SA"/>
                      <w14:textFill>
                        <w14:solidFill>
                          <w14:schemeClr w14:val="tx1"/>
                        </w14:solidFill>
                      </w14:textFill>
                    </w:rPr>
                  </w:pPr>
                  <w:r>
                    <w:rPr>
                      <w:rFonts w:hint="eastAsia" w:eastAsia="宋体"/>
                      <w:color w:val="000000" w:themeColor="text1"/>
                      <w:szCs w:val="21"/>
                      <w:lang w:val="en-US" w:eastAsia="zh-CN"/>
                      <w14:textFill>
                        <w14:solidFill>
                          <w14:schemeClr w14:val="tx1"/>
                        </w14:solidFill>
                      </w14:textFill>
                    </w:rPr>
                    <w:t>155.292</w:t>
                  </w:r>
                </w:p>
              </w:tc>
              <w:tc>
                <w:tcPr>
                  <w:tcW w:w="1397" w:type="dxa"/>
                  <w:vMerge w:val="restart"/>
                  <w:vAlign w:val="center"/>
                </w:tcPr>
                <w:p w14:paraId="0A92FF6C">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工件附着量</w:t>
                  </w:r>
                  <w:r>
                    <w:rPr>
                      <w:rFonts w:hint="eastAsia"/>
                      <w:color w:val="000000" w:themeColor="text1"/>
                      <w:szCs w:val="21"/>
                      <w:lang w:val="en-US" w:eastAsia="zh-CN"/>
                      <w14:textFill>
                        <w14:solidFill>
                          <w14:schemeClr w14:val="tx1"/>
                        </w14:solidFill>
                      </w14:textFill>
                    </w:rPr>
                    <w:t>65</w:t>
                  </w:r>
                  <w:r>
                    <w:rPr>
                      <w:rFonts w:hint="default"/>
                      <w:color w:val="000000" w:themeColor="text1"/>
                      <w:szCs w:val="21"/>
                      <w14:textFill>
                        <w14:solidFill>
                          <w14:schemeClr w14:val="tx1"/>
                        </w14:solidFill>
                      </w14:textFill>
                    </w:rPr>
                    <w:t>%</w:t>
                  </w:r>
                </w:p>
              </w:tc>
              <w:tc>
                <w:tcPr>
                  <w:tcW w:w="1308" w:type="dxa"/>
                  <w:vMerge w:val="restart"/>
                  <w:vAlign w:val="center"/>
                </w:tcPr>
                <w:p w14:paraId="445D979E">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8.336</w:t>
                  </w:r>
                </w:p>
              </w:tc>
              <w:tc>
                <w:tcPr>
                  <w:tcW w:w="643" w:type="dxa"/>
                  <w:vMerge w:val="restart"/>
                  <w:vAlign w:val="center"/>
                </w:tcPr>
                <w:p w14:paraId="558E69E1">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工件附着</w:t>
                  </w:r>
                </w:p>
              </w:tc>
              <w:tc>
                <w:tcPr>
                  <w:tcW w:w="2110" w:type="dxa"/>
                  <w:vAlign w:val="center"/>
                </w:tcPr>
                <w:p w14:paraId="5380C2A4">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固化量</w:t>
                  </w:r>
                </w:p>
              </w:tc>
              <w:tc>
                <w:tcPr>
                  <w:tcW w:w="1089" w:type="dxa"/>
                  <w:vAlign w:val="center"/>
                </w:tcPr>
                <w:p w14:paraId="0DB7E89F">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100.819</w:t>
                  </w:r>
                </w:p>
              </w:tc>
            </w:tr>
            <w:tr w14:paraId="24E7A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054EDD24">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3D865BEF">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continue"/>
                  <w:vAlign w:val="center"/>
                </w:tcPr>
                <w:p w14:paraId="6681BFF5">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08" w:type="dxa"/>
                  <w:vMerge w:val="continue"/>
                  <w:vAlign w:val="center"/>
                </w:tcPr>
                <w:p w14:paraId="1AADF59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43" w:type="dxa"/>
                  <w:vMerge w:val="continue"/>
                  <w:vAlign w:val="center"/>
                </w:tcPr>
                <w:p w14:paraId="1EB2942B">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43EAFCF4">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有组织排放</w:t>
                  </w:r>
                </w:p>
              </w:tc>
              <w:tc>
                <w:tcPr>
                  <w:tcW w:w="1089" w:type="dxa"/>
                  <w:vAlign w:val="center"/>
                </w:tcPr>
                <w:p w14:paraId="28F6F37C">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0.011</w:t>
                  </w:r>
                </w:p>
              </w:tc>
            </w:tr>
            <w:tr w14:paraId="172BE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657956D2">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7B049BE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continue"/>
                  <w:vAlign w:val="center"/>
                </w:tcPr>
                <w:p w14:paraId="7ADD5F5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08" w:type="dxa"/>
                  <w:vMerge w:val="continue"/>
                  <w:vAlign w:val="center"/>
                </w:tcPr>
                <w:p w14:paraId="19A004B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43" w:type="dxa"/>
                  <w:vMerge w:val="continue"/>
                  <w:vAlign w:val="center"/>
                </w:tcPr>
                <w:p w14:paraId="2AE0E407">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10989F56">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无组织排放</w:t>
                  </w:r>
                </w:p>
              </w:tc>
              <w:tc>
                <w:tcPr>
                  <w:tcW w:w="1089" w:type="dxa"/>
                  <w:vAlign w:val="center"/>
                </w:tcPr>
                <w:p w14:paraId="4A2561F6">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0.012</w:t>
                  </w:r>
                </w:p>
              </w:tc>
            </w:tr>
            <w:tr w14:paraId="1B9B1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0AEE5652">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7472327F">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continue"/>
                  <w:vAlign w:val="center"/>
                </w:tcPr>
                <w:p w14:paraId="5C08208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08" w:type="dxa"/>
                  <w:vMerge w:val="continue"/>
                  <w:vAlign w:val="center"/>
                </w:tcPr>
                <w:p w14:paraId="3ED3E42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43" w:type="dxa"/>
                  <w:vMerge w:val="continue"/>
                  <w:vAlign w:val="center"/>
                </w:tcPr>
                <w:p w14:paraId="61E3BC13">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78B308EE">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过滤棉+两级活性炭吸附装置装置去除</w:t>
                  </w:r>
                </w:p>
              </w:tc>
              <w:tc>
                <w:tcPr>
                  <w:tcW w:w="1089" w:type="dxa"/>
                  <w:vAlign w:val="center"/>
                </w:tcPr>
                <w:p w14:paraId="076A7F1C">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0.098</w:t>
                  </w:r>
                </w:p>
              </w:tc>
            </w:tr>
            <w:tr w14:paraId="5FF9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continue"/>
                  <w:vAlign w:val="center"/>
                </w:tcPr>
                <w:p w14:paraId="27DB00A1">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17B3F7C8">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restart"/>
                  <w:vAlign w:val="center"/>
                </w:tcPr>
                <w:p w14:paraId="6E357E95">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工件未附着量</w:t>
                  </w:r>
                  <w:r>
                    <w:rPr>
                      <w:rFonts w:hint="eastAsia"/>
                      <w:color w:val="000000" w:themeColor="text1"/>
                      <w:szCs w:val="21"/>
                      <w:lang w:val="en-US" w:eastAsia="zh-CN"/>
                      <w14:textFill>
                        <w14:solidFill>
                          <w14:schemeClr w14:val="tx1"/>
                        </w14:solidFill>
                      </w14:textFill>
                    </w:rPr>
                    <w:t>35</w:t>
                  </w:r>
                  <w:r>
                    <w:rPr>
                      <w:rFonts w:hint="default"/>
                      <w:color w:val="000000" w:themeColor="text1"/>
                      <w:szCs w:val="21"/>
                      <w14:textFill>
                        <w14:solidFill>
                          <w14:schemeClr w14:val="tx1"/>
                        </w14:solidFill>
                      </w14:textFill>
                    </w:rPr>
                    <w:t>%</w:t>
                  </w:r>
                </w:p>
              </w:tc>
              <w:tc>
                <w:tcPr>
                  <w:tcW w:w="1308" w:type="dxa"/>
                  <w:vMerge w:val="restart"/>
                  <w:vAlign w:val="center"/>
                </w:tcPr>
                <w:p w14:paraId="15460C8C">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3.753</w:t>
                  </w:r>
                </w:p>
              </w:tc>
              <w:tc>
                <w:tcPr>
                  <w:tcW w:w="643" w:type="dxa"/>
                  <w:vMerge w:val="restart"/>
                  <w:vAlign w:val="center"/>
                </w:tcPr>
                <w:p w14:paraId="3B5C186C">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szCs w:val="21"/>
                      <w14:textFill>
                        <w14:solidFill>
                          <w14:schemeClr w14:val="tx1"/>
                        </w14:solidFill>
                      </w14:textFill>
                    </w:rPr>
                    <w:t>工件未附着</w:t>
                  </w:r>
                </w:p>
              </w:tc>
              <w:tc>
                <w:tcPr>
                  <w:tcW w:w="2110" w:type="dxa"/>
                  <w:vAlign w:val="center"/>
                </w:tcPr>
                <w:p w14:paraId="5721BE9A">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有组织排放</w:t>
                  </w:r>
                </w:p>
              </w:tc>
              <w:tc>
                <w:tcPr>
                  <w:tcW w:w="1089" w:type="dxa"/>
                  <w:vAlign w:val="center"/>
                </w:tcPr>
                <w:p w14:paraId="4499EBD8">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0.516</w:t>
                  </w:r>
                </w:p>
              </w:tc>
            </w:tr>
            <w:tr w14:paraId="414C5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vAlign w:val="center"/>
                </w:tcPr>
                <w:p w14:paraId="027F8249">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70B5D108">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continue"/>
                  <w:vAlign w:val="center"/>
                </w:tcPr>
                <w:p w14:paraId="0A2107B0">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08" w:type="dxa"/>
                  <w:vMerge w:val="continue"/>
                  <w:vAlign w:val="center"/>
                </w:tcPr>
                <w:p w14:paraId="3030A50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643" w:type="dxa"/>
                  <w:vMerge w:val="continue"/>
                  <w:vAlign w:val="center"/>
                </w:tcPr>
                <w:p w14:paraId="55370ECC">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p>
              </w:tc>
              <w:tc>
                <w:tcPr>
                  <w:tcW w:w="2110" w:type="dxa"/>
                  <w:vAlign w:val="center"/>
                </w:tcPr>
                <w:p w14:paraId="3C3F967B">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无组织排放</w:t>
                  </w:r>
                </w:p>
              </w:tc>
              <w:tc>
                <w:tcPr>
                  <w:tcW w:w="1089" w:type="dxa"/>
                  <w:vAlign w:val="center"/>
                </w:tcPr>
                <w:p w14:paraId="6E7CB583">
                  <w:pPr>
                    <w:keepNext w:val="0"/>
                    <w:keepLines w:val="0"/>
                    <w:widowControl/>
                    <w:suppressLineNumbers w:val="0"/>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2.718</w:t>
                  </w:r>
                </w:p>
              </w:tc>
            </w:tr>
            <w:tr w14:paraId="7EF7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27E774FB">
                  <w:pPr>
                    <w:keepNext w:val="0"/>
                    <w:keepLines w:val="0"/>
                    <w:suppressLineNumbers w:val="0"/>
                    <w:snapToGrid w:val="0"/>
                    <w:spacing w:before="0" w:beforeAutospacing="0" w:after="0" w:afterAutospacing="0"/>
                    <w:ind w:left="-105" w:leftChars="-50" w:right="-105" w:rightChars="-50"/>
                    <w:jc w:val="center"/>
                    <w:rPr>
                      <w:rFonts w:hint="default"/>
                      <w:color w:val="000000" w:themeColor="text1"/>
                      <w14:textFill>
                        <w14:solidFill>
                          <w14:schemeClr w14:val="tx1"/>
                        </w14:solidFill>
                      </w14:textFill>
                    </w:rPr>
                  </w:pPr>
                </w:p>
              </w:tc>
              <w:tc>
                <w:tcPr>
                  <w:tcW w:w="1089" w:type="dxa"/>
                  <w:vMerge w:val="continue"/>
                  <w:vAlign w:val="center"/>
                </w:tcPr>
                <w:p w14:paraId="757F8E0F">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397" w:type="dxa"/>
                  <w:vMerge w:val="continue"/>
                  <w:vAlign w:val="center"/>
                </w:tcPr>
                <w:p w14:paraId="3979BD3A">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p>
              </w:tc>
              <w:tc>
                <w:tcPr>
                  <w:tcW w:w="1308" w:type="dxa"/>
                  <w:vMerge w:val="continue"/>
                  <w:vAlign w:val="center"/>
                </w:tcPr>
                <w:p w14:paraId="0E5D2394">
                  <w:pPr>
                    <w:keepNext w:val="0"/>
                    <w:keepLines w:val="0"/>
                    <w:widowControl/>
                    <w:suppressLineNumbers w:val="0"/>
                    <w:spacing w:before="0" w:beforeAutospacing="0" w:after="0" w:afterAutospacing="0"/>
                    <w:ind w:left="0" w:right="0"/>
                    <w:jc w:val="center"/>
                    <w:textAlignment w:val="center"/>
                    <w:rPr>
                      <w:rFonts w:hint="default"/>
                      <w:color w:val="000000" w:themeColor="text1"/>
                      <w14:textFill>
                        <w14:solidFill>
                          <w14:schemeClr w14:val="tx1"/>
                        </w14:solidFill>
                      </w14:textFill>
                    </w:rPr>
                  </w:pPr>
                </w:p>
              </w:tc>
              <w:tc>
                <w:tcPr>
                  <w:tcW w:w="643" w:type="dxa"/>
                  <w:vMerge w:val="continue"/>
                  <w:vAlign w:val="center"/>
                </w:tcPr>
                <w:p w14:paraId="262A9F83">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2110" w:type="dxa"/>
                  <w:vAlign w:val="center"/>
                </w:tcPr>
                <w:p w14:paraId="4C3627A6">
                  <w:pPr>
                    <w:keepNext w:val="0"/>
                    <w:keepLines w:val="0"/>
                    <w:suppressLineNumbers w:val="0"/>
                    <w:snapToGrid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滤筒+脉冲除尘装置收集的粉尘回收</w:t>
                  </w:r>
                </w:p>
              </w:tc>
              <w:tc>
                <w:tcPr>
                  <w:tcW w:w="1089" w:type="dxa"/>
                  <w:vAlign w:val="center"/>
                </w:tcPr>
                <w:p w14:paraId="549BFAF2">
                  <w:pPr>
                    <w:keepNext w:val="0"/>
                    <w:keepLines w:val="0"/>
                    <w:widowControl/>
                    <w:suppressLineNumbers w:val="0"/>
                    <w:tabs>
                      <w:tab w:val="left" w:pos="418"/>
                    </w:tabs>
                    <w:spacing w:before="0" w:beforeAutospacing="0" w:after="0" w:afterAutospacing="0"/>
                    <w:ind w:left="0" w:right="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51.118</w:t>
                  </w:r>
                </w:p>
              </w:tc>
            </w:tr>
            <w:tr w14:paraId="03E34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660D261B">
                  <w:pPr>
                    <w:keepNext w:val="0"/>
                    <w:keepLines w:val="0"/>
                    <w:suppressLineNumbers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合计</w:t>
                  </w:r>
                </w:p>
              </w:tc>
              <w:tc>
                <w:tcPr>
                  <w:tcW w:w="1089" w:type="dxa"/>
                  <w:shd w:val="clear" w:color="auto" w:fill="auto"/>
                  <w:vAlign w:val="center"/>
                </w:tcPr>
                <w:p w14:paraId="217BC85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eastAsia" w:eastAsia="宋体"/>
                      <w:b/>
                      <w:bCs/>
                      <w:color w:val="000000" w:themeColor="text1"/>
                      <w:szCs w:val="21"/>
                      <w:lang w:val="en-US" w:eastAsia="zh-CN"/>
                      <w14:textFill>
                        <w14:solidFill>
                          <w14:schemeClr w14:val="tx1"/>
                        </w14:solidFill>
                      </w14:textFill>
                    </w:rPr>
                    <w:t>155.292</w:t>
                  </w:r>
                </w:p>
              </w:tc>
              <w:tc>
                <w:tcPr>
                  <w:tcW w:w="1397" w:type="dxa"/>
                  <w:shd w:val="clear" w:color="auto" w:fill="auto"/>
                  <w:vAlign w:val="center"/>
                </w:tcPr>
                <w:p w14:paraId="24C115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b/>
                      <w:bCs/>
                      <w:color w:val="000000" w:themeColor="text1"/>
                      <w14:textFill>
                        <w14:solidFill>
                          <w14:schemeClr w14:val="tx1"/>
                        </w14:solidFill>
                      </w14:textFill>
                    </w:rPr>
                    <w:t>/</w:t>
                  </w:r>
                </w:p>
              </w:tc>
              <w:tc>
                <w:tcPr>
                  <w:tcW w:w="1308" w:type="dxa"/>
                  <w:shd w:val="clear" w:color="auto" w:fill="auto"/>
                  <w:vAlign w:val="center"/>
                </w:tcPr>
                <w:p w14:paraId="1E5A52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eastAsia" w:eastAsia="宋体"/>
                      <w:b/>
                      <w:bCs/>
                      <w:color w:val="000000" w:themeColor="text1"/>
                      <w:szCs w:val="21"/>
                      <w:lang w:val="en-US" w:eastAsia="zh-CN"/>
                      <w14:textFill>
                        <w14:solidFill>
                          <w14:schemeClr w14:val="tx1"/>
                        </w14:solidFill>
                      </w14:textFill>
                    </w:rPr>
                    <w:t>155.292</w:t>
                  </w:r>
                </w:p>
              </w:tc>
              <w:tc>
                <w:tcPr>
                  <w:tcW w:w="2753" w:type="dxa"/>
                  <w:gridSpan w:val="2"/>
                  <w:shd w:val="clear" w:color="auto" w:fill="auto"/>
                  <w:vAlign w:val="center"/>
                </w:tcPr>
                <w:p w14:paraId="0A09E5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b/>
                      <w:bCs/>
                      <w:color w:val="000000" w:themeColor="text1"/>
                      <w14:textFill>
                        <w14:solidFill>
                          <w14:schemeClr w14:val="tx1"/>
                        </w14:solidFill>
                      </w14:textFill>
                    </w:rPr>
                    <w:t>合计</w:t>
                  </w:r>
                </w:p>
              </w:tc>
              <w:tc>
                <w:tcPr>
                  <w:tcW w:w="1089" w:type="dxa"/>
                  <w:shd w:val="clear" w:color="auto" w:fill="auto"/>
                  <w:vAlign w:val="center"/>
                </w:tcPr>
                <w:p w14:paraId="38C1F51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eastAsia" w:eastAsia="宋体"/>
                      <w:b/>
                      <w:bCs/>
                      <w:color w:val="000000" w:themeColor="text1"/>
                      <w:szCs w:val="21"/>
                      <w:lang w:val="en-US" w:eastAsia="zh-CN"/>
                      <w14:textFill>
                        <w14:solidFill>
                          <w14:schemeClr w14:val="tx1"/>
                        </w14:solidFill>
                      </w14:textFill>
                    </w:rPr>
                    <w:t>155.292</w:t>
                  </w:r>
                </w:p>
              </w:tc>
            </w:tr>
          </w:tbl>
          <w:p w14:paraId="427B9E16">
            <w:pPr>
              <w:keepNext w:val="0"/>
              <w:keepLines w:val="0"/>
              <w:widowControl/>
              <w:suppressLineNumbers w:val="0"/>
              <w:spacing w:before="0" w:beforeAutospacing="0" w:after="0" w:afterAutospacing="0" w:line="360" w:lineRule="auto"/>
              <w:ind w:left="482" w:right="0" w:hanging="482" w:hangingChars="200"/>
              <w:jc w:val="center"/>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object>
                <v:shape id="_x0000_i1026" o:spt="75" type="#_x0000_t75" style="height:122.65pt;width:418.8pt;" o:ole="t" filled="f" o:preferrelative="t" stroked="f" coordsize="21600,21600">
                  <v:path/>
                  <v:fill on="f" focussize="0,0"/>
                  <v:stroke on="f"/>
                  <v:imagedata r:id="rId14" o:title=""/>
                  <o:lock v:ext="edit" aspectratio="f"/>
                  <w10:wrap type="none"/>
                  <w10:anchorlock/>
                </v:shape>
                <o:OLEObject Type="Embed" ProgID="Visio.Drawing.11" ShapeID="_x0000_i1026" DrawAspect="Content" ObjectID="_1468075726" r:id="rId13">
                  <o:LockedField>false</o:LockedField>
                </o:OLEObject>
              </w:object>
            </w:r>
          </w:p>
          <w:p w14:paraId="7CE2391D">
            <w:pPr>
              <w:keepNext w:val="0"/>
              <w:keepLines w:val="0"/>
              <w:widowControl/>
              <w:suppressLineNumbers w:val="0"/>
              <w:spacing w:before="0" w:beforeAutospacing="0" w:after="0" w:afterAutospacing="0" w:line="360" w:lineRule="auto"/>
              <w:ind w:left="482" w:right="0" w:hanging="420" w:hangingChars="200"/>
              <w:jc w:val="center"/>
              <w:rPr>
                <w:rFonts w:hint="default"/>
                <w:color w:val="000000" w:themeColor="text1"/>
                <w:sz w:val="24"/>
                <w14:textFill>
                  <w14:solidFill>
                    <w14:schemeClr w14:val="tx1"/>
                  </w14:solidFill>
                </w14:textFill>
              </w:rPr>
            </w:pPr>
            <w:r>
              <w:rPr>
                <w:rFonts w:hint="default"/>
                <w:color w:val="000000" w:themeColor="text1"/>
                <w14:textFill>
                  <w14:solidFill>
                    <w14:schemeClr w14:val="tx1"/>
                  </w14:solidFill>
                </w14:textFill>
              </w:rPr>
              <w:commentReference w:id="20"/>
            </w:r>
            <w:r>
              <w:rPr>
                <w:rFonts w:hint="default"/>
                <w:b/>
                <w:bCs/>
                <w:color w:val="000000" w:themeColor="text1"/>
                <w:sz w:val="24"/>
                <w14:textFill>
                  <w14:solidFill>
                    <w14:schemeClr w14:val="tx1"/>
                  </w14:solidFill>
                </w14:textFill>
              </w:rPr>
              <w:t>图2-</w:t>
            </w:r>
            <w:r>
              <w:rPr>
                <w:rFonts w:hint="eastAsia"/>
                <w:b/>
                <w:bCs/>
                <w:color w:val="000000" w:themeColor="text1"/>
                <w:sz w:val="24"/>
                <w:lang w:val="en-US" w:eastAsia="zh-CN"/>
                <w14:textFill>
                  <w14:solidFill>
                    <w14:schemeClr w14:val="tx1"/>
                  </w14:solidFill>
                </w14:textFill>
              </w:rPr>
              <w:t>2</w:t>
            </w:r>
            <w:r>
              <w:rPr>
                <w:rFonts w:hint="default"/>
                <w:b/>
                <w:bCs/>
                <w:color w:val="000000" w:themeColor="text1"/>
                <w:sz w:val="24"/>
                <w14:textFill>
                  <w14:solidFill>
                    <w14:schemeClr w14:val="tx1"/>
                  </w14:solidFill>
                </w14:textFill>
              </w:rPr>
              <w:t xml:space="preserve">  </w:t>
            </w:r>
            <w:r>
              <w:rPr>
                <w:rFonts w:hint="default"/>
                <w:b/>
                <w:color w:val="000000" w:themeColor="text1"/>
                <w:kern w:val="0"/>
                <w:sz w:val="24"/>
                <w14:textFill>
                  <w14:solidFill>
                    <w14:schemeClr w14:val="tx1"/>
                  </w14:solidFill>
                </w14:textFill>
              </w:rPr>
              <w:t>车门框架</w:t>
            </w:r>
            <w:r>
              <w:rPr>
                <w:rFonts w:hint="default"/>
                <w:b/>
                <w:bCs/>
                <w:color w:val="000000" w:themeColor="text1"/>
                <w:sz w:val="24"/>
                <w14:textFill>
                  <w14:solidFill>
                    <w14:schemeClr w14:val="tx1"/>
                  </w14:solidFill>
                </w14:textFill>
              </w:rPr>
              <w:t>喷粉塑粉平衡图（t/a）</w:t>
            </w:r>
          </w:p>
          <w:p w14:paraId="354E326D">
            <w:pPr>
              <w:keepNext w:val="0"/>
              <w:keepLines w:val="0"/>
              <w:numPr>
                <w:ilvl w:val="0"/>
                <w:numId w:val="9"/>
              </w:numPr>
              <w:suppressLineNumbers w:val="0"/>
              <w:spacing w:before="0" w:beforeAutospacing="0" w:after="0" w:afterAutospacing="0" w:line="360" w:lineRule="auto"/>
              <w:ind w:left="0" w:right="0"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项目水平衡分析</w:t>
            </w:r>
          </w:p>
          <w:p w14:paraId="4E769CA5">
            <w:pPr>
              <w:pStyle w:val="181"/>
              <w:keepNext w:val="0"/>
              <w:keepLines w:val="0"/>
              <w:widowControl w:val="0"/>
              <w:suppressLineNumbers w:val="0"/>
              <w:spacing w:before="0" w:beforeAutospacing="0" w:after="0" w:afterAutospacing="0" w:line="360" w:lineRule="auto"/>
              <w:ind w:left="0" w:right="0" w:firstLine="480"/>
              <w:jc w:val="both"/>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项目用水主要为生活用水</w:t>
            </w:r>
            <w:r>
              <w:rPr>
                <w:rFonts w:hint="eastAsia"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水性底漆配比用水、切削液配比用水、喷枪清洗用水、水性光亮剂配比用水、</w:t>
            </w:r>
            <w:r>
              <w:rPr>
                <w:rFonts w:hint="default" w:ascii="Times New Roman" w:hAnsi="Times New Roman" w:cs="Times New Roman"/>
                <w:color w:val="000000" w:themeColor="text1"/>
                <w:sz w:val="24"/>
                <w:szCs w:val="24"/>
                <w:highlight w:val="none"/>
                <w14:textFill>
                  <w14:solidFill>
                    <w14:schemeClr w14:val="tx1"/>
                  </w14:solidFill>
                </w14:textFill>
              </w:rPr>
              <w:t>超声波清洗用水</w:t>
            </w:r>
            <w:r>
              <w:rPr>
                <w:rFonts w:hint="eastAsia"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前处理线用水、纯水制备用水、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用水</w:t>
            </w:r>
            <w:r>
              <w:rPr>
                <w:rFonts w:hint="eastAsia" w:cs="Times New Roman"/>
                <w:color w:val="000000" w:themeColor="text1"/>
                <w:sz w:val="24"/>
                <w:szCs w:val="24"/>
                <w:highlight w:val="none"/>
                <w:lang w:val="en-US" w:eastAsia="zh-CN"/>
                <w14:textFill>
                  <w14:solidFill>
                    <w14:schemeClr w14:val="tx1"/>
                  </w14:solidFill>
                </w14:textFill>
              </w:rPr>
              <w:t>；废水主要为生活污水、喷枪清洗废水、水性光亮剂配比废水、超声波清洗废水、前处理线废水、纯水制备浓水、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color w:val="000000" w:themeColor="text1"/>
                <w14:textFill>
                  <w14:solidFill>
                    <w14:schemeClr w14:val="tx1"/>
                  </w14:solidFill>
                </w14:textFill>
              </w:rPr>
              <w:commentReference w:id="21"/>
            </w:r>
          </w:p>
          <w:p w14:paraId="2553769B">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生活用水及排水</w:t>
            </w:r>
          </w:p>
          <w:p w14:paraId="4B333510">
            <w:pPr>
              <w:keepNext w:val="0"/>
              <w:keepLines w:val="0"/>
              <w:widowControl/>
              <w:numPr>
                <w:ilvl w:val="0"/>
                <w:numId w:val="0"/>
              </w:numPr>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w:t>
            </w:r>
            <w:r>
              <w:rPr>
                <w:rFonts w:hint="eastAsia" w:cs="Times New Roman"/>
                <w:color w:val="000000" w:themeColor="text1"/>
                <w:kern w:val="0"/>
                <w:sz w:val="24"/>
                <w:highlight w:val="none"/>
                <w:lang w:val="en-US" w:eastAsia="zh-CN"/>
                <w14:textFill>
                  <w14:solidFill>
                    <w14:schemeClr w14:val="tx1"/>
                  </w14:solidFill>
                </w14:textFill>
              </w:rPr>
              <w:t>迁建后</w:t>
            </w:r>
            <w:r>
              <w:rPr>
                <w:rFonts w:hint="default" w:ascii="Times New Roman" w:hAnsi="Times New Roman" w:cs="Times New Roman"/>
                <w:color w:val="000000" w:themeColor="text1"/>
                <w:kern w:val="0"/>
                <w:sz w:val="24"/>
                <w:highlight w:val="none"/>
                <w14:textFill>
                  <w14:solidFill>
                    <w14:schemeClr w14:val="tx1"/>
                  </w14:solidFill>
                </w14:textFill>
              </w:rPr>
              <w:t>劳动定员</w:t>
            </w:r>
            <w:r>
              <w:rPr>
                <w:rFonts w:hint="eastAsia" w:cs="Times New Roman"/>
                <w:color w:val="000000" w:themeColor="text1"/>
                <w:kern w:val="0"/>
                <w:sz w:val="24"/>
                <w:highlight w:val="none"/>
                <w:lang w:val="en-US" w:eastAsia="zh-CN"/>
                <w14:textFill>
                  <w14:solidFill>
                    <w14:schemeClr w14:val="tx1"/>
                  </w14:solidFill>
                </w14:textFill>
              </w:rPr>
              <w:t>100</w:t>
            </w:r>
            <w:r>
              <w:rPr>
                <w:rFonts w:hint="default" w:ascii="Times New Roman" w:hAnsi="Times New Roman" w:cs="Times New Roman"/>
                <w:color w:val="000000" w:themeColor="text1"/>
                <w:kern w:val="0"/>
                <w:sz w:val="24"/>
                <w:highlight w:val="none"/>
                <w14:textFill>
                  <w14:solidFill>
                    <w14:schemeClr w14:val="tx1"/>
                  </w14:solidFill>
                </w14:textFill>
              </w:rPr>
              <w:t>人，年工作</w:t>
            </w:r>
            <w:r>
              <w:rPr>
                <w:rFonts w:hint="eastAsia" w:cs="Times New Roman"/>
                <w:color w:val="000000" w:themeColor="text1"/>
                <w:kern w:val="0"/>
                <w:sz w:val="24"/>
                <w:highlight w:val="none"/>
                <w:lang w:val="en-US" w:eastAsia="zh-CN"/>
                <w14:textFill>
                  <w14:solidFill>
                    <w14:schemeClr w14:val="tx1"/>
                  </w14:solidFill>
                </w14:textFill>
              </w:rPr>
              <w:t>32</w:t>
            </w:r>
            <w:r>
              <w:rPr>
                <w:rFonts w:hint="default" w:ascii="Times New Roman" w:hAnsi="Times New Roman" w:cs="Times New Roman"/>
                <w:color w:val="000000" w:themeColor="text1"/>
                <w:kern w:val="0"/>
                <w:sz w:val="24"/>
                <w:highlight w:val="none"/>
                <w14:textFill>
                  <w14:solidFill>
                    <w14:schemeClr w14:val="tx1"/>
                  </w14:solidFill>
                </w14:textFill>
              </w:rPr>
              <w:t>0天，不在厂区内食宿，</w:t>
            </w:r>
            <w:r>
              <w:rPr>
                <w:rFonts w:hint="default"/>
                <w:color w:val="000000" w:themeColor="text1"/>
                <w:sz w:val="24"/>
                <w:highlight w:val="none"/>
                <w14:textFill>
                  <w14:solidFill>
                    <w14:schemeClr w14:val="tx1"/>
                  </w14:solidFill>
                </w14:textFill>
              </w:rPr>
              <w:t>根据《安徽省行业用水定额》(DB34T679-2019)，不住宿用水</w:t>
            </w:r>
            <w:r>
              <w:rPr>
                <w:rFonts w:hint="default" w:ascii="Times New Roman" w:hAnsi="Times New Roman" w:cs="Times New Roman"/>
                <w:color w:val="000000" w:themeColor="text1"/>
                <w:kern w:val="0"/>
                <w:sz w:val="24"/>
                <w:highlight w:val="none"/>
                <w14:textFill>
                  <w14:solidFill>
                    <w14:schemeClr w14:val="tx1"/>
                  </w14:solidFill>
                </w14:textFill>
              </w:rPr>
              <w:t>生活用水以60L/人·d计，因此生活用水量</w:t>
            </w:r>
            <w:r>
              <w:rPr>
                <w:rFonts w:hint="eastAsia" w:cs="Times New Roman"/>
                <w:color w:val="000000" w:themeColor="text1"/>
                <w:kern w:val="0"/>
                <w:sz w:val="24"/>
                <w:highlight w:val="none"/>
                <w:lang w:val="en-US" w:eastAsia="zh-CN"/>
                <w14:textFill>
                  <w14:solidFill>
                    <w14:schemeClr w14:val="tx1"/>
                  </w14:solidFill>
                </w14:textFill>
              </w:rPr>
              <w:t>6</w:t>
            </w:r>
            <w:r>
              <w:rPr>
                <w:rFonts w:hint="default" w:ascii="Times New Roman" w:hAnsi="Times New Roman" w:cs="Times New Roman"/>
                <w:color w:val="000000" w:themeColor="text1"/>
                <w:kern w:val="0"/>
                <w:sz w:val="24"/>
                <w:highlight w:val="none"/>
                <w14:textFill>
                  <w14:solidFill>
                    <w14:schemeClr w14:val="tx1"/>
                  </w14:solidFill>
                </w14:textFill>
              </w:rPr>
              <w:t>t/d、</w:t>
            </w:r>
            <w:r>
              <w:rPr>
                <w:rFonts w:hint="eastAsia" w:cs="Times New Roman"/>
                <w:color w:val="000000" w:themeColor="text1"/>
                <w:kern w:val="0"/>
                <w:sz w:val="24"/>
                <w:highlight w:val="none"/>
                <w:lang w:val="en-US" w:eastAsia="zh-CN"/>
                <w14:textFill>
                  <w14:solidFill>
                    <w14:schemeClr w14:val="tx1"/>
                  </w14:solidFill>
                </w14:textFill>
              </w:rPr>
              <w:t>1920</w:t>
            </w:r>
            <w:r>
              <w:rPr>
                <w:rFonts w:hint="default" w:ascii="Times New Roman" w:hAnsi="Times New Roman" w:cs="Times New Roman"/>
                <w:color w:val="000000" w:themeColor="text1"/>
                <w:kern w:val="0"/>
                <w:sz w:val="24"/>
                <w:highlight w:val="none"/>
                <w14:textFill>
                  <w14:solidFill>
                    <w14:schemeClr w14:val="tx1"/>
                  </w14:solidFill>
                </w14:textFill>
              </w:rPr>
              <w:t>t/a，产污系数按80%计算，生活污水排放量为</w:t>
            </w:r>
            <w:r>
              <w:rPr>
                <w:rFonts w:hint="eastAsia" w:cs="Times New Roman"/>
                <w:color w:val="000000" w:themeColor="text1"/>
                <w:kern w:val="0"/>
                <w:sz w:val="24"/>
                <w:highlight w:val="none"/>
                <w:lang w:val="en-US" w:eastAsia="zh-CN"/>
                <w14:textFill>
                  <w14:solidFill>
                    <w14:schemeClr w14:val="tx1"/>
                  </w14:solidFill>
                </w14:textFill>
              </w:rPr>
              <w:t>4.8</w:t>
            </w:r>
            <w:r>
              <w:rPr>
                <w:rFonts w:hint="default" w:ascii="Times New Roman" w:hAnsi="Times New Roman" w:cs="Times New Roman"/>
                <w:color w:val="000000" w:themeColor="text1"/>
                <w:kern w:val="0"/>
                <w:sz w:val="24"/>
                <w:highlight w:val="none"/>
                <w14:textFill>
                  <w14:solidFill>
                    <w14:schemeClr w14:val="tx1"/>
                  </w14:solidFill>
                </w14:textFill>
              </w:rPr>
              <w:t>t/d，</w:t>
            </w:r>
            <w:r>
              <w:rPr>
                <w:rFonts w:hint="eastAsia" w:cs="Times New Roman"/>
                <w:color w:val="000000" w:themeColor="text1"/>
                <w:kern w:val="0"/>
                <w:sz w:val="24"/>
                <w:highlight w:val="none"/>
                <w:lang w:val="en-US" w:eastAsia="zh-CN"/>
                <w14:textFill>
                  <w14:solidFill>
                    <w14:schemeClr w14:val="tx1"/>
                  </w14:solidFill>
                </w14:textFill>
              </w:rPr>
              <w:t>1536</w:t>
            </w:r>
            <w:r>
              <w:rPr>
                <w:rFonts w:hint="default" w:ascii="Times New Roman" w:hAnsi="Times New Roman" w:cs="Times New Roman"/>
                <w:color w:val="000000" w:themeColor="text1"/>
                <w:kern w:val="0"/>
                <w:sz w:val="24"/>
                <w:highlight w:val="none"/>
                <w14:textFill>
                  <w14:solidFill>
                    <w14:schemeClr w14:val="tx1"/>
                  </w14:solidFill>
                </w14:textFill>
              </w:rPr>
              <w:t>t/a。</w:t>
            </w:r>
          </w:p>
          <w:p w14:paraId="785B1ADD">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水性底漆配比用水</w:t>
            </w:r>
            <w:r>
              <w:rPr>
                <w:rFonts w:hint="default" w:ascii="Times New Roman" w:hAnsi="Times New Roman" w:cs="Times New Roman"/>
                <w:color w:val="000000" w:themeColor="text1"/>
                <w:kern w:val="0"/>
                <w:sz w:val="24"/>
                <w:highlight w:val="none"/>
                <w14:textFill>
                  <w14:solidFill>
                    <w14:schemeClr w14:val="tx1"/>
                  </w14:solidFill>
                </w14:textFill>
              </w:rPr>
              <w:t>及排水</w:t>
            </w:r>
          </w:p>
          <w:p w14:paraId="09E0849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项目水性底漆使用时需与水进行配比，水性底漆：水=</w:t>
            </w:r>
            <w:r>
              <w:rPr>
                <w:rFonts w:hint="eastAsia" w:cs="Times New Roman"/>
                <w:color w:val="000000" w:themeColor="text1"/>
                <w:sz w:val="24"/>
                <w:lang w:val="en-US" w:eastAsia="zh-CN"/>
                <w14:textFill>
                  <w14:solidFill>
                    <w14:schemeClr w14:val="tx1"/>
                  </w14:solidFill>
                </w14:textFill>
              </w:rPr>
              <w:t>1：5</w:t>
            </w:r>
            <w:r>
              <w:rPr>
                <w:rFonts w:hint="default" w:ascii="Times New Roman" w:hAnsi="Times New Roman" w:cs="Times New Roman"/>
                <w:color w:val="000000" w:themeColor="text1"/>
                <w:sz w:val="24"/>
                <w14:textFill>
                  <w14:solidFill>
                    <w14:schemeClr w14:val="tx1"/>
                  </w14:solidFill>
                </w14:textFill>
              </w:rPr>
              <w:t>，本项目水性底漆年用量约</w:t>
            </w:r>
            <w:r>
              <w:rPr>
                <w:rFonts w:hint="eastAsia" w:cs="Times New Roman"/>
                <w:color w:val="000000" w:themeColor="text1"/>
                <w:sz w:val="24"/>
                <w:lang w:val="en-US" w:eastAsia="zh-CN"/>
                <w14:textFill>
                  <w14:solidFill>
                    <w14:schemeClr w14:val="tx1"/>
                  </w14:solidFill>
                </w14:textFill>
              </w:rPr>
              <w:t>5.368</w:t>
            </w:r>
            <w:r>
              <w:rPr>
                <w:rFonts w:hint="default" w:ascii="Times New Roman" w:hAnsi="Times New Roman" w:cs="Times New Roman"/>
                <w:color w:val="000000" w:themeColor="text1"/>
                <w:sz w:val="24"/>
                <w14:textFill>
                  <w14:solidFill>
                    <w14:schemeClr w14:val="tx1"/>
                  </w14:solidFill>
                </w14:textFill>
              </w:rPr>
              <w:t>t，则水性底漆用水量为</w:t>
            </w:r>
            <w:r>
              <w:rPr>
                <w:rFonts w:hint="eastAsia" w:cs="Times New Roman"/>
                <w:color w:val="000000" w:themeColor="text1"/>
                <w:sz w:val="24"/>
                <w:lang w:val="en-US" w:eastAsia="zh-CN"/>
                <w14:textFill>
                  <w14:solidFill>
                    <w14:schemeClr w14:val="tx1"/>
                  </w14:solidFill>
                </w14:textFill>
              </w:rPr>
              <w:t>26.84</w:t>
            </w:r>
            <w:r>
              <w:rPr>
                <w:rFonts w:hint="default" w:ascii="Times New Roman" w:hAnsi="Times New Roman" w:cs="Times New Roman"/>
                <w:color w:val="000000" w:themeColor="text1"/>
                <w:sz w:val="24"/>
                <w14:textFill>
                  <w14:solidFill>
                    <w14:schemeClr w14:val="tx1"/>
                  </w14:solidFill>
                </w14:textFill>
              </w:rPr>
              <w:t>t/a，</w:t>
            </w:r>
            <w:r>
              <w:rPr>
                <w:rFonts w:hint="eastAsia" w:cs="Times New Roman"/>
                <w:color w:val="000000" w:themeColor="text1"/>
                <w:sz w:val="24"/>
                <w:lang w:val="en-US" w:eastAsia="zh-CN"/>
                <w14:textFill>
                  <w14:solidFill>
                    <w14:schemeClr w14:val="tx1"/>
                  </w14:solidFill>
                </w14:textFill>
              </w:rPr>
              <w:t>0.084</w:t>
            </w:r>
            <w:r>
              <w:rPr>
                <w:rFonts w:hint="default" w:ascii="Times New Roman" w:hAnsi="Times New Roman" w:cs="Times New Roman"/>
                <w:color w:val="000000" w:themeColor="text1"/>
                <w:sz w:val="24"/>
                <w14:textFill>
                  <w14:solidFill>
                    <w14:schemeClr w14:val="tx1"/>
                  </w14:solidFill>
                </w14:textFill>
              </w:rPr>
              <w:t>t/d。水性底漆配比用水在</w:t>
            </w:r>
            <w:r>
              <w:rPr>
                <w:rFonts w:hint="eastAsia" w:cs="Times New Roman"/>
                <w:color w:val="000000" w:themeColor="text1"/>
                <w:sz w:val="24"/>
                <w:lang w:eastAsia="zh-CN"/>
                <w14:textFill>
                  <w14:solidFill>
                    <w14:schemeClr w14:val="tx1"/>
                  </w14:solidFill>
                </w14:textFill>
              </w:rPr>
              <w:t>烘干</w:t>
            </w:r>
            <w:r>
              <w:rPr>
                <w:rFonts w:hint="default" w:ascii="Times New Roman" w:hAnsi="Times New Roman" w:cs="Times New Roman"/>
                <w:color w:val="000000" w:themeColor="text1"/>
                <w:sz w:val="24"/>
                <w14:textFill>
                  <w14:solidFill>
                    <w14:schemeClr w14:val="tx1"/>
                  </w14:solidFill>
                </w14:textFill>
              </w:rPr>
              <w:t>工序全部挥发掉了。</w:t>
            </w:r>
          </w:p>
          <w:p w14:paraId="0C74F3D6">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切削液配比用水</w:t>
            </w:r>
            <w:r>
              <w:rPr>
                <w:rFonts w:hint="default" w:ascii="Times New Roman" w:hAnsi="Times New Roman" w:cs="Times New Roman"/>
                <w:color w:val="000000" w:themeColor="text1"/>
                <w:kern w:val="0"/>
                <w:sz w:val="24"/>
                <w:highlight w:val="none"/>
                <w14:textFill>
                  <w14:solidFill>
                    <w14:schemeClr w14:val="tx1"/>
                  </w14:solidFill>
                </w14:textFill>
              </w:rPr>
              <w:t>及排水</w:t>
            </w:r>
          </w:p>
          <w:p w14:paraId="32A40124">
            <w:pPr>
              <w:pStyle w:val="23"/>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本项目切削液使用量为3t/a，0.01t/d。根据企业提供资料，按照切削液与水1:20的比例调配，则切削液调配用水量为60t/a，0.</w:t>
            </w:r>
            <w:r>
              <w:rPr>
                <w:rFonts w:hint="eastAsia" w:cs="Times New Roman"/>
                <w:color w:val="000000" w:themeColor="text1"/>
                <w:szCs w:val="24"/>
                <w:lang w:val="en-US" w:eastAsia="zh-CN"/>
                <w14:textFill>
                  <w14:solidFill>
                    <w14:schemeClr w14:val="tx1"/>
                  </w14:solidFill>
                </w14:textFill>
              </w:rPr>
              <w:t>2</w:t>
            </w:r>
            <w:r>
              <w:rPr>
                <w:rFonts w:hint="default" w:ascii="Times New Roman" w:hAnsi="Times New Roman" w:cs="Times New Roman"/>
                <w:color w:val="000000" w:themeColor="text1"/>
                <w:szCs w:val="24"/>
                <w14:textFill>
                  <w14:solidFill>
                    <w14:schemeClr w14:val="tx1"/>
                  </w14:solidFill>
                </w14:textFill>
              </w:rPr>
              <w:t>t/d。调配的切削液在使用中损耗98%，剩余作危险废物处置，作危险废物处置的废切削液量0.004t/d，1.26t/a。</w:t>
            </w:r>
          </w:p>
          <w:p w14:paraId="63BAAFE3">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喷枪清洗用水</w:t>
            </w:r>
            <w:r>
              <w:rPr>
                <w:rFonts w:hint="default" w:ascii="Times New Roman" w:hAnsi="Times New Roman" w:cs="Times New Roman"/>
                <w:color w:val="000000" w:themeColor="text1"/>
                <w:kern w:val="0"/>
                <w:sz w:val="24"/>
                <w:highlight w:val="none"/>
                <w14:textFill>
                  <w14:solidFill>
                    <w14:schemeClr w14:val="tx1"/>
                  </w14:solidFill>
                </w14:textFill>
              </w:rPr>
              <w:t>及排水</w:t>
            </w:r>
          </w:p>
          <w:p w14:paraId="735D527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项目每天喷漆结束后需要对喷枪使用自来水进行清洗，清洗在喷漆房内进行。根据建设单位喷枪清洗经验估算，单把喷枪清洗用水约1kg/d，每天需清洗</w:t>
            </w: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把喷枪，年工作3</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0天，根据计算，用水量约=1kg×</w:t>
            </w: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×3</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0d=</w:t>
            </w:r>
            <w:r>
              <w:rPr>
                <w:rFonts w:hint="eastAsia" w:cs="Times New Roman"/>
                <w:color w:val="000000" w:themeColor="text1"/>
                <w:sz w:val="24"/>
                <w:lang w:val="en-US" w:eastAsia="zh-CN"/>
                <w14:textFill>
                  <w14:solidFill>
                    <w14:schemeClr w14:val="tx1"/>
                  </w14:solidFill>
                </w14:textFill>
              </w:rPr>
              <w:t>256</w:t>
            </w:r>
            <w:r>
              <w:rPr>
                <w:rFonts w:hint="default" w:ascii="Times New Roman" w:hAnsi="Times New Roman" w:cs="Times New Roman"/>
                <w:color w:val="000000" w:themeColor="text1"/>
                <w:sz w:val="24"/>
                <w14:textFill>
                  <w14:solidFill>
                    <w14:schemeClr w14:val="tx1"/>
                  </w14:solidFill>
                </w14:textFill>
              </w:rPr>
              <w:t>0kg/a，即约</w:t>
            </w:r>
            <w:r>
              <w:rPr>
                <w:rFonts w:hint="eastAsia" w:cs="Times New Roman"/>
                <w:color w:val="000000" w:themeColor="text1"/>
                <w:sz w:val="24"/>
                <w:lang w:val="en-US" w:eastAsia="zh-CN"/>
                <w14:textFill>
                  <w14:solidFill>
                    <w14:schemeClr w14:val="tx1"/>
                  </w14:solidFill>
                </w14:textFill>
              </w:rPr>
              <w:t>2.56</w:t>
            </w:r>
            <w:r>
              <w:rPr>
                <w:rFonts w:hint="default" w:ascii="Times New Roman" w:hAnsi="Times New Roman" w:cs="Times New Roman"/>
                <w:color w:val="000000" w:themeColor="text1"/>
                <w:sz w:val="24"/>
                <w14:textFill>
                  <w14:solidFill>
                    <w14:schemeClr w14:val="tx1"/>
                  </w14:solidFill>
                </w14:textFill>
              </w:rPr>
              <w:t>t/a，0.00</w:t>
            </w: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t/d。损耗按20%计，则喷枪清洗废液产生量为</w:t>
            </w:r>
            <w:r>
              <w:rPr>
                <w:rFonts w:hint="eastAsia" w:cs="Times New Roman"/>
                <w:color w:val="000000" w:themeColor="text1"/>
                <w:sz w:val="24"/>
                <w:lang w:val="en-US" w:eastAsia="zh-CN"/>
                <w14:textFill>
                  <w14:solidFill>
                    <w14:schemeClr w14:val="tx1"/>
                  </w14:solidFill>
                </w14:textFill>
              </w:rPr>
              <w:t>2.048</w:t>
            </w:r>
            <w:r>
              <w:rPr>
                <w:rFonts w:hint="default" w:ascii="Times New Roman" w:hAnsi="Times New Roman" w:cs="Times New Roman"/>
                <w:color w:val="000000" w:themeColor="text1"/>
                <w:sz w:val="24"/>
                <w14:textFill>
                  <w14:solidFill>
                    <w14:schemeClr w14:val="tx1"/>
                  </w14:solidFill>
                </w14:textFill>
              </w:rPr>
              <w:t>t/a，0.00</w:t>
            </w:r>
            <w:r>
              <w:rPr>
                <w:rFonts w:hint="eastAsia" w:cs="Times New Roman"/>
                <w:color w:val="000000" w:themeColor="text1"/>
                <w:sz w:val="24"/>
                <w:lang w:val="en-US" w:eastAsia="zh-CN"/>
                <w14:textFill>
                  <w14:solidFill>
                    <w14:schemeClr w14:val="tx1"/>
                  </w14:solidFill>
                </w14:textFill>
              </w:rPr>
              <w:t>64</w:t>
            </w:r>
            <w:r>
              <w:rPr>
                <w:rFonts w:hint="default" w:ascii="Times New Roman" w:hAnsi="Times New Roman" w:cs="Times New Roman"/>
                <w:color w:val="000000" w:themeColor="text1"/>
                <w:sz w:val="24"/>
                <w14:textFill>
                  <w14:solidFill>
                    <w14:schemeClr w14:val="tx1"/>
                  </w14:solidFill>
                </w14:textFill>
              </w:rPr>
              <w:t>t/d，喷枪清洗废液</w:t>
            </w:r>
            <w:r>
              <w:rPr>
                <w:rFonts w:hint="eastAsia" w:cs="Times New Roman"/>
                <w:color w:val="000000" w:themeColor="text1"/>
                <w:sz w:val="24"/>
                <w:lang w:val="en-US" w:eastAsia="zh-CN"/>
                <w14:textFill>
                  <w14:solidFill>
                    <w14:schemeClr w14:val="tx1"/>
                  </w14:solidFill>
                </w14:textFill>
              </w:rPr>
              <w:t>进入厂区自建污水处理站处理后排入市政污水管网</w:t>
            </w:r>
            <w:r>
              <w:rPr>
                <w:rFonts w:hint="default" w:ascii="Times New Roman" w:hAnsi="Times New Roman" w:cs="Times New Roman"/>
                <w:color w:val="000000" w:themeColor="text1"/>
                <w:sz w:val="24"/>
                <w14:textFill>
                  <w14:solidFill>
                    <w14:schemeClr w14:val="tx1"/>
                  </w14:solidFill>
                </w14:textFill>
              </w:rPr>
              <w:t>。</w:t>
            </w:r>
          </w:p>
          <w:p w14:paraId="46C81334">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水性光亮剂配比用水及排水</w:t>
            </w:r>
          </w:p>
          <w:p w14:paraId="381067D2">
            <w:pPr>
              <w:pStyle w:val="459"/>
              <w:keepNext w:val="0"/>
              <w:keepLines w:val="0"/>
              <w:widowControl/>
              <w:suppressLineNumbers w:val="0"/>
              <w:spacing w:before="0" w:beforeAutospacing="0" w:after="0" w:afterAutospacing="0"/>
              <w:ind w:left="0" w:right="0" w:firstLine="480"/>
              <w:rPr>
                <w:rFonts w:hint="default"/>
                <w:color w:val="000000" w:themeColor="text1"/>
                <w:kern w:val="0"/>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项目设置1台磁力研磨</w:t>
            </w:r>
            <w:r>
              <w:rPr>
                <w:rFonts w:hint="eastAsia"/>
                <w:color w:val="000000" w:themeColor="text1"/>
                <w:kern w:val="0"/>
                <w:lang w:val="en-US" w:eastAsia="zh-CN"/>
                <w14:textFill>
                  <w14:solidFill>
                    <w14:schemeClr w14:val="tx1"/>
                  </w14:solidFill>
                </w14:textFill>
              </w:rPr>
              <w:t>机</w:t>
            </w:r>
            <w:r>
              <w:rPr>
                <w:rFonts w:hint="default"/>
                <w:color w:val="000000" w:themeColor="text1"/>
                <w:kern w:val="0"/>
                <w14:textFill>
                  <w14:solidFill>
                    <w14:schemeClr w14:val="tx1"/>
                  </w14:solidFill>
                </w14:textFill>
              </w:rPr>
              <w:t>内设有槽，槽内</w:t>
            </w:r>
            <w:r>
              <w:rPr>
                <w:rFonts w:hint="default"/>
                <w:color w:val="000000" w:themeColor="text1"/>
                <w14:textFill>
                  <w14:solidFill>
                    <w14:schemeClr w14:val="tx1"/>
                  </w14:solidFill>
                </w14:textFill>
              </w:rPr>
              <w:t>按</w:t>
            </w:r>
            <w:r>
              <w:rPr>
                <w:rFonts w:hint="default"/>
                <w:color w:val="000000" w:themeColor="text1"/>
                <w:kern w:val="0"/>
                <w14:textFill>
                  <w14:solidFill>
                    <w14:schemeClr w14:val="tx1"/>
                  </w14:solidFill>
                </w14:textFill>
              </w:rPr>
              <w:t>水性光亮剂</w:t>
            </w:r>
            <w:r>
              <w:rPr>
                <w:rFonts w:hint="default"/>
                <w:color w:val="000000" w:themeColor="text1"/>
                <w14:textFill>
                  <w14:solidFill>
                    <w14:schemeClr w14:val="tx1"/>
                  </w14:solidFill>
                </w14:textFill>
              </w:rPr>
              <w:t>：自来水=1:</w:t>
            </w:r>
            <w:r>
              <w:rPr>
                <w:rFonts w:hint="eastAsia"/>
                <w:color w:val="000000" w:themeColor="text1"/>
                <w:lang w:val="en-US" w:eastAsia="zh-CN"/>
                <w14:textFill>
                  <w14:solidFill>
                    <w14:schemeClr w14:val="tx1"/>
                  </w14:solidFill>
                </w14:textFill>
              </w:rPr>
              <w:t>20</w:t>
            </w:r>
            <w:r>
              <w:rPr>
                <w:rFonts w:hint="default"/>
                <w:color w:val="000000" w:themeColor="text1"/>
                <w14:textFill>
                  <w14:solidFill>
                    <w14:schemeClr w14:val="tx1"/>
                  </w14:solidFill>
                </w14:textFill>
              </w:rPr>
              <w:t>比例混合</w:t>
            </w:r>
            <w:r>
              <w:rPr>
                <w:rFonts w:hint="default"/>
                <w:color w:val="000000" w:themeColor="text1"/>
                <w:kern w:val="0"/>
                <w14:textFill>
                  <w14:solidFill>
                    <w14:schemeClr w14:val="tx1"/>
                  </w14:solidFill>
                </w14:textFill>
              </w:rPr>
              <w:t>，有效容积为0.015</w:t>
            </w:r>
            <w:r>
              <w:rPr>
                <w:rFonts w:hint="default"/>
                <w:bCs/>
                <w:color w:val="000000" w:themeColor="text1"/>
                <w14:textFill>
                  <w14:solidFill>
                    <w14:schemeClr w14:val="tx1"/>
                  </w14:solidFill>
                </w14:textFill>
              </w:rPr>
              <w:t>m</w:t>
            </w:r>
            <w:r>
              <w:rPr>
                <w:rFonts w:hint="default"/>
                <w:bCs/>
                <w:color w:val="000000" w:themeColor="text1"/>
                <w:vertAlign w:val="superscript"/>
                <w14:textFill>
                  <w14:solidFill>
                    <w14:schemeClr w14:val="tx1"/>
                  </w14:solidFill>
                </w14:textFill>
              </w:rPr>
              <w:t>3</w:t>
            </w:r>
            <w:r>
              <w:rPr>
                <w:rFonts w:hint="default"/>
                <w:color w:val="000000" w:themeColor="text1"/>
                <w:kern w:val="0"/>
                <w14:textFill>
                  <w14:solidFill>
                    <w14:schemeClr w14:val="tx1"/>
                  </w14:solidFill>
                </w14:textFill>
              </w:rPr>
              <w:t>，</w:t>
            </w:r>
            <w:r>
              <w:rPr>
                <w:rFonts w:hint="default"/>
                <w:color w:val="000000" w:themeColor="text1"/>
                <w14:textFill>
                  <w14:solidFill>
                    <w14:schemeClr w14:val="tx1"/>
                  </w14:solidFill>
                </w14:textFill>
              </w:rPr>
              <w:t>排放频次每</w:t>
            </w:r>
            <w:r>
              <w:rPr>
                <w:rFonts w:hint="eastAsia"/>
                <w:color w:val="000000" w:themeColor="text1"/>
                <w:lang w:val="en-US" w:eastAsia="zh-CN"/>
                <w14:textFill>
                  <w14:solidFill>
                    <w14:schemeClr w14:val="tx1"/>
                  </w14:solidFill>
                </w14:textFill>
              </w:rPr>
              <w:t>10天</w:t>
            </w:r>
            <w:r>
              <w:rPr>
                <w:rFonts w:hint="default"/>
                <w:color w:val="000000" w:themeColor="text1"/>
                <w14:textFill>
                  <w14:solidFill>
                    <w14:schemeClr w14:val="tx1"/>
                  </w14:solidFill>
                </w14:textFill>
              </w:rPr>
              <w:t>更换</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次，</w:t>
            </w:r>
            <w:r>
              <w:rPr>
                <w:rFonts w:hint="default"/>
                <w:color w:val="000000" w:themeColor="text1"/>
                <w:kern w:val="0"/>
                <w14:textFill>
                  <w14:solidFill>
                    <w14:schemeClr w14:val="tx1"/>
                  </w14:solidFill>
                </w14:textFill>
              </w:rPr>
              <w:t>项目年运行3</w:t>
            </w:r>
            <w:r>
              <w:rPr>
                <w:rFonts w:hint="eastAsia"/>
                <w:color w:val="000000" w:themeColor="text1"/>
                <w:kern w:val="0"/>
                <w:lang w:val="en-US" w:eastAsia="zh-CN"/>
                <w14:textFill>
                  <w14:solidFill>
                    <w14:schemeClr w14:val="tx1"/>
                  </w14:solidFill>
                </w14:textFill>
              </w:rPr>
              <w:t>20</w:t>
            </w:r>
            <w:r>
              <w:rPr>
                <w:rFonts w:hint="default"/>
                <w:color w:val="000000" w:themeColor="text1"/>
                <w:kern w:val="0"/>
                <w14:textFill>
                  <w14:solidFill>
                    <w14:schemeClr w14:val="tx1"/>
                  </w14:solidFill>
                </w14:textFill>
              </w:rPr>
              <w:t>天，</w:t>
            </w:r>
            <w:r>
              <w:rPr>
                <w:rFonts w:hint="default"/>
                <w:color w:val="000000" w:themeColor="text1"/>
                <w14:textFill>
                  <w14:solidFill>
                    <w14:schemeClr w14:val="tx1"/>
                  </w14:solidFill>
                </w14:textFill>
              </w:rPr>
              <w:t>年更换</w:t>
            </w:r>
            <w:r>
              <w:rPr>
                <w:rFonts w:hint="eastAsia"/>
                <w:color w:val="000000" w:themeColor="text1"/>
                <w:lang w:val="en-US" w:eastAsia="zh-CN"/>
                <w14:textFill>
                  <w14:solidFill>
                    <w14:schemeClr w14:val="tx1"/>
                  </w14:solidFill>
                </w14:textFill>
              </w:rPr>
              <w:t>32</w:t>
            </w:r>
            <w:r>
              <w:rPr>
                <w:rFonts w:hint="default"/>
                <w:color w:val="000000" w:themeColor="text1"/>
                <w14:textFill>
                  <w14:solidFill>
                    <w14:schemeClr w14:val="tx1"/>
                  </w14:solidFill>
                </w14:textFill>
              </w:rPr>
              <w:t>次，产生的</w:t>
            </w:r>
            <w:r>
              <w:rPr>
                <w:rFonts w:hint="eastAsia"/>
                <w:color w:val="000000" w:themeColor="text1"/>
                <w:kern w:val="0"/>
                <w:lang w:val="en-US" w:eastAsia="zh-CN"/>
                <w14:textFill>
                  <w14:solidFill>
                    <w14:schemeClr w14:val="tx1"/>
                  </w14:solidFill>
                </w14:textFill>
              </w:rPr>
              <w:t>水性光亮配比废</w:t>
            </w:r>
            <w:r>
              <w:rPr>
                <w:rFonts w:hint="default"/>
                <w:color w:val="000000" w:themeColor="text1"/>
                <w:kern w:val="0"/>
                <w14:textFill>
                  <w14:solidFill>
                    <w14:schemeClr w14:val="tx1"/>
                  </w14:solidFill>
                </w14:textFill>
              </w:rPr>
              <w:t>槽液</w:t>
            </w:r>
            <w:r>
              <w:rPr>
                <w:rFonts w:hint="default"/>
                <w:color w:val="000000" w:themeColor="text1"/>
                <w14:textFill>
                  <w14:solidFill>
                    <w14:schemeClr w14:val="tx1"/>
                  </w14:solidFill>
                </w14:textFill>
              </w:rPr>
              <w:t>为</w:t>
            </w:r>
            <w:r>
              <w:rPr>
                <w:rFonts w:hint="eastAsia"/>
                <w:color w:val="000000" w:themeColor="text1"/>
                <w:lang w:val="en-US" w:eastAsia="zh-CN"/>
                <w14:textFill>
                  <w14:solidFill>
                    <w14:schemeClr w14:val="tx1"/>
                  </w14:solidFill>
                </w14:textFill>
              </w:rPr>
              <w:t>0.48</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w:t>
            </w:r>
            <w:r>
              <w:rPr>
                <w:rFonts w:hint="eastAsia"/>
                <w:color w:val="000000" w:themeColor="text1"/>
                <w:lang w:val="en-US" w:eastAsia="zh-CN"/>
                <w14:textFill>
                  <w14:solidFill>
                    <w14:schemeClr w14:val="tx1"/>
                  </w14:solidFill>
                </w14:textFill>
              </w:rPr>
              <w:t>0.0015</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/d），使用时会产生部分损</w:t>
            </w:r>
            <w:r>
              <w:rPr>
                <w:rFonts w:hint="default"/>
                <w:color w:val="000000" w:themeColor="text1"/>
                <w:kern w:val="0"/>
                <w14:textFill>
                  <w14:solidFill>
                    <w14:schemeClr w14:val="tx1"/>
                  </w14:solidFill>
                </w14:textFill>
              </w:rPr>
              <w:t>耗，废水产生量按照用水量的90%计算，则用水量为</w:t>
            </w:r>
            <w:r>
              <w:rPr>
                <w:rFonts w:hint="eastAsia"/>
                <w:color w:val="000000" w:themeColor="text1"/>
                <w:kern w:val="0"/>
                <w:lang w:val="en-US" w:eastAsia="zh-CN"/>
                <w14:textFill>
                  <w14:solidFill>
                    <w14:schemeClr w14:val="tx1"/>
                  </w14:solidFill>
                </w14:textFill>
              </w:rPr>
              <w:t>0.533</w:t>
            </w:r>
            <w:r>
              <w:rPr>
                <w:rFonts w:hint="default"/>
                <w:color w:val="000000" w:themeColor="text1"/>
                <w:kern w:val="0"/>
                <w14:textFill>
                  <w14:solidFill>
                    <w14:schemeClr w14:val="tx1"/>
                  </w14:solidFill>
                </w14:textFill>
              </w:rPr>
              <w:t>m</w:t>
            </w:r>
            <w:r>
              <w:rPr>
                <w:rFonts w:hint="default"/>
                <w:color w:val="000000" w:themeColor="text1"/>
                <w:kern w:val="0"/>
                <w:vertAlign w:val="superscript"/>
                <w14:textFill>
                  <w14:solidFill>
                    <w14:schemeClr w14:val="tx1"/>
                  </w14:solidFill>
                </w14:textFill>
              </w:rPr>
              <w:t>3</w:t>
            </w:r>
            <w:r>
              <w:rPr>
                <w:rFonts w:hint="default"/>
                <w:color w:val="000000" w:themeColor="text1"/>
                <w:kern w:val="0"/>
                <w14:textFill>
                  <w14:solidFill>
                    <w14:schemeClr w14:val="tx1"/>
                  </w14:solidFill>
                </w14:textFill>
              </w:rPr>
              <w:t>/a（0.</w:t>
            </w:r>
            <w:r>
              <w:rPr>
                <w:rFonts w:hint="eastAsia"/>
                <w:color w:val="000000" w:themeColor="text1"/>
                <w:kern w:val="0"/>
                <w:lang w:val="en-US" w:eastAsia="zh-CN"/>
                <w14:textFill>
                  <w14:solidFill>
                    <w14:schemeClr w14:val="tx1"/>
                  </w14:solidFill>
                </w14:textFill>
              </w:rPr>
              <w:t>002</w:t>
            </w:r>
            <w:r>
              <w:rPr>
                <w:rFonts w:hint="default"/>
                <w:color w:val="000000" w:themeColor="text1"/>
                <w:kern w:val="0"/>
                <w14:textFill>
                  <w14:solidFill>
                    <w14:schemeClr w14:val="tx1"/>
                  </w14:solidFill>
                </w14:textFill>
              </w:rPr>
              <w:t>m</w:t>
            </w:r>
            <w:r>
              <w:rPr>
                <w:rFonts w:hint="default"/>
                <w:color w:val="000000" w:themeColor="text1"/>
                <w:kern w:val="0"/>
                <w:vertAlign w:val="superscript"/>
                <w14:textFill>
                  <w14:solidFill>
                    <w14:schemeClr w14:val="tx1"/>
                  </w14:solidFill>
                </w14:textFill>
              </w:rPr>
              <w:t>3</w:t>
            </w:r>
            <w:r>
              <w:rPr>
                <w:rFonts w:hint="default"/>
                <w:color w:val="000000" w:themeColor="text1"/>
                <w:kern w:val="0"/>
                <w14:textFill>
                  <w14:solidFill>
                    <w14:schemeClr w14:val="tx1"/>
                  </w14:solidFill>
                </w14:textFill>
              </w:rPr>
              <w:t>/d）。</w:t>
            </w:r>
            <w:r>
              <w:rPr>
                <w:rFonts w:hint="eastAsia"/>
                <w:color w:val="000000" w:themeColor="text1"/>
                <w:lang w:val="en-US" w:eastAsia="zh-CN"/>
                <w14:textFill>
                  <w14:solidFill>
                    <w14:schemeClr w14:val="tx1"/>
                  </w14:solidFill>
                </w14:textFill>
              </w:rPr>
              <w:t>更换的废槽液</w:t>
            </w:r>
            <w:r>
              <w:rPr>
                <w:rFonts w:hint="eastAsia" w:cs="Times New Roman"/>
                <w:color w:val="000000" w:themeColor="text1"/>
                <w:sz w:val="24"/>
                <w:lang w:val="en-US" w:eastAsia="zh-CN"/>
                <w14:textFill>
                  <w14:solidFill>
                    <w14:schemeClr w14:val="tx1"/>
                  </w14:solidFill>
                </w14:textFill>
              </w:rPr>
              <w:t>进入厂区自建污水处理站处理后排入市政污水管网。</w:t>
            </w:r>
          </w:p>
          <w:p w14:paraId="663E6D27">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超声波清洗用水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及排水</w:t>
            </w:r>
          </w:p>
          <w:p w14:paraId="3FE57822">
            <w:pPr>
              <w:keepNext w:val="0"/>
              <w:keepLines w:val="0"/>
              <w:widowControl/>
              <w:numPr>
                <w:ilvl w:val="0"/>
                <w:numId w:val="0"/>
              </w:numPr>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项目设有3台超声波清洗机，内设一个槽体，3台槽体尺寸均</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为</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L</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*H</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0.5</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，槽体内仅添加纯水，有效容积为1.2m</w:t>
            </w:r>
            <w:r>
              <w:rPr>
                <w:rFonts w:hint="eastAsia" w:ascii="Times New Roman" w:hAnsi="Times New Roman" w:eastAsia="宋体" w:cs="Times New Roman"/>
                <w:color w:val="000000" w:themeColor="text1"/>
                <w:kern w:val="0"/>
                <w:sz w:val="24"/>
                <w:highlight w:val="none"/>
                <w:vertAlign w:val="superscript"/>
                <w:lang w:val="en-US" w:eastAsia="zh-CN"/>
                <w14:textFill>
                  <w14:solidFill>
                    <w14:schemeClr w14:val="tx1"/>
                  </w14:solidFill>
                </w14:textFill>
              </w:rPr>
              <w:t>3</w:t>
            </w:r>
            <w:r>
              <w:rPr>
                <w:rFonts w:hint="default"/>
                <w:color w:val="000000" w:themeColor="text1"/>
                <w:kern w:val="0"/>
                <w14:textFill>
                  <w14:solidFill>
                    <w14:schemeClr w14:val="tx1"/>
                  </w14:solidFill>
                </w14:textFill>
              </w:rPr>
              <w:t>，</w:t>
            </w:r>
            <w:r>
              <w:rPr>
                <w:rFonts w:hint="default"/>
                <w:color w:val="000000" w:themeColor="text1"/>
                <w:sz w:val="24"/>
                <w:szCs w:val="24"/>
                <w14:textFill>
                  <w14:solidFill>
                    <w14:schemeClr w14:val="tx1"/>
                  </w14:solidFill>
                </w14:textFill>
              </w:rPr>
              <w:t>排放频次</w:t>
            </w:r>
            <w:r>
              <w:rPr>
                <w:rFonts w:hint="eastAsia"/>
                <w:color w:val="000000" w:themeColor="text1"/>
                <w:sz w:val="24"/>
                <w:szCs w:val="24"/>
                <w:lang w:val="en-US" w:eastAsia="zh-CN"/>
                <w14:textFill>
                  <w14:solidFill>
                    <w14:schemeClr w14:val="tx1"/>
                  </w14:solidFill>
                </w14:textFill>
              </w:rPr>
              <w:t>一个月</w:t>
            </w:r>
            <w:r>
              <w:rPr>
                <w:rFonts w:hint="default"/>
                <w:color w:val="000000" w:themeColor="text1"/>
                <w:sz w:val="24"/>
                <w:szCs w:val="24"/>
                <w14:textFill>
                  <w14:solidFill>
                    <w14:schemeClr w14:val="tx1"/>
                  </w14:solidFill>
                </w14:textFill>
              </w:rPr>
              <w:t>更换</w:t>
            </w:r>
            <w:r>
              <w:rPr>
                <w:rFonts w:hint="eastAsia"/>
                <w:color w:val="000000" w:themeColor="text1"/>
                <w:sz w:val="24"/>
                <w:szCs w:val="24"/>
                <w:lang w:val="en-US" w:eastAsia="zh-CN"/>
                <w14:textFill>
                  <w14:solidFill>
                    <w14:schemeClr w14:val="tx1"/>
                  </w14:solidFill>
                </w14:textFill>
              </w:rPr>
              <w:t>一次</w:t>
            </w:r>
            <w:r>
              <w:rPr>
                <w:rFonts w:hint="default"/>
                <w:color w:val="000000" w:themeColor="text1"/>
                <w:sz w:val="24"/>
                <w:szCs w:val="24"/>
                <w14:textFill>
                  <w14:solidFill>
                    <w14:schemeClr w14:val="tx1"/>
                  </w14:solidFill>
                </w14:textFill>
              </w:rPr>
              <w:t>，</w:t>
            </w:r>
            <w:r>
              <w:rPr>
                <w:rFonts w:hint="default"/>
                <w:color w:val="000000" w:themeColor="text1"/>
                <w:kern w:val="0"/>
                <w:sz w:val="24"/>
                <w:szCs w:val="24"/>
                <w14:textFill>
                  <w14:solidFill>
                    <w14:schemeClr w14:val="tx1"/>
                  </w14:solidFill>
                </w14:textFill>
              </w:rPr>
              <w:t>项目年运行3</w:t>
            </w:r>
            <w:r>
              <w:rPr>
                <w:rFonts w:hint="eastAsia"/>
                <w:color w:val="000000" w:themeColor="text1"/>
                <w:kern w:val="0"/>
                <w:sz w:val="24"/>
                <w:szCs w:val="24"/>
                <w:lang w:val="en-US" w:eastAsia="zh-CN"/>
                <w14:textFill>
                  <w14:solidFill>
                    <w14:schemeClr w14:val="tx1"/>
                  </w14:solidFill>
                </w14:textFill>
              </w:rPr>
              <w:t>2</w:t>
            </w:r>
            <w:r>
              <w:rPr>
                <w:rFonts w:hint="default"/>
                <w:color w:val="000000" w:themeColor="text1"/>
                <w:kern w:val="0"/>
                <w:sz w:val="24"/>
                <w:szCs w:val="24"/>
                <w14:textFill>
                  <w14:solidFill>
                    <w14:schemeClr w14:val="tx1"/>
                  </w14:solidFill>
                </w14:textFill>
              </w:rPr>
              <w:t>0天，</w:t>
            </w:r>
            <w:r>
              <w:rPr>
                <w:rFonts w:hint="default"/>
                <w:color w:val="000000" w:themeColor="text1"/>
                <w:sz w:val="24"/>
                <w:szCs w:val="24"/>
                <w14:textFill>
                  <w14:solidFill>
                    <w14:schemeClr w14:val="tx1"/>
                  </w14:solidFill>
                </w14:textFill>
              </w:rPr>
              <w:t>年更换</w:t>
            </w:r>
            <w:r>
              <w:rPr>
                <w:rFonts w:hint="eastAsia"/>
                <w:color w:val="000000" w:themeColor="text1"/>
                <w:sz w:val="24"/>
                <w:szCs w:val="24"/>
                <w:lang w:val="en-US" w:eastAsia="zh-CN"/>
                <w14:textFill>
                  <w14:solidFill>
                    <w14:schemeClr w14:val="tx1"/>
                  </w14:solidFill>
                </w14:textFill>
              </w:rPr>
              <w:t>12</w:t>
            </w:r>
            <w:r>
              <w:rPr>
                <w:rFonts w:hint="default"/>
                <w:color w:val="000000" w:themeColor="text1"/>
                <w:sz w:val="24"/>
                <w:szCs w:val="24"/>
                <w14:textFill>
                  <w14:solidFill>
                    <w14:schemeClr w14:val="tx1"/>
                  </w14:solidFill>
                </w14:textFill>
              </w:rPr>
              <w:t>次，产生的</w:t>
            </w:r>
            <w:r>
              <w:rPr>
                <w:rFonts w:hint="eastAsia"/>
                <w:color w:val="000000" w:themeColor="text1"/>
                <w:sz w:val="24"/>
                <w:szCs w:val="24"/>
                <w:lang w:val="en-US" w:eastAsia="zh-CN"/>
                <w14:textFill>
                  <w14:solidFill>
                    <w14:schemeClr w14:val="tx1"/>
                  </w14:solidFill>
                </w14:textFill>
              </w:rPr>
              <w:t>超声波清洗</w:t>
            </w:r>
            <w:r>
              <w:rPr>
                <w:rFonts w:hint="default"/>
                <w:color w:val="000000" w:themeColor="text1"/>
                <w:sz w:val="24"/>
                <w:szCs w:val="24"/>
                <w14:textFill>
                  <w14:solidFill>
                    <w14:schemeClr w14:val="tx1"/>
                  </w14:solidFill>
                </w14:textFill>
              </w:rPr>
              <w:t>废</w:t>
            </w:r>
            <w:r>
              <w:rPr>
                <w:rFonts w:hint="eastAsia"/>
                <w:color w:val="000000" w:themeColor="text1"/>
                <w:sz w:val="24"/>
                <w:szCs w:val="24"/>
                <w:lang w:val="en-US" w:eastAsia="zh-CN"/>
                <w14:textFill>
                  <w14:solidFill>
                    <w14:schemeClr w14:val="tx1"/>
                  </w14:solidFill>
                </w14:textFill>
              </w:rPr>
              <w:t>水</w:t>
            </w:r>
            <w:r>
              <w:rPr>
                <w:rFonts w:hint="default"/>
                <w:color w:val="000000" w:themeColor="text1"/>
                <w:sz w:val="24"/>
                <w:szCs w:val="24"/>
                <w14:textFill>
                  <w14:solidFill>
                    <w14:schemeClr w14:val="tx1"/>
                  </w14:solidFill>
                </w14:textFill>
              </w:rPr>
              <w:t>为</w:t>
            </w:r>
            <w:r>
              <w:rPr>
                <w:rFonts w:hint="eastAsia"/>
                <w:color w:val="000000" w:themeColor="text1"/>
                <w:sz w:val="24"/>
                <w:szCs w:val="24"/>
                <w:lang w:val="en-US" w:eastAsia="zh-CN"/>
                <w14:textFill>
                  <w14:solidFill>
                    <w14:schemeClr w14:val="tx1"/>
                  </w14:solidFill>
                </w14:textFill>
              </w:rPr>
              <w:t>43.2</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3</w:t>
            </w:r>
            <w:r>
              <w:rPr>
                <w:rFonts w:hint="default"/>
                <w:color w:val="000000" w:themeColor="text1"/>
                <w:sz w:val="24"/>
                <w:szCs w:val="24"/>
                <w14:textFill>
                  <w14:solidFill>
                    <w14:schemeClr w14:val="tx1"/>
                  </w14:solidFill>
                </w14:textFill>
              </w:rPr>
              <w:t>/a（0.</w:t>
            </w:r>
            <w:r>
              <w:rPr>
                <w:rFonts w:hint="eastAsia"/>
                <w:color w:val="000000" w:themeColor="text1"/>
                <w:sz w:val="24"/>
                <w:szCs w:val="24"/>
                <w:lang w:val="en-US" w:eastAsia="zh-CN"/>
                <w14:textFill>
                  <w14:solidFill>
                    <w14:schemeClr w14:val="tx1"/>
                  </w14:solidFill>
                </w14:textFill>
              </w:rPr>
              <w:t>135</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3</w:t>
            </w:r>
            <w:r>
              <w:rPr>
                <w:rFonts w:hint="default"/>
                <w:color w:val="000000" w:themeColor="text1"/>
                <w:sz w:val="24"/>
                <w:szCs w:val="24"/>
                <w14:textFill>
                  <w14:solidFill>
                    <w14:schemeClr w14:val="tx1"/>
                  </w14:solidFill>
                </w14:textFill>
              </w:rPr>
              <w:t>/d），使用时会产生部分损耗，</w:t>
            </w:r>
            <w:r>
              <w:rPr>
                <w:rFonts w:hint="default" w:eastAsiaTheme="minorEastAsia"/>
                <w:color w:val="000000" w:themeColor="text1"/>
                <w:kern w:val="0"/>
                <w:sz w:val="24"/>
                <w:szCs w:val="24"/>
                <w14:textFill>
                  <w14:solidFill>
                    <w14:schemeClr w14:val="tx1"/>
                  </w14:solidFill>
                </w14:textFill>
              </w:rPr>
              <w:t>废水产生量按照用水量的90%计算，则</w:t>
            </w:r>
            <w:r>
              <w:rPr>
                <w:rFonts w:hint="eastAsia" w:eastAsiaTheme="minorEastAsia"/>
                <w:color w:val="000000" w:themeColor="text1"/>
                <w:kern w:val="0"/>
                <w:sz w:val="24"/>
                <w:szCs w:val="24"/>
                <w:lang w:val="en-US" w:eastAsia="zh-CN"/>
                <w14:textFill>
                  <w14:solidFill>
                    <w14:schemeClr w14:val="tx1"/>
                  </w14:solidFill>
                </w14:textFill>
              </w:rPr>
              <w:t>纯水</w:t>
            </w:r>
            <w:r>
              <w:rPr>
                <w:rFonts w:hint="default" w:eastAsiaTheme="minorEastAsia"/>
                <w:color w:val="000000" w:themeColor="text1"/>
                <w:kern w:val="0"/>
                <w:sz w:val="24"/>
                <w:szCs w:val="24"/>
                <w14:textFill>
                  <w14:solidFill>
                    <w14:schemeClr w14:val="tx1"/>
                  </w14:solidFill>
                </w14:textFill>
              </w:rPr>
              <w:t>用水量为</w:t>
            </w:r>
            <w:r>
              <w:rPr>
                <w:rFonts w:hint="eastAsia" w:eastAsiaTheme="minorEastAsia"/>
                <w:color w:val="000000" w:themeColor="text1"/>
                <w:kern w:val="0"/>
                <w:sz w:val="24"/>
                <w:szCs w:val="24"/>
                <w:lang w:val="en-US" w:eastAsia="zh-CN"/>
                <w14:textFill>
                  <w14:solidFill>
                    <w14:schemeClr w14:val="tx1"/>
                  </w14:solidFill>
                </w14:textFill>
              </w:rPr>
              <w:t>48</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3</w:t>
            </w:r>
            <w:r>
              <w:rPr>
                <w:rFonts w:hint="default"/>
                <w:color w:val="000000" w:themeColor="text1"/>
                <w:sz w:val="24"/>
                <w:szCs w:val="24"/>
                <w14:textFill>
                  <w14:solidFill>
                    <w14:schemeClr w14:val="tx1"/>
                  </w14:solidFill>
                </w14:textFill>
              </w:rPr>
              <w:t>/a（0.</w:t>
            </w:r>
            <w:r>
              <w:rPr>
                <w:rFonts w:hint="eastAsia"/>
                <w:color w:val="000000" w:themeColor="text1"/>
                <w:sz w:val="24"/>
                <w:szCs w:val="24"/>
                <w:lang w:val="en-US" w:eastAsia="zh-CN"/>
                <w14:textFill>
                  <w14:solidFill>
                    <w14:schemeClr w14:val="tx1"/>
                  </w14:solidFill>
                </w14:textFill>
              </w:rPr>
              <w:t>15</w:t>
            </w:r>
            <w:r>
              <w:rPr>
                <w:rFonts w:hint="default"/>
                <w:color w:val="000000" w:themeColor="text1"/>
                <w:sz w:val="24"/>
                <w:szCs w:val="24"/>
                <w14:textFill>
                  <w14:solidFill>
                    <w14:schemeClr w14:val="tx1"/>
                  </w14:solidFill>
                </w14:textFill>
              </w:rPr>
              <w:t>m</w:t>
            </w:r>
            <w:r>
              <w:rPr>
                <w:rFonts w:hint="default"/>
                <w:color w:val="000000" w:themeColor="text1"/>
                <w:sz w:val="24"/>
                <w:szCs w:val="24"/>
                <w:vertAlign w:val="superscript"/>
                <w14:textFill>
                  <w14:solidFill>
                    <w14:schemeClr w14:val="tx1"/>
                  </w14:solidFill>
                </w14:textFill>
              </w:rPr>
              <w:t>3</w:t>
            </w:r>
            <w:r>
              <w:rPr>
                <w:rFonts w:hint="default"/>
                <w:color w:val="000000" w:themeColor="text1"/>
                <w:sz w:val="24"/>
                <w:szCs w:val="24"/>
                <w14:textFill>
                  <w14:solidFill>
                    <w14:schemeClr w14:val="tx1"/>
                  </w14:solidFill>
                </w14:textFill>
              </w:rPr>
              <w:t>/d）</w:t>
            </w:r>
            <w:r>
              <w:rPr>
                <w:rFonts w:hint="eastAsia" w:ascii="Times New Roman" w:hAnsi="Times New Roman" w:eastAsia="宋体" w:cs="Times New Roman"/>
                <w:color w:val="000000" w:themeColor="text1"/>
                <w:sz w:val="24"/>
                <w:lang w:val="en-US" w:eastAsia="zh-CN"/>
                <w14:textFill>
                  <w14:solidFill>
                    <w14:schemeClr w14:val="tx1"/>
                  </w14:solidFill>
                </w14:textFill>
              </w:rPr>
              <w:t>。更换的超声波清洗废水进入厂区自建污水处理站处理后排入市政污水管网。</w:t>
            </w:r>
          </w:p>
          <w:p w14:paraId="75D331B5">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前处理线槽体用水及排水（设有预脱脂、主脱脂、水洗1、水洗2、硅烷</w:t>
            </w:r>
          </w:p>
          <w:p w14:paraId="0CD0735B">
            <w:pPr>
              <w:keepNext w:val="0"/>
              <w:keepLines w:val="0"/>
              <w:widowControl/>
              <w:numPr>
                <w:ilvl w:val="0"/>
                <w:numId w:val="0"/>
              </w:numPr>
              <w:suppressLineNumbers w:val="0"/>
              <w:autoSpaceDE w:val="0"/>
              <w:autoSpaceDN w:val="0"/>
              <w:adjustRightInd w:val="0"/>
              <w:spacing w:before="0" w:beforeAutospacing="0" w:after="0" w:afterAutospacing="0" w:line="360" w:lineRule="auto"/>
              <w:ind w:left="397" w:leftChars="0"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槽）</w:t>
            </w:r>
          </w:p>
          <w:p w14:paraId="0C3AB7C2">
            <w:pPr>
              <w:pStyle w:val="459"/>
              <w:keepNext w:val="0"/>
              <w:keepLines w:val="0"/>
              <w:widowControl/>
              <w:suppressLineNumbers w:val="0"/>
              <w:spacing w:before="0" w:beforeAutospacing="0" w:after="0" w:afterAutospacing="0"/>
              <w:ind w:left="0" w:right="0" w:firstLine="48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①脱脂槽用水及排水：脱脂分为预脱脂和主脱脂，预脱脂槽和主脱脂槽各1个。</w:t>
            </w:r>
          </w:p>
          <w:p w14:paraId="43A83B7C">
            <w:pPr>
              <w:pStyle w:val="459"/>
              <w:keepNext w:val="0"/>
              <w:keepLines w:val="0"/>
              <w:widowControl/>
              <w:suppressLineNumbers w:val="0"/>
              <w:spacing w:before="0" w:beforeAutospacing="0" w:after="0" w:afterAutospacing="0"/>
              <w:ind w:left="0" w:right="0" w:firstLine="480"/>
              <w:rPr>
                <w:rFonts w:hint="default" w:eastAsiaTheme="minorEastAsia"/>
                <w:color w:val="000000" w:themeColor="text1"/>
                <w:kern w:val="0"/>
                <w:highlight w:val="none"/>
                <w14:textFill>
                  <w14:solidFill>
                    <w14:schemeClr w14:val="tx1"/>
                  </w14:solidFill>
                </w14:textFill>
              </w:rPr>
            </w:pPr>
            <w:r>
              <w:rPr>
                <w:rFonts w:hint="default"/>
                <w:color w:val="000000" w:themeColor="text1"/>
                <w:highlight w:val="none"/>
                <w14:textFill>
                  <w14:solidFill>
                    <w14:schemeClr w14:val="tx1"/>
                  </w14:solidFill>
                </w14:textFill>
              </w:rPr>
              <w:t>预脱脂槽有效容积为</w:t>
            </w:r>
            <w:r>
              <w:rPr>
                <w:rFonts w:hint="eastAsia"/>
                <w:color w:val="000000" w:themeColor="text1"/>
                <w:highlight w:val="none"/>
                <w:lang w:val="en-US" w:eastAsia="zh-CN"/>
                <w14:textFill>
                  <w14:solidFill>
                    <w14:schemeClr w14:val="tx1"/>
                  </w14:solidFill>
                </w14:textFill>
              </w:rPr>
              <w:t>1.44</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，排放频次为每</w:t>
            </w:r>
            <w:r>
              <w:rPr>
                <w:rFonts w:hint="eastAsia"/>
                <w:color w:val="000000" w:themeColor="text1"/>
                <w:highlight w:val="none"/>
                <w:lang w:val="en-US" w:eastAsia="zh-CN"/>
                <w14:textFill>
                  <w14:solidFill>
                    <w14:schemeClr w14:val="tx1"/>
                  </w14:solidFill>
                </w14:textFill>
              </w:rPr>
              <w:t>2</w:t>
            </w:r>
            <w:r>
              <w:rPr>
                <w:rFonts w:hint="default"/>
                <w:color w:val="000000" w:themeColor="text1"/>
                <w:highlight w:val="none"/>
                <w14:textFill>
                  <w14:solidFill>
                    <w14:schemeClr w14:val="tx1"/>
                  </w14:solidFill>
                </w14:textFill>
              </w:rPr>
              <w:t>个月排放一次，年更换</w:t>
            </w:r>
            <w:r>
              <w:rPr>
                <w:rFonts w:hint="eastAsia"/>
                <w:color w:val="000000" w:themeColor="text1"/>
                <w:highlight w:val="none"/>
                <w:lang w:val="en-US" w:eastAsia="zh-CN"/>
                <w14:textFill>
                  <w14:solidFill>
                    <w14:schemeClr w14:val="tx1"/>
                  </w14:solidFill>
                </w14:textFill>
              </w:rPr>
              <w:t>6</w:t>
            </w:r>
            <w:r>
              <w:rPr>
                <w:rFonts w:hint="default"/>
                <w:color w:val="000000" w:themeColor="text1"/>
                <w:highlight w:val="none"/>
                <w14:textFill>
                  <w14:solidFill>
                    <w14:schemeClr w14:val="tx1"/>
                  </w14:solidFill>
                </w14:textFill>
              </w:rPr>
              <w:t>次，产生的预脱脂槽废液为</w:t>
            </w:r>
            <w:r>
              <w:rPr>
                <w:rFonts w:hint="eastAsia"/>
                <w:color w:val="000000" w:themeColor="text1"/>
                <w:highlight w:val="none"/>
                <w:lang w:val="en-US" w:eastAsia="zh-CN"/>
                <w14:textFill>
                  <w14:solidFill>
                    <w14:schemeClr w14:val="tx1"/>
                  </w14:solidFill>
                </w14:textFill>
              </w:rPr>
              <w:t>8.64</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/a（</w:t>
            </w:r>
            <w:r>
              <w:rPr>
                <w:rFonts w:hint="eastAsia"/>
                <w:color w:val="000000" w:themeColor="text1"/>
                <w:highlight w:val="none"/>
                <w:lang w:val="en-US" w:eastAsia="zh-CN"/>
                <w14:textFill>
                  <w14:solidFill>
                    <w14:schemeClr w14:val="tx1"/>
                  </w14:solidFill>
                </w14:textFill>
              </w:rPr>
              <w:t>0.027</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/d），使用时会产生部分损耗，</w:t>
            </w:r>
            <w:r>
              <w:rPr>
                <w:rFonts w:hint="default" w:eastAsiaTheme="minorEastAsia"/>
                <w:color w:val="000000" w:themeColor="text1"/>
                <w:kern w:val="0"/>
                <w:highlight w:val="none"/>
                <w14:textFill>
                  <w14:solidFill>
                    <w14:schemeClr w14:val="tx1"/>
                  </w14:solidFill>
                </w14:textFill>
              </w:rPr>
              <w:t>废水产生量按照用水量的90%计算，则用水量为</w:t>
            </w:r>
            <w:r>
              <w:rPr>
                <w:rFonts w:hint="eastAsia" w:eastAsiaTheme="minorEastAsia"/>
                <w:color w:val="000000" w:themeColor="text1"/>
                <w:kern w:val="0"/>
                <w:highlight w:val="none"/>
                <w:lang w:val="en-US" w:eastAsia="zh-CN"/>
                <w14:textFill>
                  <w14:solidFill>
                    <w14:schemeClr w14:val="tx1"/>
                  </w14:solidFill>
                </w14:textFill>
              </w:rPr>
              <w:t>9.6</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/a（0.0</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w:t>
            </w:r>
            <w:r>
              <w:rPr>
                <w:rFonts w:hint="default" w:eastAsiaTheme="minorEastAsia"/>
                <w:color w:val="000000" w:themeColor="text1"/>
                <w:kern w:val="0"/>
                <w:highlight w:val="none"/>
                <w14:textFill>
                  <w14:solidFill>
                    <w14:schemeClr w14:val="tx1"/>
                  </w14:solidFill>
                </w14:textFill>
              </w:rPr>
              <w:t>。</w:t>
            </w:r>
          </w:p>
          <w:p w14:paraId="27FECBC1">
            <w:pPr>
              <w:pStyle w:val="459"/>
              <w:keepNext w:val="0"/>
              <w:keepLines w:val="0"/>
              <w:widowControl/>
              <w:suppressLineNumbers w:val="0"/>
              <w:spacing w:before="0" w:beforeAutospacing="0" w:after="0" w:afterAutospacing="0"/>
              <w:ind w:left="0" w:right="0" w:firstLine="48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主脱脂槽有效容积为</w:t>
            </w:r>
            <w:r>
              <w:rPr>
                <w:rFonts w:hint="eastAsia"/>
                <w:color w:val="000000" w:themeColor="text1"/>
                <w:highlight w:val="none"/>
                <w:lang w:val="en-US" w:eastAsia="zh-CN"/>
                <w14:textFill>
                  <w14:solidFill>
                    <w14:schemeClr w14:val="tx1"/>
                  </w14:solidFill>
                </w14:textFill>
              </w:rPr>
              <w:t>2.88</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，排放频次为每</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14:textFill>
                  <w14:solidFill>
                    <w14:schemeClr w14:val="tx1"/>
                  </w14:solidFill>
                </w14:textFill>
              </w:rPr>
              <w:t>月一次，年更换</w:t>
            </w:r>
            <w:r>
              <w:rPr>
                <w:rFonts w:hint="eastAsia"/>
                <w:color w:val="000000" w:themeColor="text1"/>
                <w:highlight w:val="none"/>
                <w:lang w:val="en-US" w:eastAsia="zh-CN"/>
                <w14:textFill>
                  <w14:solidFill>
                    <w14:schemeClr w14:val="tx1"/>
                  </w14:solidFill>
                </w14:textFill>
              </w:rPr>
              <w:t>4</w:t>
            </w:r>
            <w:r>
              <w:rPr>
                <w:rFonts w:hint="default"/>
                <w:color w:val="000000" w:themeColor="text1"/>
                <w:highlight w:val="none"/>
                <w14:textFill>
                  <w14:solidFill>
                    <w14:schemeClr w14:val="tx1"/>
                  </w14:solidFill>
                </w14:textFill>
              </w:rPr>
              <w:t>次，产生的主脱脂槽废液为</w:t>
            </w:r>
            <w:r>
              <w:rPr>
                <w:rFonts w:hint="eastAsia"/>
                <w:color w:val="000000" w:themeColor="text1"/>
                <w:highlight w:val="none"/>
                <w:lang w:val="en-US" w:eastAsia="zh-CN"/>
                <w14:textFill>
                  <w14:solidFill>
                    <w14:schemeClr w14:val="tx1"/>
                  </w14:solidFill>
                </w14:textFill>
              </w:rPr>
              <w:t>11.52</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/a（0.036m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/d），使用时会产生部分损耗，</w:t>
            </w:r>
            <w:r>
              <w:rPr>
                <w:rFonts w:hint="default" w:eastAsiaTheme="minorEastAsia"/>
                <w:color w:val="000000" w:themeColor="text1"/>
                <w:kern w:val="0"/>
                <w:highlight w:val="none"/>
                <w14:textFill>
                  <w14:solidFill>
                    <w14:schemeClr w14:val="tx1"/>
                  </w14:solidFill>
                </w14:textFill>
              </w:rPr>
              <w:t>废水产生量按照用水量的90%计算，则用水量为12</w:t>
            </w:r>
            <w:r>
              <w:rPr>
                <w:rFonts w:hint="eastAsia" w:eastAsiaTheme="minorEastAsia"/>
                <w:color w:val="000000" w:themeColor="text1"/>
                <w:kern w:val="0"/>
                <w:highlight w:val="none"/>
                <w:lang w:val="en-US" w:eastAsia="zh-CN"/>
                <w14:textFill>
                  <w14:solidFill>
                    <w14:schemeClr w14:val="tx1"/>
                  </w14:solidFill>
                </w14:textFill>
              </w:rPr>
              <w:t>.8</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/a（0.04m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w:t>
            </w:r>
            <w:r>
              <w:rPr>
                <w:rFonts w:hint="default" w:eastAsiaTheme="minorEastAsia"/>
                <w:color w:val="000000" w:themeColor="text1"/>
                <w:kern w:val="0"/>
                <w:highlight w:val="none"/>
                <w14:textFill>
                  <w14:solidFill>
                    <w14:schemeClr w14:val="tx1"/>
                  </w14:solidFill>
                </w14:textFill>
              </w:rPr>
              <w:t>。</w:t>
            </w:r>
          </w:p>
          <w:p w14:paraId="74DB7E6E">
            <w:pPr>
              <w:pStyle w:val="459"/>
              <w:keepNext w:val="0"/>
              <w:keepLines w:val="0"/>
              <w:widowControl/>
              <w:suppressLineNumbers w:val="0"/>
              <w:spacing w:before="0" w:beforeAutospacing="0" w:after="0" w:afterAutospacing="0"/>
              <w:ind w:left="0" w:right="0" w:firstLine="48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②脱脂后水洗槽用水及排水：</w:t>
            </w:r>
            <w:r>
              <w:rPr>
                <w:rFonts w:hint="default"/>
                <w:bCs/>
                <w:color w:val="000000" w:themeColor="text1"/>
                <w:highlight w:val="none"/>
                <w14:textFill>
                  <w14:solidFill>
                    <w14:schemeClr w14:val="tx1"/>
                  </w14:solidFill>
                </w14:textFill>
              </w:rPr>
              <w:t>主脱脂槽后面设置2个水洗槽，水洗槽有效容积均为</w:t>
            </w:r>
            <w:r>
              <w:rPr>
                <w:rFonts w:hint="eastAsia"/>
                <w:bCs/>
                <w:color w:val="000000" w:themeColor="text1"/>
                <w:highlight w:val="none"/>
                <w:lang w:val="en-US" w:eastAsia="zh-CN"/>
                <w14:textFill>
                  <w14:solidFill>
                    <w14:schemeClr w14:val="tx1"/>
                  </w14:solidFill>
                </w14:textFill>
              </w:rPr>
              <w:t>1.44</w:t>
            </w:r>
            <w:r>
              <w:rPr>
                <w:rFonts w:hint="default"/>
                <w:bCs/>
                <w:color w:val="000000" w:themeColor="text1"/>
                <w:highlight w:val="none"/>
                <w14:textFill>
                  <w14:solidFill>
                    <w14:schemeClr w14:val="tx1"/>
                  </w14:solidFill>
                </w14:textFill>
              </w:rPr>
              <w:t>m</w:t>
            </w:r>
            <w:r>
              <w:rPr>
                <w:rFonts w:hint="default"/>
                <w:bCs/>
                <w:color w:val="000000" w:themeColor="text1"/>
                <w:highlight w:val="none"/>
                <w:vertAlign w:val="superscript"/>
                <w14:textFill>
                  <w14:solidFill>
                    <w14:schemeClr w14:val="tx1"/>
                  </w14:solidFill>
                </w14:textFill>
              </w:rPr>
              <w:t>3</w:t>
            </w:r>
            <w:r>
              <w:rPr>
                <w:rFonts w:hint="default"/>
                <w:bCs/>
                <w:color w:val="000000" w:themeColor="text1"/>
                <w:highlight w:val="none"/>
                <w14:textFill>
                  <w14:solidFill>
                    <w14:schemeClr w14:val="tx1"/>
                  </w14:solidFill>
                </w14:textFill>
              </w:rPr>
              <w:t>，</w:t>
            </w:r>
            <w:r>
              <w:rPr>
                <w:rFonts w:hint="default"/>
                <w:color w:val="000000" w:themeColor="text1"/>
                <w:highlight w:val="none"/>
                <w14:textFill>
                  <w14:solidFill>
                    <w14:schemeClr w14:val="tx1"/>
                  </w14:solidFill>
                </w14:textFill>
              </w:rPr>
              <w:t>采用溢流方式，</w:t>
            </w:r>
            <w:r>
              <w:rPr>
                <w:rFonts w:hint="default"/>
                <w:bCs/>
                <w:color w:val="000000" w:themeColor="text1"/>
                <w:highlight w:val="none"/>
                <w14:textFill>
                  <w14:solidFill>
                    <w14:schemeClr w14:val="tx1"/>
                  </w14:solidFill>
                </w14:textFill>
              </w:rPr>
              <w:t>根据企业提供信息可知，单个水洗槽的溢流量为</w:t>
            </w:r>
            <w:r>
              <w:rPr>
                <w:rFonts w:hint="default"/>
                <w:color w:val="000000" w:themeColor="text1"/>
                <w:kern w:val="0"/>
                <w:highlight w:val="none"/>
                <w14:textFill>
                  <w14:solidFill>
                    <w14:schemeClr w14:val="tx1"/>
                  </w14:solidFill>
                </w14:textFill>
              </w:rPr>
              <w:t>0.</w:t>
            </w:r>
            <w:r>
              <w:rPr>
                <w:rFonts w:hint="eastAsia"/>
                <w:color w:val="000000" w:themeColor="text1"/>
                <w:kern w:val="0"/>
                <w:highlight w:val="none"/>
                <w:lang w:val="en-US" w:eastAsia="zh-CN"/>
                <w14:textFill>
                  <w14:solidFill>
                    <w14:schemeClr w14:val="tx1"/>
                  </w14:solidFill>
                </w14:textFill>
              </w:rPr>
              <w:t>1</w:t>
            </w:r>
            <w:r>
              <w:rPr>
                <w:rFonts w:hint="default"/>
                <w:color w:val="000000" w:themeColor="text1"/>
                <w:kern w:val="0"/>
                <w:highlight w:val="none"/>
                <w14:textFill>
                  <w14:solidFill>
                    <w14:schemeClr w14:val="tx1"/>
                  </w14:solidFill>
                </w14:textFill>
              </w:rPr>
              <w:t>m</w:t>
            </w:r>
            <w:r>
              <w:rPr>
                <w:rFonts w:hint="default"/>
                <w:color w:val="000000" w:themeColor="text1"/>
                <w:kern w:val="0"/>
                <w:highlight w:val="none"/>
                <w:vertAlign w:val="superscript"/>
                <w14:textFill>
                  <w14:solidFill>
                    <w14:schemeClr w14:val="tx1"/>
                  </w14:solidFill>
                </w14:textFill>
              </w:rPr>
              <w:t>3</w:t>
            </w:r>
            <w:r>
              <w:rPr>
                <w:rFonts w:hint="default"/>
                <w:color w:val="000000" w:themeColor="text1"/>
                <w:kern w:val="0"/>
                <w:highlight w:val="none"/>
                <w14:textFill>
                  <w14:solidFill>
                    <w14:schemeClr w14:val="tx1"/>
                  </w14:solidFill>
                </w14:textFill>
              </w:rPr>
              <w:t>/h</w:t>
            </w:r>
            <w:r>
              <w:rPr>
                <w:rFonts w:hint="default"/>
                <w:bCs/>
                <w:color w:val="000000" w:themeColor="text1"/>
                <w:highlight w:val="none"/>
                <w14:textFill>
                  <w14:solidFill>
                    <w14:schemeClr w14:val="tx1"/>
                  </w14:solidFill>
                </w14:textFill>
              </w:rPr>
              <w:t>，</w:t>
            </w:r>
            <w:r>
              <w:rPr>
                <w:rFonts w:hint="eastAsia"/>
                <w:bCs/>
                <w:color w:val="000000" w:themeColor="text1"/>
                <w:highlight w:val="none"/>
                <w:lang w:val="en-US" w:eastAsia="zh-CN"/>
                <w14:textFill>
                  <w14:solidFill>
                    <w14:schemeClr w14:val="tx1"/>
                  </w14:solidFill>
                </w14:textFill>
              </w:rPr>
              <w:t>年运行4800h，</w:t>
            </w:r>
            <w:r>
              <w:rPr>
                <w:rFonts w:hint="default"/>
                <w:bCs/>
                <w:color w:val="000000" w:themeColor="text1"/>
                <w:highlight w:val="none"/>
                <w14:textFill>
                  <w14:solidFill>
                    <w14:schemeClr w14:val="tx1"/>
                  </w14:solidFill>
                </w14:textFill>
              </w:rPr>
              <w:t>因此</w:t>
            </w:r>
            <w:r>
              <w:rPr>
                <w:rFonts w:hint="default"/>
                <w:color w:val="000000" w:themeColor="text1"/>
                <w:highlight w:val="none"/>
                <w14:textFill>
                  <w14:solidFill>
                    <w14:schemeClr w14:val="tx1"/>
                  </w14:solidFill>
                </w14:textFill>
              </w:rPr>
              <w:t>脱脂后</w:t>
            </w:r>
            <w:r>
              <w:rPr>
                <w:rFonts w:hint="eastAsia"/>
                <w:color w:val="000000" w:themeColor="text1"/>
                <w:highlight w:val="none"/>
                <w:lang w:val="en-US" w:eastAsia="zh-CN"/>
                <w14:textFill>
                  <w14:solidFill>
                    <w14:schemeClr w14:val="tx1"/>
                  </w14:solidFill>
                </w14:textFill>
              </w:rPr>
              <w:t>单个</w:t>
            </w:r>
            <w:r>
              <w:rPr>
                <w:rFonts w:hint="default"/>
                <w:bCs/>
                <w:color w:val="000000" w:themeColor="text1"/>
                <w:highlight w:val="none"/>
                <w14:textFill>
                  <w14:solidFill>
                    <w14:schemeClr w14:val="tx1"/>
                  </w14:solidFill>
                </w14:textFill>
              </w:rPr>
              <w:t>水洗槽的</w:t>
            </w:r>
            <w:r>
              <w:rPr>
                <w:rFonts w:hint="eastAsia"/>
                <w:bCs/>
                <w:color w:val="000000" w:themeColor="text1"/>
                <w:highlight w:val="none"/>
                <w:lang w:val="en-US" w:eastAsia="zh-CN"/>
                <w14:textFill>
                  <w14:solidFill>
                    <w14:schemeClr w14:val="tx1"/>
                  </w14:solidFill>
                </w14:textFill>
              </w:rPr>
              <w:t>排水量</w:t>
            </w:r>
            <w:r>
              <w:rPr>
                <w:rFonts w:hint="default"/>
                <w:bCs/>
                <w:color w:val="000000" w:themeColor="text1"/>
                <w:highlight w:val="none"/>
                <w14:textFill>
                  <w14:solidFill>
                    <w14:schemeClr w14:val="tx1"/>
                  </w14:solidFill>
                </w14:textFill>
              </w:rPr>
              <w:t>为</w:t>
            </w:r>
            <w:r>
              <w:rPr>
                <w:rFonts w:hint="eastAsia"/>
                <w:bCs/>
                <w:color w:val="000000" w:themeColor="text1"/>
                <w:highlight w:val="none"/>
                <w:lang w:val="en-US" w:eastAsia="zh-CN"/>
                <w14:textFill>
                  <w14:solidFill>
                    <w14:schemeClr w14:val="tx1"/>
                  </w14:solidFill>
                </w14:textFill>
              </w:rPr>
              <w:t>480</w:t>
            </w:r>
            <w:r>
              <w:rPr>
                <w:rFonts w:hint="default"/>
                <w:bCs/>
                <w:color w:val="000000" w:themeColor="text1"/>
                <w:highlight w:val="none"/>
                <w14:textFill>
                  <w14:solidFill>
                    <w14:schemeClr w14:val="tx1"/>
                  </w14:solidFill>
                </w14:textFill>
              </w:rPr>
              <w:t>m</w:t>
            </w:r>
            <w:r>
              <w:rPr>
                <w:rFonts w:hint="default"/>
                <w:bCs/>
                <w:color w:val="000000" w:themeColor="text1"/>
                <w:highlight w:val="none"/>
                <w:vertAlign w:val="superscript"/>
                <w14:textFill>
                  <w14:solidFill>
                    <w14:schemeClr w14:val="tx1"/>
                  </w14:solidFill>
                </w14:textFill>
              </w:rPr>
              <w:t>3</w:t>
            </w:r>
            <w:r>
              <w:rPr>
                <w:rFonts w:hint="default"/>
                <w:bCs/>
                <w:color w:val="000000" w:themeColor="text1"/>
                <w:highlight w:val="none"/>
                <w14:textFill>
                  <w14:solidFill>
                    <w14:schemeClr w14:val="tx1"/>
                  </w14:solidFill>
                </w14:textFill>
              </w:rPr>
              <w:t>/a</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1.5</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w:t>
            </w:r>
            <w:r>
              <w:rPr>
                <w:rFonts w:hint="default"/>
                <w:bCs/>
                <w:color w:val="000000" w:themeColor="text1"/>
                <w:highlight w:val="none"/>
                <w14:textFill>
                  <w14:solidFill>
                    <w14:schemeClr w14:val="tx1"/>
                  </w14:solidFill>
                </w14:textFill>
              </w:rPr>
              <w:t>，损耗量按10%计算，则</w:t>
            </w:r>
            <w:r>
              <w:rPr>
                <w:rFonts w:hint="default"/>
                <w:color w:val="000000" w:themeColor="text1"/>
                <w:highlight w:val="none"/>
                <w14:textFill>
                  <w14:solidFill>
                    <w14:schemeClr w14:val="tx1"/>
                  </w14:solidFill>
                </w14:textFill>
              </w:rPr>
              <w:t>脱脂后</w:t>
            </w:r>
            <w:r>
              <w:rPr>
                <w:rFonts w:hint="eastAsia"/>
                <w:color w:val="000000" w:themeColor="text1"/>
                <w:highlight w:val="none"/>
                <w:lang w:val="en-US" w:eastAsia="zh-CN"/>
                <w14:textFill>
                  <w14:solidFill>
                    <w14:schemeClr w14:val="tx1"/>
                  </w14:solidFill>
                </w14:textFill>
              </w:rPr>
              <w:t>单个</w:t>
            </w:r>
            <w:r>
              <w:rPr>
                <w:rFonts w:hint="default"/>
                <w:bCs/>
                <w:color w:val="000000" w:themeColor="text1"/>
                <w:highlight w:val="none"/>
                <w14:textFill>
                  <w14:solidFill>
                    <w14:schemeClr w14:val="tx1"/>
                  </w14:solidFill>
                </w14:textFill>
              </w:rPr>
              <w:t>水洗槽</w:t>
            </w:r>
            <w:r>
              <w:rPr>
                <w:rFonts w:hint="eastAsia"/>
                <w:bCs/>
                <w:color w:val="000000" w:themeColor="text1"/>
                <w:highlight w:val="none"/>
                <w:lang w:val="en-US" w:eastAsia="zh-CN"/>
                <w14:textFill>
                  <w14:solidFill>
                    <w14:schemeClr w14:val="tx1"/>
                  </w14:solidFill>
                </w14:textFill>
              </w:rPr>
              <w:t>年用</w:t>
            </w:r>
            <w:r>
              <w:rPr>
                <w:rFonts w:hint="default"/>
                <w:bCs/>
                <w:color w:val="000000" w:themeColor="text1"/>
                <w:highlight w:val="none"/>
                <w14:textFill>
                  <w14:solidFill>
                    <w14:schemeClr w14:val="tx1"/>
                  </w14:solidFill>
                </w14:textFill>
              </w:rPr>
              <w:t>量为</w:t>
            </w:r>
            <w:r>
              <w:rPr>
                <w:rFonts w:hint="eastAsia"/>
                <w:bCs/>
                <w:color w:val="000000" w:themeColor="text1"/>
                <w:highlight w:val="none"/>
                <w:lang w:val="en-US" w:eastAsia="zh-CN"/>
                <w14:textFill>
                  <w14:solidFill>
                    <w14:schemeClr w14:val="tx1"/>
                  </w14:solidFill>
                </w14:textFill>
              </w:rPr>
              <w:t>533.33</w:t>
            </w:r>
            <w:r>
              <w:rPr>
                <w:rFonts w:hint="default"/>
                <w:bCs/>
                <w:color w:val="000000" w:themeColor="text1"/>
                <w:highlight w:val="none"/>
                <w14:textFill>
                  <w14:solidFill>
                    <w14:schemeClr w14:val="tx1"/>
                  </w14:solidFill>
                </w14:textFill>
              </w:rPr>
              <w:t>m</w:t>
            </w:r>
            <w:r>
              <w:rPr>
                <w:rFonts w:hint="default"/>
                <w:bCs/>
                <w:color w:val="000000" w:themeColor="text1"/>
                <w:highlight w:val="none"/>
                <w:vertAlign w:val="superscript"/>
                <w14:textFill>
                  <w14:solidFill>
                    <w14:schemeClr w14:val="tx1"/>
                  </w14:solidFill>
                </w14:textFill>
              </w:rPr>
              <w:t>3</w:t>
            </w:r>
            <w:r>
              <w:rPr>
                <w:rFonts w:hint="default"/>
                <w:bCs/>
                <w:color w:val="000000" w:themeColor="text1"/>
                <w:highlight w:val="none"/>
                <w14:textFill>
                  <w14:solidFill>
                    <w14:schemeClr w14:val="tx1"/>
                  </w14:solidFill>
                </w14:textFill>
              </w:rPr>
              <w:t>/a</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1.667</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则全厂脱脂后两个水洗槽用水量为1066.666</w:t>
            </w:r>
            <w:r>
              <w:rPr>
                <w:rFonts w:hint="default"/>
                <w:bCs/>
                <w:color w:val="000000" w:themeColor="text1"/>
                <w:highlight w:val="none"/>
                <w14:textFill>
                  <w14:solidFill>
                    <w14:schemeClr w14:val="tx1"/>
                  </w14:solidFill>
                </w14:textFill>
              </w:rPr>
              <w:t>m</w:t>
            </w:r>
            <w:r>
              <w:rPr>
                <w:rFonts w:hint="default"/>
                <w:bCs/>
                <w:color w:val="000000" w:themeColor="text1"/>
                <w:highlight w:val="none"/>
                <w:vertAlign w:val="superscript"/>
                <w14:textFill>
                  <w14:solidFill>
                    <w14:schemeClr w14:val="tx1"/>
                  </w14:solidFill>
                </w14:textFill>
              </w:rPr>
              <w:t>3</w:t>
            </w:r>
            <w:r>
              <w:rPr>
                <w:rFonts w:hint="default"/>
                <w:bCs/>
                <w:color w:val="000000" w:themeColor="text1"/>
                <w:highlight w:val="none"/>
                <w14:textFill>
                  <w14:solidFill>
                    <w14:schemeClr w14:val="tx1"/>
                  </w14:solidFill>
                </w14:textFill>
              </w:rPr>
              <w:t>/a</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3.333</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排水量为960</w:t>
            </w:r>
            <w:r>
              <w:rPr>
                <w:rFonts w:hint="default"/>
                <w:bCs/>
                <w:color w:val="000000" w:themeColor="text1"/>
                <w:highlight w:val="none"/>
                <w14:textFill>
                  <w14:solidFill>
                    <w14:schemeClr w14:val="tx1"/>
                  </w14:solidFill>
                </w14:textFill>
              </w:rPr>
              <w:t>m</w:t>
            </w:r>
            <w:r>
              <w:rPr>
                <w:rFonts w:hint="default"/>
                <w:bCs/>
                <w:color w:val="000000" w:themeColor="text1"/>
                <w:highlight w:val="none"/>
                <w:vertAlign w:val="superscript"/>
                <w14:textFill>
                  <w14:solidFill>
                    <w14:schemeClr w14:val="tx1"/>
                  </w14:solidFill>
                </w14:textFill>
              </w:rPr>
              <w:t>3</w:t>
            </w:r>
            <w:r>
              <w:rPr>
                <w:rFonts w:hint="default"/>
                <w:bCs/>
                <w:color w:val="000000" w:themeColor="text1"/>
                <w:highlight w:val="none"/>
                <w14:textFill>
                  <w14:solidFill>
                    <w14:schemeClr w14:val="tx1"/>
                  </w14:solidFill>
                </w14:textFill>
              </w:rPr>
              <w:t>/a</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w:t>
            </w:r>
            <w:r>
              <w:rPr>
                <w:rFonts w:hint="default"/>
                <w:bCs/>
                <w:color w:val="000000" w:themeColor="text1"/>
                <w:highlight w:val="none"/>
                <w14:textFill>
                  <w14:solidFill>
                    <w14:schemeClr w14:val="tx1"/>
                  </w14:solidFill>
                </w14:textFill>
              </w:rPr>
              <w:t>。</w:t>
            </w:r>
          </w:p>
          <w:p w14:paraId="238E4191">
            <w:pPr>
              <w:pStyle w:val="459"/>
              <w:keepNext w:val="0"/>
              <w:keepLines w:val="0"/>
              <w:widowControl/>
              <w:suppressLineNumbers w:val="0"/>
              <w:spacing w:before="0" w:beforeAutospacing="0" w:after="0" w:afterAutospacing="0"/>
              <w:ind w:left="0" w:right="0" w:firstLine="480"/>
              <w:rPr>
                <w:rFonts w:hint="default" w:eastAsiaTheme="minorEastAsia"/>
                <w:color w:val="000000" w:themeColor="text1"/>
                <w:kern w:val="0"/>
                <w:highlight w:val="none"/>
                <w14:textFill>
                  <w14:solidFill>
                    <w14:schemeClr w14:val="tx1"/>
                  </w14:solidFill>
                </w14:textFill>
              </w:rPr>
            </w:pPr>
            <w:r>
              <w:rPr>
                <w:rFonts w:hint="default"/>
                <w:color w:val="000000" w:themeColor="text1"/>
                <w:highlight w:val="none"/>
                <w14:textFill>
                  <w14:solidFill>
                    <w14:schemeClr w14:val="tx1"/>
                  </w14:solidFill>
                </w14:textFill>
              </w:rPr>
              <w:t>③硅烷槽用水及排水：项目共设1个硅烷槽，有效容积均为</w:t>
            </w:r>
            <w:r>
              <w:rPr>
                <w:rFonts w:hint="eastAsia"/>
                <w:color w:val="000000" w:themeColor="text1"/>
                <w:highlight w:val="none"/>
                <w:lang w:val="en-US" w:eastAsia="zh-CN"/>
                <w14:textFill>
                  <w14:solidFill>
                    <w14:schemeClr w14:val="tx1"/>
                  </w14:solidFill>
                </w14:textFill>
              </w:rPr>
              <w:t>1.44</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，排放频次为每</w:t>
            </w:r>
            <w:r>
              <w:rPr>
                <w:rFonts w:hint="eastAsia"/>
                <w:color w:val="000000" w:themeColor="text1"/>
                <w:highlight w:val="none"/>
                <w:lang w:val="en-US" w:eastAsia="zh-CN"/>
                <w14:textFill>
                  <w14:solidFill>
                    <w14:schemeClr w14:val="tx1"/>
                  </w14:solidFill>
                </w14:textFill>
              </w:rPr>
              <w:t>6</w:t>
            </w:r>
            <w:r>
              <w:rPr>
                <w:rFonts w:hint="default"/>
                <w:color w:val="000000" w:themeColor="text1"/>
                <w:highlight w:val="none"/>
                <w14:textFill>
                  <w14:solidFill>
                    <w14:schemeClr w14:val="tx1"/>
                  </w14:solidFill>
                </w14:textFill>
              </w:rPr>
              <w:t>个月更换一次，年更换</w:t>
            </w:r>
            <w:r>
              <w:rPr>
                <w:rFonts w:hint="eastAsia"/>
                <w:color w:val="000000" w:themeColor="text1"/>
                <w:highlight w:val="none"/>
                <w:lang w:val="en-US" w:eastAsia="zh-CN"/>
                <w14:textFill>
                  <w14:solidFill>
                    <w14:schemeClr w14:val="tx1"/>
                  </w14:solidFill>
                </w14:textFill>
              </w:rPr>
              <w:t>2</w:t>
            </w:r>
            <w:r>
              <w:rPr>
                <w:rFonts w:hint="default"/>
                <w:color w:val="000000" w:themeColor="text1"/>
                <w:highlight w:val="none"/>
                <w14:textFill>
                  <w14:solidFill>
                    <w14:schemeClr w14:val="tx1"/>
                  </w14:solidFill>
                </w14:textFill>
              </w:rPr>
              <w:t>次，产生的硅烷槽废液为</w:t>
            </w:r>
            <w:r>
              <w:rPr>
                <w:rFonts w:hint="eastAsia"/>
                <w:color w:val="000000" w:themeColor="text1"/>
                <w:highlight w:val="none"/>
                <w:lang w:val="en-US" w:eastAsia="zh-CN"/>
                <w14:textFill>
                  <w14:solidFill>
                    <w14:schemeClr w14:val="tx1"/>
                  </w14:solidFill>
                </w14:textFill>
              </w:rPr>
              <w:t>2.88</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/a（</w:t>
            </w:r>
            <w:r>
              <w:rPr>
                <w:rFonts w:hint="eastAsia"/>
                <w:color w:val="000000" w:themeColor="text1"/>
                <w:highlight w:val="none"/>
                <w:lang w:val="en-US" w:eastAsia="zh-CN"/>
                <w14:textFill>
                  <w14:solidFill>
                    <w14:schemeClr w14:val="tx1"/>
                  </w14:solidFill>
                </w14:textFill>
              </w:rPr>
              <w:t>0.009</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/d），使用时会产生部分损耗，</w:t>
            </w:r>
            <w:r>
              <w:rPr>
                <w:rFonts w:hint="default" w:eastAsiaTheme="minorEastAsia"/>
                <w:color w:val="000000" w:themeColor="text1"/>
                <w:kern w:val="0"/>
                <w:highlight w:val="none"/>
                <w14:textFill>
                  <w14:solidFill>
                    <w14:schemeClr w14:val="tx1"/>
                  </w14:solidFill>
                </w14:textFill>
              </w:rPr>
              <w:t>废水产生量按照用水量的90%计算，则用水量为</w:t>
            </w:r>
            <w:r>
              <w:rPr>
                <w:rFonts w:hint="eastAsia" w:eastAsiaTheme="minorEastAsia"/>
                <w:color w:val="000000" w:themeColor="text1"/>
                <w:kern w:val="0"/>
                <w:highlight w:val="none"/>
                <w:lang w:val="en-US" w:eastAsia="zh-CN"/>
                <w14:textFill>
                  <w14:solidFill>
                    <w14:schemeClr w14:val="tx1"/>
                  </w14:solidFill>
                </w14:textFill>
              </w:rPr>
              <w:t>3.2</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/a（0.0</w:t>
            </w:r>
            <w:r>
              <w:rPr>
                <w:rFonts w:hint="eastAsia"/>
                <w:color w:val="000000" w:themeColor="text1"/>
                <w:highlight w:val="none"/>
                <w:lang w:val="en-US" w:eastAsia="zh-CN"/>
                <w14:textFill>
                  <w14:solidFill>
                    <w14:schemeClr w14:val="tx1"/>
                  </w14:solidFill>
                </w14:textFill>
              </w:rPr>
              <w:t>1</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/d）</w:t>
            </w:r>
            <w:r>
              <w:rPr>
                <w:rFonts w:hint="default" w:eastAsiaTheme="minorEastAsia"/>
                <w:color w:val="000000" w:themeColor="text1"/>
                <w:kern w:val="0"/>
                <w:highlight w:val="none"/>
                <w14:textFill>
                  <w14:solidFill>
                    <w14:schemeClr w14:val="tx1"/>
                  </w14:solidFill>
                </w14:textFill>
              </w:rPr>
              <w:t>。</w:t>
            </w:r>
          </w:p>
          <w:p w14:paraId="6E43A546">
            <w:pPr>
              <w:pStyle w:val="459"/>
              <w:keepNext w:val="0"/>
              <w:keepLines w:val="0"/>
              <w:widowControl/>
              <w:suppressLineNumbers w:val="0"/>
              <w:spacing w:before="0" w:beforeAutospacing="0" w:after="0" w:afterAutospacing="0"/>
              <w:ind w:left="0" w:right="0" w:firstLine="480"/>
              <w:rPr>
                <w:rFonts w:hint="default" w:eastAsiaTheme="minorEastAsia"/>
                <w:color w:val="000000" w:themeColor="text1"/>
                <w:kern w:val="0"/>
                <w:highlight w:val="none"/>
                <w:lang w:val="en-US" w:eastAsia="zh-CN"/>
                <w14:textFill>
                  <w14:solidFill>
                    <w14:schemeClr w14:val="tx1"/>
                  </w14:solidFill>
                </w14:textFill>
              </w:rPr>
            </w:pPr>
            <w:r>
              <w:rPr>
                <w:rFonts w:hint="eastAsia" w:eastAsiaTheme="minorEastAsia"/>
                <w:color w:val="000000" w:themeColor="text1"/>
                <w:kern w:val="0"/>
                <w:highlight w:val="none"/>
                <w:lang w:val="en-US" w:eastAsia="zh-CN"/>
                <w14:textFill>
                  <w14:solidFill>
                    <w14:schemeClr w14:val="tx1"/>
                  </w14:solidFill>
                </w14:textFill>
              </w:rPr>
              <w:t>前处理槽体更换的废水均</w:t>
            </w:r>
            <w:r>
              <w:rPr>
                <w:rFonts w:hint="eastAsia" w:cs="Times New Roman"/>
                <w:color w:val="000000" w:themeColor="text1"/>
                <w:sz w:val="24"/>
                <w:lang w:val="en-US" w:eastAsia="zh-CN"/>
                <w14:textFill>
                  <w14:solidFill>
                    <w14:schemeClr w14:val="tx1"/>
                  </w14:solidFill>
                </w14:textFill>
              </w:rPr>
              <w:t>进入厂区自建污水处理站处理后排入市政污水管网。</w:t>
            </w:r>
          </w:p>
          <w:p w14:paraId="11701FE3">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纯水制备用水及排水</w:t>
            </w:r>
          </w:p>
          <w:p w14:paraId="0685915F">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00000" w:themeColor="text1"/>
                <w14:textFill>
                  <w14:solidFill>
                    <w14:schemeClr w14:val="tx1"/>
                  </w14:solidFill>
                </w14:textFill>
              </w:rPr>
            </w:pPr>
            <w:r>
              <w:rPr>
                <w:rFonts w:hint="default"/>
                <w:color w:val="000000" w:themeColor="text1"/>
                <w:kern w:val="0"/>
                <w:sz w:val="24"/>
                <w14:textFill>
                  <w14:solidFill>
                    <w14:schemeClr w14:val="tx1"/>
                  </w14:solidFill>
                </w14:textFill>
              </w:rPr>
              <w:t>项目纯水洗采用反渗透法制备的纯水，根据企业提供资料，1t的新鲜水可以产生0.7t的纯水。综上所述，本项目需制备纯水</w:t>
            </w:r>
            <w:r>
              <w:rPr>
                <w:rFonts w:hint="eastAsia"/>
                <w:color w:val="000000" w:themeColor="text1"/>
                <w:kern w:val="0"/>
                <w:sz w:val="24"/>
                <w:lang w:val="en-US" w:eastAsia="zh-CN"/>
                <w14:textFill>
                  <w14:solidFill>
                    <w14:schemeClr w14:val="tx1"/>
                  </w14:solidFill>
                </w14:textFill>
              </w:rPr>
              <w:t>48</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/a（</w:t>
            </w:r>
            <w:r>
              <w:rPr>
                <w:rFonts w:hint="eastAsia"/>
                <w:color w:val="000000" w:themeColor="text1"/>
                <w:kern w:val="0"/>
                <w:sz w:val="24"/>
                <w:lang w:val="en-US" w:eastAsia="zh-CN"/>
                <w14:textFill>
                  <w14:solidFill>
                    <w14:schemeClr w14:val="tx1"/>
                  </w14:solidFill>
                </w14:textFill>
              </w:rPr>
              <w:t>0.15</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/d），则新鲜水用量约为</w:t>
            </w:r>
            <w:r>
              <w:rPr>
                <w:rFonts w:hint="eastAsia"/>
                <w:color w:val="000000" w:themeColor="text1"/>
                <w:kern w:val="0"/>
                <w:sz w:val="24"/>
                <w:lang w:val="en-US" w:eastAsia="zh-CN"/>
                <w14:textFill>
                  <w14:solidFill>
                    <w14:schemeClr w14:val="tx1"/>
                  </w14:solidFill>
                </w14:textFill>
              </w:rPr>
              <w:t>68.571</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/a（0.</w:t>
            </w:r>
            <w:r>
              <w:rPr>
                <w:rFonts w:hint="eastAsia"/>
                <w:color w:val="000000" w:themeColor="text1"/>
                <w:kern w:val="0"/>
                <w:sz w:val="24"/>
                <w:lang w:val="en-US" w:eastAsia="zh-CN"/>
                <w14:textFill>
                  <w14:solidFill>
                    <w14:schemeClr w14:val="tx1"/>
                  </w14:solidFill>
                </w14:textFill>
              </w:rPr>
              <w:t>214</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/d）。纯水制备产生的浓水约</w:t>
            </w:r>
            <w:r>
              <w:rPr>
                <w:rFonts w:hint="eastAsia"/>
                <w:color w:val="000000" w:themeColor="text1"/>
                <w:kern w:val="0"/>
                <w:sz w:val="24"/>
                <w:lang w:val="en-US" w:eastAsia="zh-CN"/>
                <w14:textFill>
                  <w14:solidFill>
                    <w14:schemeClr w14:val="tx1"/>
                  </w14:solidFill>
                </w14:textFill>
              </w:rPr>
              <w:t>20.571</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/a（0.</w:t>
            </w:r>
            <w:r>
              <w:rPr>
                <w:rFonts w:hint="eastAsia"/>
                <w:color w:val="000000" w:themeColor="text1"/>
                <w:kern w:val="0"/>
                <w:sz w:val="24"/>
                <w:lang w:val="en-US" w:eastAsia="zh-CN"/>
                <w14:textFill>
                  <w14:solidFill>
                    <w14:schemeClr w14:val="tx1"/>
                  </w14:solidFill>
                </w14:textFill>
              </w:rPr>
              <w:t>064</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/d），产生的尾水排入市政污水管网。</w:t>
            </w:r>
          </w:p>
          <w:p w14:paraId="693EB1CF">
            <w:pPr>
              <w:keepNext w:val="0"/>
              <w:keepLines w:val="0"/>
              <w:widowControl/>
              <w:numPr>
                <w:ilvl w:val="0"/>
                <w:numId w:val="10"/>
              </w:numPr>
              <w:suppressLineNumbers w:val="0"/>
              <w:autoSpaceDE w:val="0"/>
              <w:autoSpaceDN w:val="0"/>
              <w:adjustRightInd w:val="0"/>
              <w:spacing w:before="0" w:beforeAutospacing="0" w:after="0" w:afterAutospacing="0" w:line="360" w:lineRule="auto"/>
              <w:ind w:right="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用水及排水</w:t>
            </w:r>
          </w:p>
          <w:p w14:paraId="01D102B6">
            <w:pPr>
              <w:keepNext w:val="0"/>
              <w:keepLines w:val="0"/>
              <w:widowControl/>
              <w:numPr>
                <w:ilvl w:val="0"/>
                <w:numId w:val="0"/>
              </w:numPr>
              <w:suppressLineNumbers w:val="0"/>
              <w:autoSpaceDE w:val="0"/>
              <w:autoSpaceDN w:val="0"/>
              <w:adjustRightInd w:val="0"/>
              <w:spacing w:before="0" w:beforeAutospacing="0" w:after="0" w:afterAutospacing="0" w:line="360" w:lineRule="auto"/>
              <w:ind w:left="0" w:right="0" w:firstLine="480" w:firstLineChars="200"/>
              <w:jc w:val="left"/>
              <w:rPr>
                <w:rFonts w:hint="eastAsia"/>
                <w:color w:val="000000" w:themeColor="text1"/>
                <w:kern w:val="0"/>
                <w:sz w:val="24"/>
                <w:lang w:eastAsia="zh-CN"/>
                <w14:textFill>
                  <w14:solidFill>
                    <w14:schemeClr w14:val="tx1"/>
                  </w14:solidFill>
                </w14:textFill>
              </w:rPr>
            </w:pPr>
            <w:r>
              <w:rPr>
                <w:rFonts w:hint="eastAsia" w:eastAsia="宋体"/>
                <w:bCs w:val="0"/>
                <w:color w:val="000000" w:themeColor="text1"/>
                <w:sz w:val="24"/>
                <w:szCs w:val="24"/>
                <w:lang w:val="en-US" w:eastAsia="zh-CN"/>
                <w14:textFill>
                  <w14:solidFill>
                    <w14:schemeClr w14:val="tx1"/>
                  </w14:solidFill>
                </w14:textFill>
              </w:rPr>
              <w:t>项目喷漆设置2个喷漆房，每个喷漆房设水帘柜一个，共设2个水帘柜，水帘柜配套的循环水池均为3.0m</w:t>
            </w:r>
            <w:r>
              <w:rPr>
                <w:rFonts w:hint="default" w:ascii="Arial" w:hAnsi="Arial" w:eastAsia="宋体" w:cs="Arial"/>
                <w:bCs w:val="0"/>
                <w:color w:val="000000" w:themeColor="text1"/>
                <w:sz w:val="24"/>
                <w:szCs w:val="24"/>
                <w:lang w:val="en-US" w:eastAsia="zh-CN"/>
                <w14:textFill>
                  <w14:solidFill>
                    <w14:schemeClr w14:val="tx1"/>
                  </w14:solidFill>
                </w14:textFill>
              </w:rPr>
              <w:t>×</w:t>
            </w:r>
            <w:r>
              <w:rPr>
                <w:rFonts w:hint="eastAsia" w:eastAsia="宋体"/>
                <w:bCs w:val="0"/>
                <w:color w:val="000000" w:themeColor="text1"/>
                <w:sz w:val="24"/>
                <w:szCs w:val="24"/>
                <w:lang w:val="en-US" w:eastAsia="zh-CN"/>
                <w14:textFill>
                  <w14:solidFill>
                    <w14:schemeClr w14:val="tx1"/>
                  </w14:solidFill>
                </w14:textFill>
              </w:rPr>
              <w:t>1.0m（水深0.5m），单个水帘柜内水量为1.5m</w:t>
            </w:r>
            <w:r>
              <w:rPr>
                <w:rFonts w:hint="eastAsia" w:eastAsia="宋体"/>
                <w:bCs w:val="0"/>
                <w:color w:val="000000" w:themeColor="text1"/>
                <w:sz w:val="24"/>
                <w:szCs w:val="24"/>
                <w:vertAlign w:val="superscript"/>
                <w:lang w:val="en-US" w:eastAsia="zh-CN"/>
                <w14:textFill>
                  <w14:solidFill>
                    <w14:schemeClr w14:val="tx1"/>
                  </w14:solidFill>
                </w14:textFill>
              </w:rPr>
              <w:t>3</w:t>
            </w:r>
            <w:r>
              <w:rPr>
                <w:rFonts w:hint="eastAsia" w:eastAsia="宋体"/>
                <w:bCs w:val="0"/>
                <w:color w:val="000000" w:themeColor="text1"/>
                <w:sz w:val="24"/>
                <w:szCs w:val="24"/>
                <w:lang w:val="en-US" w:eastAsia="zh-CN"/>
                <w14:textFill>
                  <w14:solidFill>
                    <w14:schemeClr w14:val="tx1"/>
                  </w14:solidFill>
                </w14:textFill>
              </w:rPr>
              <w:t>，</w:t>
            </w:r>
            <w:r>
              <w:rPr>
                <w:rFonts w:hint="default"/>
                <w:color w:val="000000" w:themeColor="text1"/>
                <w:sz w:val="24"/>
                <w14:textFill>
                  <w14:solidFill>
                    <w14:schemeClr w14:val="tx1"/>
                  </w14:solidFill>
                </w14:textFill>
              </w:rPr>
              <w:t>水帘柜水循环量为1</w:t>
            </w:r>
            <w:r>
              <w:rPr>
                <w:rFonts w:hint="eastAsia"/>
                <w:color w:val="000000" w:themeColor="text1"/>
                <w:sz w:val="24"/>
                <w:lang w:val="en-US" w:eastAsia="zh-CN"/>
                <w14:textFill>
                  <w14:solidFill>
                    <w14:schemeClr w14:val="tx1"/>
                  </w14:solidFill>
                </w14:textFill>
              </w:rPr>
              <w:t>0</w:t>
            </w:r>
            <w:r>
              <w:rPr>
                <w:rFonts w:hint="default"/>
                <w:color w:val="000000" w:themeColor="text1"/>
                <w:sz w:val="24"/>
                <w14:textFill>
                  <w14:solidFill>
                    <w14:schemeClr w14:val="tx1"/>
                  </w14:solidFill>
                </w14:textFill>
              </w:rPr>
              <w:t>m</w:t>
            </w:r>
            <w:r>
              <w:rPr>
                <w:rFonts w:hint="default"/>
                <w:color w:val="000000" w:themeColor="text1"/>
                <w:sz w:val="24"/>
                <w:vertAlign w:val="superscript"/>
                <w14:textFill>
                  <w14:solidFill>
                    <w14:schemeClr w14:val="tx1"/>
                  </w14:solidFill>
                </w14:textFill>
              </w:rPr>
              <w:t>3</w:t>
            </w:r>
            <w:r>
              <w:rPr>
                <w:rFonts w:hint="default"/>
                <w:color w:val="000000" w:themeColor="text1"/>
                <w:sz w:val="24"/>
                <w14:textFill>
                  <w14:solidFill>
                    <w14:schemeClr w14:val="tx1"/>
                  </w14:solidFill>
                </w14:textFill>
              </w:rPr>
              <w:t>/h，</w:t>
            </w:r>
            <w:r>
              <w:rPr>
                <w:rFonts w:hint="eastAsia"/>
                <w:color w:val="000000" w:themeColor="text1"/>
                <w:kern w:val="0"/>
                <w:sz w:val="24"/>
                <w:lang w:val="en-US" w:eastAsia="zh-CN"/>
                <w14:textFill>
                  <w14:solidFill>
                    <w14:schemeClr w14:val="tx1"/>
                  </w14:solidFill>
                </w14:textFill>
              </w:rPr>
              <w:t>循环水量为96000</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/a（</w:t>
            </w:r>
            <w:r>
              <w:rPr>
                <w:rFonts w:hint="eastAsia"/>
                <w:color w:val="000000" w:themeColor="text1"/>
                <w:kern w:val="0"/>
                <w:sz w:val="24"/>
                <w:lang w:val="en-US" w:eastAsia="zh-CN"/>
                <w14:textFill>
                  <w14:solidFill>
                    <w14:schemeClr w14:val="tx1"/>
                  </w14:solidFill>
                </w14:textFill>
              </w:rPr>
              <w:t>300</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/d）</w:t>
            </w:r>
            <w:r>
              <w:rPr>
                <w:rFonts w:hint="eastAsia"/>
                <w:color w:val="000000" w:themeColor="text1"/>
                <w:kern w:val="0"/>
                <w:sz w:val="24"/>
                <w:lang w:eastAsia="zh-CN"/>
                <w14:textFill>
                  <w14:solidFill>
                    <w14:schemeClr w14:val="tx1"/>
                  </w14:solidFill>
                </w14:textFill>
              </w:rPr>
              <w:t>，</w:t>
            </w:r>
            <w:r>
              <w:rPr>
                <w:rFonts w:hint="eastAsia" w:eastAsia="宋体"/>
                <w:bCs w:val="0"/>
                <w:color w:val="000000" w:themeColor="text1"/>
                <w:sz w:val="24"/>
                <w:szCs w:val="24"/>
                <w:lang w:val="en-US" w:eastAsia="zh-CN"/>
                <w14:textFill>
                  <w14:solidFill>
                    <w14:schemeClr w14:val="tx1"/>
                  </w14:solidFill>
                </w14:textFill>
              </w:rPr>
              <w:t>水帘柜水池水循环使用，考虑水分蒸发及漆渣去除等因素，需定期补充新鲜水，每5天补充1次，年运行320天，则年补充64次，每次补充水量按水帘柜水量的40%计，需补水量为76.8</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/a（0.</w:t>
            </w:r>
            <w:r>
              <w:rPr>
                <w:rFonts w:hint="eastAsia"/>
                <w:color w:val="000000" w:themeColor="text1"/>
                <w:kern w:val="0"/>
                <w:sz w:val="24"/>
                <w:lang w:val="en-US" w:eastAsia="zh-CN"/>
                <w14:textFill>
                  <w14:solidFill>
                    <w14:schemeClr w14:val="tx1"/>
                  </w14:solidFill>
                </w14:textFill>
              </w:rPr>
              <w:t>24</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/d）</w:t>
            </w:r>
            <w:r>
              <w:rPr>
                <w:rFonts w:hint="eastAsia"/>
                <w:color w:val="000000" w:themeColor="text1"/>
                <w:kern w:val="0"/>
                <w:sz w:val="24"/>
                <w:lang w:eastAsia="zh-CN"/>
                <w14:textFill>
                  <w14:solidFill>
                    <w14:schemeClr w14:val="tx1"/>
                  </w14:solidFill>
                </w14:textFill>
              </w:rPr>
              <w:t>。</w:t>
            </w:r>
          </w:p>
          <w:p w14:paraId="5E36916A">
            <w:pPr>
              <w:pStyle w:val="459"/>
              <w:keepNext w:val="0"/>
              <w:keepLines w:val="0"/>
              <w:widowControl/>
              <w:suppressLineNumbers w:val="0"/>
              <w:spacing w:before="0" w:beforeAutospacing="0" w:after="0" w:afterAutospacing="0"/>
              <w:ind w:left="0" w:right="0" w:firstLine="480"/>
              <w:rPr>
                <w:rFonts w:hint="eastAsia" w:eastAsia="宋体"/>
                <w:color w:val="000000" w:themeColor="text1"/>
                <w:lang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项目喷漆水帘柜水循环使用</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为保证循环水质和漆雾吸附效果，本环评要求建设单</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位每3个月更换一次，年更换4次，</w:t>
            </w:r>
            <w:r>
              <w:rPr>
                <w:rFonts w:hint="default"/>
                <w:color w:val="000000" w:themeColor="text1"/>
                <w14:textFill>
                  <w14:solidFill>
                    <w14:schemeClr w14:val="tx1"/>
                  </w14:solidFill>
                </w14:textFill>
              </w:rPr>
              <w:t>单次更水换量为</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3</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eastAsia"/>
                <w:color w:val="000000" w:themeColor="text1"/>
                <w:kern w:val="0"/>
                <w:sz w:val="24"/>
                <w:lang w:val="en-US" w:eastAsia="zh-CN"/>
                <w14:textFill>
                  <w14:solidFill>
                    <w14:schemeClr w14:val="tx1"/>
                  </w14:solidFill>
                </w14:textFill>
              </w:rPr>
              <w:t>，故</w:t>
            </w:r>
            <w:r>
              <w:rPr>
                <w:rFonts w:hint="default"/>
                <w:color w:val="000000" w:themeColor="text1"/>
                <w14:textFill>
                  <w14:solidFill>
                    <w14:schemeClr w14:val="tx1"/>
                  </w14:solidFill>
                </w14:textFill>
              </w:rPr>
              <w:t>年更换水量为</w:t>
            </w:r>
            <w:r>
              <w:rPr>
                <w:rFonts w:hint="eastAsia"/>
                <w:color w:val="000000" w:themeColor="text1"/>
                <w:lang w:val="en-US" w:eastAsia="zh-CN"/>
                <w14:textFill>
                  <w14:solidFill>
                    <w14:schemeClr w14:val="tx1"/>
                  </w14:solidFill>
                </w14:textFill>
              </w:rPr>
              <w:t>3</w:t>
            </w:r>
            <w:r>
              <w:rPr>
                <w:rFonts w:hint="default"/>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4=12</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/a（0.</w:t>
            </w:r>
            <w:r>
              <w:rPr>
                <w:rFonts w:hint="eastAsia"/>
                <w:color w:val="000000" w:themeColor="text1"/>
                <w:kern w:val="0"/>
                <w:sz w:val="24"/>
                <w:lang w:val="en-US" w:eastAsia="zh-CN"/>
                <w14:textFill>
                  <w14:solidFill>
                    <w14:schemeClr w14:val="tx1"/>
                  </w14:solidFill>
                </w14:textFill>
              </w:rPr>
              <w:t>0375</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/d）</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更换的废水</w:t>
            </w:r>
            <w:r>
              <w:rPr>
                <w:rFonts w:hint="eastAsia" w:cs="Times New Roman"/>
                <w:color w:val="000000" w:themeColor="text1"/>
                <w:sz w:val="24"/>
                <w:lang w:val="en-US" w:eastAsia="zh-CN"/>
                <w14:textFill>
                  <w14:solidFill>
                    <w14:schemeClr w14:val="tx1"/>
                  </w14:solidFill>
                </w14:textFill>
              </w:rPr>
              <w:t>进入厂区自建污水处理站处理后排入市政污水管网</w:t>
            </w:r>
            <w:r>
              <w:rPr>
                <w:rFonts w:hint="default"/>
                <w:color w:val="000000" w:themeColor="text1"/>
                <w14:textFill>
                  <w14:solidFill>
                    <w14:schemeClr w14:val="tx1"/>
                  </w14:solidFill>
                </w14:textFill>
              </w:rPr>
              <w:t>。</w:t>
            </w:r>
          </w:p>
          <w:p w14:paraId="6370CA12">
            <w:pPr>
              <w:keepNext w:val="0"/>
              <w:keepLines w:val="0"/>
              <w:widowControl/>
              <w:numPr>
                <w:ilvl w:val="0"/>
                <w:numId w:val="0"/>
              </w:numPr>
              <w:suppressLineNumbers w:val="0"/>
              <w:autoSpaceDE w:val="0"/>
              <w:autoSpaceDN w:val="0"/>
              <w:adjustRightInd w:val="0"/>
              <w:spacing w:before="0" w:beforeAutospacing="0" w:after="0" w:afterAutospacing="0" w:line="360" w:lineRule="auto"/>
              <w:ind w:left="0" w:right="0" w:firstLine="480" w:firstLineChars="200"/>
              <w:jc w:val="left"/>
              <w:rPr>
                <w:rFonts w:hint="eastAsia"/>
                <w:color w:val="000000" w:themeColor="text1"/>
                <w:kern w:val="0"/>
                <w:sz w:val="24"/>
                <w:lang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综上，项目喷漆水帘柜总用水量为76.8+12=88.8</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/a（</w:t>
            </w:r>
            <w:r>
              <w:rPr>
                <w:rFonts w:hint="eastAsia"/>
                <w:color w:val="000000" w:themeColor="text1"/>
                <w:kern w:val="0"/>
                <w:sz w:val="24"/>
                <w:lang w:val="en-US" w:eastAsia="zh-CN"/>
                <w14:textFill>
                  <w14:solidFill>
                    <w14:schemeClr w14:val="tx1"/>
                  </w14:solidFill>
                </w14:textFill>
              </w:rPr>
              <w:t>0.2775</w:t>
            </w:r>
            <w:r>
              <w:rPr>
                <w:rFonts w:hint="default"/>
                <w:color w:val="000000" w:themeColor="text1"/>
                <w:kern w:val="0"/>
                <w:sz w:val="24"/>
                <w14:textFill>
                  <w14:solidFill>
                    <w14:schemeClr w14:val="tx1"/>
                  </w14:solidFill>
                </w14:textFill>
              </w:rPr>
              <w:t>m</w:t>
            </w:r>
            <w:r>
              <w:rPr>
                <w:rFonts w:hint="default"/>
                <w:color w:val="000000" w:themeColor="text1"/>
                <w:kern w:val="0"/>
                <w:sz w:val="24"/>
                <w:vertAlign w:val="superscript"/>
                <w14:textFill>
                  <w14:solidFill>
                    <w14:schemeClr w14:val="tx1"/>
                  </w14:solidFill>
                </w14:textFill>
              </w:rPr>
              <w:t>3</w:t>
            </w:r>
            <w:r>
              <w:rPr>
                <w:rFonts w:hint="default"/>
                <w:color w:val="000000" w:themeColor="text1"/>
                <w:kern w:val="0"/>
                <w:sz w:val="24"/>
                <w14:textFill>
                  <w14:solidFill>
                    <w14:schemeClr w14:val="tx1"/>
                  </w14:solidFill>
                </w14:textFill>
              </w:rPr>
              <w:t>/d）</w:t>
            </w:r>
            <w:r>
              <w:rPr>
                <w:rFonts w:hint="eastAsia"/>
                <w:color w:val="000000" w:themeColor="text1"/>
                <w:kern w:val="0"/>
                <w:sz w:val="24"/>
                <w:lang w:eastAsia="zh-CN"/>
                <w14:textFill>
                  <w14:solidFill>
                    <w14:schemeClr w14:val="tx1"/>
                  </w14:solidFill>
                </w14:textFill>
              </w:rPr>
              <w:t>。</w:t>
            </w:r>
          </w:p>
          <w:p w14:paraId="26A0CE02">
            <w:pPr>
              <w:keepNext w:val="0"/>
              <w:keepLines w:val="0"/>
              <w:widowControl/>
              <w:suppressLineNumbers w:val="0"/>
              <w:adjustRightInd w:val="0"/>
              <w:spacing w:before="0" w:beforeAutospacing="0" w:after="0" w:afterAutospacing="0"/>
              <w:ind w:left="0" w:right="0"/>
              <w:jc w:val="center"/>
              <w:rPr>
                <w:rFonts w:hint="default"/>
                <w:b/>
                <w:color w:val="000000" w:themeColor="text1"/>
                <w:kern w:val="0"/>
                <w:sz w:val="24"/>
                <w:szCs w:val="20"/>
                <w:highlight w:val="none"/>
                <w:lang w:val="zh-CN"/>
                <w14:textFill>
                  <w14:solidFill>
                    <w14:schemeClr w14:val="tx1"/>
                  </w14:solidFill>
                </w14:textFill>
              </w:rPr>
            </w:pPr>
            <w:r>
              <w:rPr>
                <w:rFonts w:hint="default"/>
                <w:b/>
                <w:color w:val="000000" w:themeColor="text1"/>
                <w:kern w:val="0"/>
                <w:sz w:val="24"/>
                <w:szCs w:val="20"/>
                <w:highlight w:val="none"/>
                <w:lang w:val="zh-CN"/>
                <w14:textFill>
                  <w14:solidFill>
                    <w14:schemeClr w14:val="tx1"/>
                  </w14:solidFill>
                </w14:textFill>
              </w:rPr>
              <w:t>表</w:t>
            </w:r>
            <w:r>
              <w:rPr>
                <w:rFonts w:hint="default"/>
                <w:b/>
                <w:color w:val="000000" w:themeColor="text1"/>
                <w:kern w:val="0"/>
                <w:sz w:val="24"/>
                <w:szCs w:val="20"/>
                <w:highlight w:val="none"/>
                <w14:textFill>
                  <w14:solidFill>
                    <w14:schemeClr w14:val="tx1"/>
                  </w14:solidFill>
                </w14:textFill>
              </w:rPr>
              <w:t>2-1</w:t>
            </w:r>
            <w:r>
              <w:rPr>
                <w:rFonts w:hint="eastAsia"/>
                <w:b/>
                <w:color w:val="000000" w:themeColor="text1"/>
                <w:kern w:val="0"/>
                <w:sz w:val="24"/>
                <w:szCs w:val="20"/>
                <w:highlight w:val="none"/>
                <w:lang w:val="en-US" w:eastAsia="zh-CN"/>
                <w14:textFill>
                  <w14:solidFill>
                    <w14:schemeClr w14:val="tx1"/>
                  </w14:solidFill>
                </w14:textFill>
              </w:rPr>
              <w:t>3</w:t>
            </w:r>
            <w:r>
              <w:rPr>
                <w:rFonts w:hint="default"/>
                <w:b/>
                <w:color w:val="000000" w:themeColor="text1"/>
                <w:kern w:val="0"/>
                <w:sz w:val="24"/>
                <w:szCs w:val="20"/>
                <w:highlight w:val="none"/>
                <w:lang w:val="zh-CN"/>
                <w14:textFill>
                  <w14:solidFill>
                    <w14:schemeClr w14:val="tx1"/>
                  </w14:solidFill>
                </w14:textFill>
              </w:rPr>
              <w:t xml:space="preserve"> </w:t>
            </w:r>
            <w:r>
              <w:rPr>
                <w:rFonts w:hint="default"/>
                <w:b/>
                <w:color w:val="000000" w:themeColor="text1"/>
                <w:kern w:val="0"/>
                <w:sz w:val="24"/>
                <w:szCs w:val="20"/>
                <w:highlight w:val="none"/>
                <w14:textFill>
                  <w14:solidFill>
                    <w14:schemeClr w14:val="tx1"/>
                  </w14:solidFill>
                </w14:textFill>
              </w:rPr>
              <w:t xml:space="preserve"> 项目</w:t>
            </w:r>
            <w:r>
              <w:rPr>
                <w:rFonts w:hint="eastAsia"/>
                <w:b/>
                <w:color w:val="000000" w:themeColor="text1"/>
                <w:kern w:val="0"/>
                <w:sz w:val="24"/>
                <w:szCs w:val="20"/>
                <w:highlight w:val="none"/>
                <w:lang w:val="en-US" w:eastAsia="zh-CN"/>
                <w14:textFill>
                  <w14:solidFill>
                    <w14:schemeClr w14:val="tx1"/>
                  </w14:solidFill>
                </w14:textFill>
              </w:rPr>
              <w:t>超声波清洗</w:t>
            </w:r>
            <w:r>
              <w:rPr>
                <w:rFonts w:hint="default"/>
                <w:b/>
                <w:color w:val="000000" w:themeColor="text1"/>
                <w:kern w:val="0"/>
                <w:sz w:val="24"/>
                <w:szCs w:val="20"/>
                <w:highlight w:val="none"/>
                <w14:textFill>
                  <w14:solidFill>
                    <w14:schemeClr w14:val="tx1"/>
                  </w14:solidFill>
                </w14:textFill>
              </w:rPr>
              <w:t>及前处理线槽体</w:t>
            </w:r>
            <w:r>
              <w:rPr>
                <w:rFonts w:hint="default"/>
                <w:b/>
                <w:color w:val="000000" w:themeColor="text1"/>
                <w:kern w:val="0"/>
                <w:sz w:val="24"/>
                <w:szCs w:val="20"/>
                <w:highlight w:val="none"/>
                <w:lang w:val="zh-CN"/>
                <w14:textFill>
                  <w14:solidFill>
                    <w14:schemeClr w14:val="tx1"/>
                  </w14:solidFill>
                </w14:textFill>
              </w:rPr>
              <w:t>年用排水量核算表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24"/>
              <w:gridCol w:w="674"/>
              <w:gridCol w:w="677"/>
              <w:gridCol w:w="429"/>
              <w:gridCol w:w="792"/>
              <w:gridCol w:w="836"/>
              <w:gridCol w:w="1051"/>
              <w:gridCol w:w="700"/>
              <w:gridCol w:w="656"/>
              <w:gridCol w:w="833"/>
              <w:gridCol w:w="512"/>
              <w:gridCol w:w="787"/>
            </w:tblGrid>
            <w:tr w14:paraId="11797CC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665" w:hRule="atLeast"/>
                <w:jc w:val="center"/>
              </w:trPr>
              <w:tc>
                <w:tcPr>
                  <w:tcW w:w="655" w:type="pct"/>
                  <w:gridSpan w:val="2"/>
                  <w:vAlign w:val="center"/>
                </w:tcPr>
                <w:p w14:paraId="020BEE7C">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槽名</w:t>
                  </w:r>
                </w:p>
              </w:tc>
              <w:tc>
                <w:tcPr>
                  <w:tcW w:w="404" w:type="pct"/>
                  <w:vAlign w:val="center"/>
                </w:tcPr>
                <w:p w14:paraId="1EC8B0AA">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有效</w:t>
                  </w:r>
                </w:p>
                <w:p w14:paraId="142E2448">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容积m</w:t>
                  </w:r>
                  <w:r>
                    <w:rPr>
                      <w:rFonts w:hint="default"/>
                      <w:b/>
                      <w:bCs/>
                      <w:color w:val="000000" w:themeColor="text1"/>
                      <w:szCs w:val="21"/>
                      <w:highlight w:val="none"/>
                      <w:vertAlign w:val="superscript"/>
                      <w14:textFill>
                        <w14:solidFill>
                          <w14:schemeClr w14:val="tx1"/>
                        </w14:solidFill>
                      </w14:textFill>
                    </w:rPr>
                    <w:t>3</w:t>
                  </w:r>
                </w:p>
              </w:tc>
              <w:tc>
                <w:tcPr>
                  <w:tcW w:w="256" w:type="pct"/>
                  <w:vAlign w:val="center"/>
                </w:tcPr>
                <w:p w14:paraId="4932A351">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个数</w:t>
                  </w:r>
                </w:p>
              </w:tc>
              <w:tc>
                <w:tcPr>
                  <w:tcW w:w="473" w:type="pct"/>
                  <w:vAlign w:val="center"/>
                </w:tcPr>
                <w:p w14:paraId="36B02701">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操作方式/时间</w:t>
                  </w:r>
                </w:p>
              </w:tc>
              <w:tc>
                <w:tcPr>
                  <w:tcW w:w="499" w:type="pct"/>
                  <w:vAlign w:val="center"/>
                </w:tcPr>
                <w:p w14:paraId="1ED51D45">
                  <w:pPr>
                    <w:keepNext w:val="0"/>
                    <w:keepLines w:val="0"/>
                    <w:widowControl/>
                    <w:suppressLineNumbers w:val="0"/>
                    <w:snapToGrid w:val="0"/>
                    <w:spacing w:before="0" w:beforeAutospacing="0" w:after="0" w:afterAutospacing="0"/>
                    <w:ind w:left="0" w:right="0"/>
                    <w:jc w:val="center"/>
                    <w:rPr>
                      <w:rFonts w:hint="default"/>
                      <w:b/>
                      <w:color w:val="000000" w:themeColor="text1"/>
                      <w:kern w:val="0"/>
                      <w:szCs w:val="21"/>
                      <w:highlight w:val="none"/>
                      <w14:textFill>
                        <w14:solidFill>
                          <w14:schemeClr w14:val="tx1"/>
                        </w14:solidFill>
                      </w14:textFill>
                    </w:rPr>
                  </w:pPr>
                  <w:r>
                    <w:rPr>
                      <w:rFonts w:hint="default"/>
                      <w:b/>
                      <w:color w:val="000000" w:themeColor="text1"/>
                      <w:kern w:val="0"/>
                      <w:szCs w:val="21"/>
                      <w:highlight w:val="none"/>
                      <w14:textFill>
                        <w14:solidFill>
                          <w14:schemeClr w14:val="tx1"/>
                        </w14:solidFill>
                      </w14:textFill>
                    </w:rPr>
                    <w:t>操作</w:t>
                  </w:r>
                </w:p>
                <w:p w14:paraId="70D0939D">
                  <w:pPr>
                    <w:keepNext w:val="0"/>
                    <w:keepLines w:val="0"/>
                    <w:widowControl/>
                    <w:suppressLineNumbers w:val="0"/>
                    <w:snapToGrid w:val="0"/>
                    <w:spacing w:before="0" w:beforeAutospacing="0" w:after="0" w:afterAutospacing="0"/>
                    <w:ind w:left="0" w:right="0"/>
                    <w:jc w:val="center"/>
                    <w:rPr>
                      <w:rFonts w:hint="default"/>
                      <w:b/>
                      <w:color w:val="000000" w:themeColor="text1"/>
                      <w:kern w:val="0"/>
                      <w:szCs w:val="21"/>
                      <w:highlight w:val="none"/>
                      <w14:textFill>
                        <w14:solidFill>
                          <w14:schemeClr w14:val="tx1"/>
                        </w14:solidFill>
                      </w14:textFill>
                    </w:rPr>
                  </w:pPr>
                  <w:r>
                    <w:rPr>
                      <w:rFonts w:hint="default"/>
                      <w:b/>
                      <w:color w:val="000000" w:themeColor="text1"/>
                      <w:kern w:val="0"/>
                      <w:szCs w:val="21"/>
                      <w:highlight w:val="none"/>
                      <w14:textFill>
                        <w14:solidFill>
                          <w14:schemeClr w14:val="tx1"/>
                        </w14:solidFill>
                      </w14:textFill>
                    </w:rPr>
                    <w:t>温度</w:t>
                  </w:r>
                </w:p>
                <w:p w14:paraId="0CBBED0B">
                  <w:pPr>
                    <w:keepNext w:val="0"/>
                    <w:keepLines w:val="0"/>
                    <w:widowControl/>
                    <w:suppressLineNumbers w:val="0"/>
                    <w:snapToGrid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color w:val="000000" w:themeColor="text1"/>
                      <w:kern w:val="0"/>
                      <w:szCs w:val="21"/>
                      <w:highlight w:val="none"/>
                      <w14:textFill>
                        <w14:solidFill>
                          <w14:schemeClr w14:val="tx1"/>
                        </w14:solidFill>
                      </w14:textFill>
                    </w:rPr>
                    <w:t>（℃）</w:t>
                  </w:r>
                </w:p>
              </w:tc>
              <w:tc>
                <w:tcPr>
                  <w:tcW w:w="627" w:type="pct"/>
                  <w:vAlign w:val="center"/>
                </w:tcPr>
                <w:p w14:paraId="20816DFA">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更换</w:t>
                  </w:r>
                </w:p>
                <w:p w14:paraId="2064E564">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频次</w:t>
                  </w:r>
                </w:p>
              </w:tc>
              <w:tc>
                <w:tcPr>
                  <w:tcW w:w="418" w:type="pct"/>
                  <w:vAlign w:val="center"/>
                </w:tcPr>
                <w:p w14:paraId="59C0F170">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废槽液量m</w:t>
                  </w:r>
                  <w:r>
                    <w:rPr>
                      <w:rFonts w:hint="default"/>
                      <w:b/>
                      <w:bCs/>
                      <w:color w:val="000000" w:themeColor="text1"/>
                      <w:szCs w:val="21"/>
                      <w:highlight w:val="none"/>
                      <w:vertAlign w:val="superscript"/>
                      <w14:textFill>
                        <w14:solidFill>
                          <w14:schemeClr w14:val="tx1"/>
                        </w14:solidFill>
                      </w14:textFill>
                    </w:rPr>
                    <w:t>3</w:t>
                  </w:r>
                </w:p>
              </w:tc>
              <w:tc>
                <w:tcPr>
                  <w:tcW w:w="391" w:type="pct"/>
                  <w:vAlign w:val="center"/>
                </w:tcPr>
                <w:p w14:paraId="59FB33CC">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损耗量%</w:t>
                  </w:r>
                </w:p>
              </w:tc>
              <w:tc>
                <w:tcPr>
                  <w:tcW w:w="497" w:type="pct"/>
                  <w:vAlign w:val="center"/>
                </w:tcPr>
                <w:p w14:paraId="14FEF859">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槽液用量m</w:t>
                  </w:r>
                  <w:r>
                    <w:rPr>
                      <w:rFonts w:hint="default"/>
                      <w:b/>
                      <w:bCs/>
                      <w:color w:val="000000" w:themeColor="text1"/>
                      <w:szCs w:val="21"/>
                      <w:highlight w:val="none"/>
                      <w:vertAlign w:val="superscript"/>
                      <w14:textFill>
                        <w14:solidFill>
                          <w14:schemeClr w14:val="tx1"/>
                        </w14:solidFill>
                      </w14:textFill>
                    </w:rPr>
                    <w:t>3</w:t>
                  </w:r>
                </w:p>
              </w:tc>
              <w:tc>
                <w:tcPr>
                  <w:tcW w:w="305" w:type="pct"/>
                  <w:vAlign w:val="center"/>
                </w:tcPr>
                <w:p w14:paraId="72C4F053">
                  <w:pPr>
                    <w:keepNext w:val="0"/>
                    <w:keepLines w:val="0"/>
                    <w:suppressLineNumbers w:val="0"/>
                    <w:spacing w:before="0" w:beforeAutospacing="0" w:after="0" w:afterAutospacing="0"/>
                    <w:ind w:left="0" w:right="0"/>
                    <w:jc w:val="center"/>
                    <w:rPr>
                      <w:rFonts w:hint="default" w:eastAsia="宋体"/>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用水类型</w:t>
                  </w:r>
                </w:p>
              </w:tc>
              <w:tc>
                <w:tcPr>
                  <w:tcW w:w="470" w:type="pct"/>
                  <w:vAlign w:val="center"/>
                </w:tcPr>
                <w:p w14:paraId="148A1CA4">
                  <w:pPr>
                    <w:keepNext w:val="0"/>
                    <w:keepLines w:val="0"/>
                    <w:suppressLineNumbers w:val="0"/>
                    <w:spacing w:before="0" w:beforeAutospacing="0" w:after="0" w:afterAutospacing="0"/>
                    <w:ind w:left="0" w:right="0"/>
                    <w:jc w:val="center"/>
                    <w:rPr>
                      <w:rFonts w:hint="default"/>
                      <w:b/>
                      <w:bCs/>
                      <w:color w:val="000000" w:themeColor="text1"/>
                      <w:szCs w:val="21"/>
                      <w:highlight w:val="none"/>
                      <w14:textFill>
                        <w14:solidFill>
                          <w14:schemeClr w14:val="tx1"/>
                        </w14:solidFill>
                      </w14:textFill>
                    </w:rPr>
                  </w:pPr>
                  <w:r>
                    <w:rPr>
                      <w:rFonts w:hint="default"/>
                      <w:b/>
                      <w:bCs/>
                      <w:color w:val="000000" w:themeColor="text1"/>
                      <w:szCs w:val="21"/>
                      <w:highlight w:val="none"/>
                      <w14:textFill>
                        <w14:solidFill>
                          <w14:schemeClr w14:val="tx1"/>
                        </w14:solidFill>
                      </w14:textFill>
                    </w:rPr>
                    <w:t>配比</w:t>
                  </w:r>
                </w:p>
              </w:tc>
            </w:tr>
            <w:tr w14:paraId="1E75B17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19" w:hRule="atLeast"/>
                <w:jc w:val="center"/>
              </w:trPr>
              <w:tc>
                <w:tcPr>
                  <w:tcW w:w="253" w:type="pct"/>
                  <w:shd w:val="clear" w:color="auto" w:fill="auto"/>
                  <w:vAlign w:val="center"/>
                </w:tcPr>
                <w:p w14:paraId="7CB560F1">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高压清洗机</w:t>
                  </w:r>
                </w:p>
              </w:tc>
              <w:tc>
                <w:tcPr>
                  <w:tcW w:w="402" w:type="pct"/>
                  <w:shd w:val="clear" w:color="auto" w:fill="auto"/>
                  <w:vAlign w:val="center"/>
                </w:tcPr>
                <w:p w14:paraId="5554FEA7">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highlight w:val="none"/>
                      <w14:textFill>
                        <w14:solidFill>
                          <w14:schemeClr w14:val="tx1"/>
                        </w14:solidFill>
                      </w14:textFill>
                    </w:rPr>
                  </w:pPr>
                  <w:r>
                    <w:rPr>
                      <w:rFonts w:hint="default"/>
                      <w:color w:val="000000" w:themeColor="text1"/>
                      <w:kern w:val="0"/>
                      <w:szCs w:val="21"/>
                      <w:highlight w:val="none"/>
                      <w:lang w:bidi="ar"/>
                      <w14:textFill>
                        <w14:solidFill>
                          <w14:schemeClr w14:val="tx1"/>
                        </w14:solidFill>
                      </w14:textFill>
                    </w:rPr>
                    <w:t>清洗槽</w:t>
                  </w:r>
                </w:p>
              </w:tc>
              <w:tc>
                <w:tcPr>
                  <w:tcW w:w="404" w:type="pct"/>
                  <w:shd w:val="clear" w:color="auto" w:fill="auto"/>
                  <w:vAlign w:val="center"/>
                </w:tcPr>
                <w:p w14:paraId="38BA254F">
                  <w:pPr>
                    <w:keepNext w:val="0"/>
                    <w:keepLines w:val="0"/>
                    <w:widowControl/>
                    <w:suppressLineNumbers w:val="0"/>
                    <w:snapToGrid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1.2</w:t>
                  </w:r>
                </w:p>
              </w:tc>
              <w:tc>
                <w:tcPr>
                  <w:tcW w:w="256" w:type="pct"/>
                  <w:shd w:val="clear" w:color="auto" w:fill="auto"/>
                  <w:vAlign w:val="center"/>
                </w:tcPr>
                <w:p w14:paraId="58361CF7">
                  <w:pPr>
                    <w:keepNext w:val="0"/>
                    <w:keepLines w:val="0"/>
                    <w:suppressLineNumbers w:val="0"/>
                    <w:spacing w:before="0" w:beforeAutospacing="0" w:after="0" w:afterAutospacing="0"/>
                    <w:ind w:left="0" w:right="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p>
              </w:tc>
              <w:tc>
                <w:tcPr>
                  <w:tcW w:w="473" w:type="pct"/>
                  <w:shd w:val="clear" w:color="auto" w:fill="auto"/>
                  <w:vAlign w:val="center"/>
                </w:tcPr>
                <w:p w14:paraId="2F0224B2">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浸泡；</w:t>
                  </w:r>
                  <w:r>
                    <w:rPr>
                      <w:rFonts w:hint="eastAsia"/>
                      <w:color w:val="000000" w:themeColor="text1"/>
                      <w:szCs w:val="21"/>
                      <w:highlight w:val="none"/>
                      <w:lang w:val="en-US" w:eastAsia="zh-CN"/>
                      <w14:textFill>
                        <w14:solidFill>
                          <w14:schemeClr w14:val="tx1"/>
                        </w14:solidFill>
                      </w14:textFill>
                    </w:rPr>
                    <w:t>5</w:t>
                  </w:r>
                  <w:r>
                    <w:rPr>
                      <w:rFonts w:hint="default"/>
                      <w:color w:val="000000" w:themeColor="text1"/>
                      <w:szCs w:val="21"/>
                      <w:highlight w:val="none"/>
                      <w14:textFill>
                        <w14:solidFill>
                          <w14:schemeClr w14:val="tx1"/>
                        </w14:solidFill>
                      </w14:textFill>
                    </w:rPr>
                    <w:t>min</w:t>
                  </w:r>
                </w:p>
              </w:tc>
              <w:tc>
                <w:tcPr>
                  <w:tcW w:w="499" w:type="pct"/>
                  <w:vAlign w:val="center"/>
                </w:tcPr>
                <w:p w14:paraId="004688E6">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40</w:t>
                  </w:r>
                </w:p>
              </w:tc>
              <w:tc>
                <w:tcPr>
                  <w:tcW w:w="627" w:type="pct"/>
                  <w:vAlign w:val="center"/>
                </w:tcPr>
                <w:p w14:paraId="2CFE96EE">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r>
                    <w:rPr>
                      <w:rFonts w:hint="default"/>
                      <w:color w:val="000000" w:themeColor="text1"/>
                      <w:szCs w:val="21"/>
                      <w:highlight w:val="none"/>
                      <w14:textFill>
                        <w14:solidFill>
                          <w14:schemeClr w14:val="tx1"/>
                        </w14:solidFill>
                      </w14:textFill>
                    </w:rPr>
                    <w:t>次/年</w:t>
                  </w:r>
                </w:p>
              </w:tc>
              <w:tc>
                <w:tcPr>
                  <w:tcW w:w="418" w:type="pct"/>
                  <w:vAlign w:val="center"/>
                </w:tcPr>
                <w:p w14:paraId="3DF0E4DB">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43.2</w:t>
                  </w:r>
                </w:p>
              </w:tc>
              <w:tc>
                <w:tcPr>
                  <w:tcW w:w="391" w:type="pct"/>
                  <w:vAlign w:val="center"/>
                </w:tcPr>
                <w:p w14:paraId="5D8876DB">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90%</w:t>
                  </w:r>
                </w:p>
              </w:tc>
              <w:tc>
                <w:tcPr>
                  <w:tcW w:w="497" w:type="pct"/>
                  <w:shd w:val="clear" w:color="auto" w:fill="auto"/>
                  <w:vAlign w:val="center"/>
                </w:tcPr>
                <w:p w14:paraId="57448C78">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48</w:t>
                  </w:r>
                </w:p>
              </w:tc>
              <w:tc>
                <w:tcPr>
                  <w:tcW w:w="305" w:type="pct"/>
                  <w:vAlign w:val="center"/>
                </w:tcPr>
                <w:p w14:paraId="7E3681E7">
                  <w:pPr>
                    <w:keepNext w:val="0"/>
                    <w:keepLines w:val="0"/>
                    <w:suppressLineNumbers w:val="0"/>
                    <w:spacing w:before="0" w:beforeAutospacing="0" w:after="0" w:afterAutospacing="0"/>
                    <w:ind w:left="0" w:right="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纯水</w:t>
                  </w:r>
                </w:p>
              </w:tc>
              <w:tc>
                <w:tcPr>
                  <w:tcW w:w="470" w:type="pct"/>
                  <w:vAlign w:val="center"/>
                </w:tcPr>
                <w:p w14:paraId="7BCDBA6C">
                  <w:pPr>
                    <w:keepNext w:val="0"/>
                    <w:keepLines w:val="0"/>
                    <w:suppressLineNumbers w:val="0"/>
                    <w:spacing w:before="0" w:beforeAutospacing="0" w:after="0" w:afterAutospacing="0"/>
                    <w:ind w:left="0" w:right="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w:t>
                  </w:r>
                </w:p>
              </w:tc>
            </w:tr>
            <w:tr w14:paraId="31A05E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3" w:type="pct"/>
                  <w:vMerge w:val="restart"/>
                  <w:vAlign w:val="center"/>
                </w:tcPr>
                <w:p w14:paraId="14124C20">
                  <w:pPr>
                    <w:keepNext w:val="0"/>
                    <w:keepLines w:val="0"/>
                    <w:suppressLineNumbers w:val="0"/>
                    <w:spacing w:before="0" w:beforeAutospacing="0" w:after="0" w:afterAutospacing="0"/>
                    <w:ind w:left="0" w:right="0"/>
                    <w:jc w:val="center"/>
                    <w:rPr>
                      <w:rFonts w:hint="default"/>
                      <w:color w:val="000000" w:themeColor="text1"/>
                      <w:kern w:val="0"/>
                      <w:szCs w:val="21"/>
                      <w:highlight w:val="none"/>
                      <w:lang w:bidi="ar"/>
                      <w14:textFill>
                        <w14:solidFill>
                          <w14:schemeClr w14:val="tx1"/>
                        </w14:solidFill>
                      </w14:textFill>
                    </w:rPr>
                  </w:pPr>
                  <w:r>
                    <w:rPr>
                      <w:rFonts w:hint="default"/>
                      <w:color w:val="000000" w:themeColor="text1"/>
                      <w:kern w:val="0"/>
                      <w:szCs w:val="21"/>
                      <w:highlight w:val="none"/>
                      <w:lang w:bidi="ar"/>
                      <w14:textFill>
                        <w14:solidFill>
                          <w14:schemeClr w14:val="tx1"/>
                        </w14:solidFill>
                      </w14:textFill>
                    </w:rPr>
                    <w:t>前处理线槽体</w:t>
                  </w:r>
                </w:p>
              </w:tc>
              <w:tc>
                <w:tcPr>
                  <w:tcW w:w="402" w:type="pct"/>
                  <w:shd w:val="clear" w:color="auto" w:fill="auto"/>
                  <w:vAlign w:val="center"/>
                </w:tcPr>
                <w:p w14:paraId="1CFF19E8">
                  <w:pPr>
                    <w:keepNext w:val="0"/>
                    <w:keepLines w:val="0"/>
                    <w:widowControl/>
                    <w:suppressLineNumbers w:val="0"/>
                    <w:snapToGrid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预脱脂</w:t>
                  </w:r>
                </w:p>
              </w:tc>
              <w:tc>
                <w:tcPr>
                  <w:tcW w:w="404" w:type="pct"/>
                  <w:shd w:val="clear" w:color="auto" w:fill="auto"/>
                  <w:vAlign w:val="center"/>
                </w:tcPr>
                <w:p w14:paraId="0191883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1.44</w:t>
                  </w:r>
                </w:p>
              </w:tc>
              <w:tc>
                <w:tcPr>
                  <w:tcW w:w="256" w:type="pct"/>
                  <w:shd w:val="clear" w:color="auto" w:fill="auto"/>
                  <w:vAlign w:val="center"/>
                </w:tcPr>
                <w:p w14:paraId="4722680A">
                  <w:pPr>
                    <w:keepNext w:val="0"/>
                    <w:keepLines w:val="0"/>
                    <w:suppressLineNumbers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1</w:t>
                  </w:r>
                </w:p>
              </w:tc>
              <w:tc>
                <w:tcPr>
                  <w:tcW w:w="473" w:type="pct"/>
                  <w:shd w:val="clear" w:color="auto" w:fill="auto"/>
                  <w:vAlign w:val="center"/>
                </w:tcPr>
                <w:p w14:paraId="0DFE0FDE">
                  <w:pPr>
                    <w:keepNext w:val="0"/>
                    <w:keepLines w:val="0"/>
                    <w:widowControl/>
                    <w:suppressLineNumbers w:val="0"/>
                    <w:spacing w:before="0" w:beforeAutospacing="0" w:after="0" w:afterAutospacing="0" w:line="260" w:lineRule="exact"/>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喷淋；</w:t>
                  </w:r>
                  <w:r>
                    <w:rPr>
                      <w:rFonts w:hint="eastAsia"/>
                      <w:color w:val="000000" w:themeColor="text1"/>
                      <w:kern w:val="0"/>
                      <w:szCs w:val="21"/>
                      <w:highlight w:val="none"/>
                      <w:lang w:val="en-US" w:eastAsia="zh-CN"/>
                      <w14:textFill>
                        <w14:solidFill>
                          <w14:schemeClr w14:val="tx1"/>
                        </w14:solidFill>
                      </w14:textFill>
                    </w:rPr>
                    <w:t>1</w:t>
                  </w:r>
                  <w:r>
                    <w:rPr>
                      <w:rFonts w:hint="default"/>
                      <w:color w:val="000000" w:themeColor="text1"/>
                      <w:kern w:val="0"/>
                      <w:szCs w:val="21"/>
                      <w:highlight w:val="none"/>
                      <w14:textFill>
                        <w14:solidFill>
                          <w14:schemeClr w14:val="tx1"/>
                        </w14:solidFill>
                      </w14:textFill>
                    </w:rPr>
                    <w:t>min</w:t>
                  </w:r>
                </w:p>
              </w:tc>
              <w:tc>
                <w:tcPr>
                  <w:tcW w:w="499" w:type="pct"/>
                  <w:shd w:val="clear" w:color="auto" w:fill="auto"/>
                  <w:vAlign w:val="center"/>
                </w:tcPr>
                <w:p w14:paraId="66B37A7C">
                  <w:pPr>
                    <w:keepNext w:val="0"/>
                    <w:keepLines w:val="0"/>
                    <w:widowControl/>
                    <w:suppressLineNumbers w:val="0"/>
                    <w:spacing w:before="0" w:beforeAutospacing="0" w:after="0" w:afterAutospacing="0" w:line="260" w:lineRule="exact"/>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color w:val="000000" w:themeColor="text1"/>
                      <w:kern w:val="0"/>
                      <w:szCs w:val="21"/>
                      <w14:textFill>
                        <w14:solidFill>
                          <w14:schemeClr w14:val="tx1"/>
                        </w14:solidFill>
                      </w14:textFill>
                    </w:rPr>
                    <w:t>40-</w:t>
                  </w:r>
                  <w:r>
                    <w:rPr>
                      <w:rFonts w:hint="eastAsia"/>
                      <w:color w:val="000000" w:themeColor="text1"/>
                      <w:kern w:val="0"/>
                      <w:szCs w:val="21"/>
                      <w:lang w:val="en-US" w:eastAsia="zh-CN"/>
                      <w14:textFill>
                        <w14:solidFill>
                          <w14:schemeClr w14:val="tx1"/>
                        </w14:solidFill>
                      </w14:textFill>
                    </w:rPr>
                    <w:t>60</w:t>
                  </w:r>
                </w:p>
              </w:tc>
              <w:tc>
                <w:tcPr>
                  <w:tcW w:w="627" w:type="pct"/>
                  <w:vAlign w:val="center"/>
                </w:tcPr>
                <w:p w14:paraId="0E6EC1CA">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default"/>
                      <w:color w:val="000000" w:themeColor="text1"/>
                      <w:szCs w:val="21"/>
                      <w:highlight w:val="none"/>
                      <w14:textFill>
                        <w14:solidFill>
                          <w14:schemeClr w14:val="tx1"/>
                        </w14:solidFill>
                      </w14:textFill>
                    </w:rPr>
                    <w:t>次/年</w:t>
                  </w:r>
                </w:p>
              </w:tc>
              <w:tc>
                <w:tcPr>
                  <w:tcW w:w="418" w:type="pct"/>
                  <w:vAlign w:val="center"/>
                </w:tcPr>
                <w:p w14:paraId="4A0D1496">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8.64</w:t>
                  </w:r>
                </w:p>
              </w:tc>
              <w:tc>
                <w:tcPr>
                  <w:tcW w:w="391" w:type="pct"/>
                  <w:vAlign w:val="center"/>
                </w:tcPr>
                <w:p w14:paraId="72DB8CCA">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90%</w:t>
                  </w:r>
                </w:p>
              </w:tc>
              <w:tc>
                <w:tcPr>
                  <w:tcW w:w="497" w:type="pct"/>
                  <w:vAlign w:val="center"/>
                </w:tcPr>
                <w:p w14:paraId="6BB51A77">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9.6</w:t>
                  </w:r>
                </w:p>
              </w:tc>
              <w:tc>
                <w:tcPr>
                  <w:tcW w:w="305" w:type="pct"/>
                  <w:vMerge w:val="restart"/>
                  <w:vAlign w:val="center"/>
                </w:tcPr>
                <w:p w14:paraId="7BF940E8">
                  <w:pPr>
                    <w:keepNext w:val="0"/>
                    <w:keepLines w:val="0"/>
                    <w:suppressLineNumbers w:val="0"/>
                    <w:spacing w:before="0" w:beforeAutospacing="0" w:after="0" w:afterAutospacing="0"/>
                    <w:ind w:left="0" w:right="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自来水</w:t>
                  </w:r>
                </w:p>
              </w:tc>
              <w:tc>
                <w:tcPr>
                  <w:tcW w:w="470" w:type="pct"/>
                  <w:vMerge w:val="restart"/>
                  <w:vAlign w:val="center"/>
                </w:tcPr>
                <w:p w14:paraId="1DC53574">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5%脱脂剂</w:t>
                  </w:r>
                </w:p>
              </w:tc>
            </w:tr>
            <w:tr w14:paraId="320698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3" w:type="pct"/>
                  <w:vMerge w:val="continue"/>
                  <w:vAlign w:val="center"/>
                </w:tcPr>
                <w:p w14:paraId="70473023">
                  <w:pPr>
                    <w:keepNext w:val="0"/>
                    <w:keepLines w:val="0"/>
                    <w:suppressLineNumbers w:val="0"/>
                    <w:spacing w:before="0" w:beforeAutospacing="0" w:after="0" w:afterAutospacing="0"/>
                    <w:ind w:left="0" w:right="0"/>
                    <w:jc w:val="center"/>
                    <w:rPr>
                      <w:rFonts w:hint="default"/>
                      <w:color w:val="000000" w:themeColor="text1"/>
                      <w:kern w:val="0"/>
                      <w:szCs w:val="21"/>
                      <w:highlight w:val="none"/>
                      <w:lang w:bidi="ar"/>
                      <w14:textFill>
                        <w14:solidFill>
                          <w14:schemeClr w14:val="tx1"/>
                        </w14:solidFill>
                      </w14:textFill>
                    </w:rPr>
                  </w:pPr>
                </w:p>
              </w:tc>
              <w:tc>
                <w:tcPr>
                  <w:tcW w:w="402" w:type="pct"/>
                  <w:shd w:val="clear" w:color="auto" w:fill="auto"/>
                  <w:vAlign w:val="center"/>
                </w:tcPr>
                <w:p w14:paraId="760E91FE">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主脱脂槽</w:t>
                  </w:r>
                </w:p>
              </w:tc>
              <w:tc>
                <w:tcPr>
                  <w:tcW w:w="404" w:type="pct"/>
                  <w:shd w:val="clear" w:color="auto" w:fill="auto"/>
                  <w:vAlign w:val="center"/>
                </w:tcPr>
                <w:p w14:paraId="2803B1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2.88</w:t>
                  </w:r>
                </w:p>
              </w:tc>
              <w:tc>
                <w:tcPr>
                  <w:tcW w:w="256" w:type="pct"/>
                  <w:shd w:val="clear" w:color="auto" w:fill="auto"/>
                  <w:vAlign w:val="center"/>
                </w:tcPr>
                <w:p w14:paraId="30AB9889">
                  <w:pPr>
                    <w:keepNext w:val="0"/>
                    <w:keepLines w:val="0"/>
                    <w:suppressLineNumbers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1</w:t>
                  </w:r>
                </w:p>
              </w:tc>
              <w:tc>
                <w:tcPr>
                  <w:tcW w:w="473" w:type="pct"/>
                  <w:shd w:val="clear" w:color="auto" w:fill="auto"/>
                  <w:vAlign w:val="center"/>
                </w:tcPr>
                <w:p w14:paraId="420799AF">
                  <w:pPr>
                    <w:keepNext w:val="0"/>
                    <w:keepLines w:val="0"/>
                    <w:widowControl/>
                    <w:suppressLineNumbers w:val="0"/>
                    <w:spacing w:before="0" w:beforeAutospacing="0" w:after="0" w:afterAutospacing="0" w:line="260" w:lineRule="exact"/>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喷淋；</w:t>
                  </w:r>
                  <w:r>
                    <w:rPr>
                      <w:rFonts w:hint="eastAsia"/>
                      <w:color w:val="000000" w:themeColor="text1"/>
                      <w:kern w:val="0"/>
                      <w:szCs w:val="21"/>
                      <w:lang w:val="en-US" w:eastAsia="zh-CN"/>
                      <w14:textFill>
                        <w14:solidFill>
                          <w14:schemeClr w14:val="tx1"/>
                        </w14:solidFill>
                      </w14:textFill>
                    </w:rPr>
                    <w:t>40s</w:t>
                  </w:r>
                </w:p>
              </w:tc>
              <w:tc>
                <w:tcPr>
                  <w:tcW w:w="499" w:type="pct"/>
                  <w:shd w:val="clear" w:color="auto" w:fill="auto"/>
                  <w:vAlign w:val="center"/>
                </w:tcPr>
                <w:p w14:paraId="389FA737">
                  <w:pPr>
                    <w:keepNext w:val="0"/>
                    <w:keepLines w:val="0"/>
                    <w:widowControl/>
                    <w:suppressLineNumbers w:val="0"/>
                    <w:spacing w:before="0" w:beforeAutospacing="0" w:after="0" w:afterAutospacing="0" w:line="260" w:lineRule="exact"/>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color w:val="000000" w:themeColor="text1"/>
                      <w:kern w:val="0"/>
                      <w:szCs w:val="21"/>
                      <w14:textFill>
                        <w14:solidFill>
                          <w14:schemeClr w14:val="tx1"/>
                        </w14:solidFill>
                      </w14:textFill>
                    </w:rPr>
                    <w:t>40-</w:t>
                  </w:r>
                  <w:r>
                    <w:rPr>
                      <w:rFonts w:hint="eastAsia"/>
                      <w:color w:val="000000" w:themeColor="text1"/>
                      <w:kern w:val="0"/>
                      <w:szCs w:val="21"/>
                      <w:lang w:val="en-US" w:eastAsia="zh-CN"/>
                      <w14:textFill>
                        <w14:solidFill>
                          <w14:schemeClr w14:val="tx1"/>
                        </w14:solidFill>
                      </w14:textFill>
                    </w:rPr>
                    <w:t>60</w:t>
                  </w:r>
                </w:p>
              </w:tc>
              <w:tc>
                <w:tcPr>
                  <w:tcW w:w="627" w:type="pct"/>
                  <w:vAlign w:val="center"/>
                </w:tcPr>
                <w:p w14:paraId="5FDEBE3F">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w:t>
                  </w:r>
                  <w:r>
                    <w:rPr>
                      <w:rFonts w:hint="default"/>
                      <w:color w:val="000000" w:themeColor="text1"/>
                      <w:szCs w:val="21"/>
                      <w:highlight w:val="none"/>
                      <w14:textFill>
                        <w14:solidFill>
                          <w14:schemeClr w14:val="tx1"/>
                        </w14:solidFill>
                      </w14:textFill>
                    </w:rPr>
                    <w:t>次/年</w:t>
                  </w:r>
                </w:p>
              </w:tc>
              <w:tc>
                <w:tcPr>
                  <w:tcW w:w="418" w:type="pct"/>
                  <w:vAlign w:val="center"/>
                </w:tcPr>
                <w:p w14:paraId="7F356BD9">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11.52</w:t>
                  </w:r>
                </w:p>
              </w:tc>
              <w:tc>
                <w:tcPr>
                  <w:tcW w:w="391" w:type="pct"/>
                  <w:vAlign w:val="center"/>
                </w:tcPr>
                <w:p w14:paraId="3F77526D">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90%</w:t>
                  </w:r>
                </w:p>
              </w:tc>
              <w:tc>
                <w:tcPr>
                  <w:tcW w:w="497" w:type="pct"/>
                  <w:vAlign w:val="center"/>
                </w:tcPr>
                <w:p w14:paraId="5FA1FD55">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12.8</w:t>
                  </w:r>
                </w:p>
              </w:tc>
              <w:tc>
                <w:tcPr>
                  <w:tcW w:w="305" w:type="pct"/>
                  <w:vMerge w:val="continue"/>
                  <w:vAlign w:val="center"/>
                </w:tcPr>
                <w:p w14:paraId="648088A2">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470" w:type="pct"/>
                  <w:vMerge w:val="continue"/>
                  <w:vAlign w:val="center"/>
                </w:tcPr>
                <w:p w14:paraId="0903AB26">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r>
            <w:tr w14:paraId="067E576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627" w:hRule="atLeast"/>
                <w:jc w:val="center"/>
              </w:trPr>
              <w:tc>
                <w:tcPr>
                  <w:tcW w:w="253" w:type="pct"/>
                  <w:vMerge w:val="continue"/>
                  <w:vAlign w:val="center"/>
                </w:tcPr>
                <w:p w14:paraId="4206E555">
                  <w:pPr>
                    <w:keepNext w:val="0"/>
                    <w:keepLines w:val="0"/>
                    <w:suppressLineNumbers w:val="0"/>
                    <w:spacing w:before="0" w:beforeAutospacing="0" w:after="0" w:afterAutospacing="0"/>
                    <w:ind w:left="0" w:right="0"/>
                    <w:jc w:val="center"/>
                    <w:rPr>
                      <w:rFonts w:hint="default"/>
                      <w:color w:val="000000" w:themeColor="text1"/>
                      <w:kern w:val="0"/>
                      <w:szCs w:val="21"/>
                      <w:highlight w:val="none"/>
                      <w:lang w:bidi="ar"/>
                      <w14:textFill>
                        <w14:solidFill>
                          <w14:schemeClr w14:val="tx1"/>
                        </w14:solidFill>
                      </w14:textFill>
                    </w:rPr>
                  </w:pPr>
                </w:p>
              </w:tc>
              <w:tc>
                <w:tcPr>
                  <w:tcW w:w="402" w:type="pct"/>
                  <w:shd w:val="clear" w:color="auto" w:fill="auto"/>
                  <w:vAlign w:val="center"/>
                </w:tcPr>
                <w:p w14:paraId="1D98C253">
                  <w:pPr>
                    <w:keepNext w:val="0"/>
                    <w:keepLines w:val="0"/>
                    <w:widowControl/>
                    <w:suppressLineNumbers w:val="0"/>
                    <w:snapToGrid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水洗槽1</w:t>
                  </w:r>
                </w:p>
              </w:tc>
              <w:tc>
                <w:tcPr>
                  <w:tcW w:w="404" w:type="pct"/>
                  <w:shd w:val="clear" w:color="auto" w:fill="auto"/>
                  <w:vAlign w:val="center"/>
                </w:tcPr>
                <w:p w14:paraId="0863B8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1.44</w:t>
                  </w:r>
                </w:p>
              </w:tc>
              <w:tc>
                <w:tcPr>
                  <w:tcW w:w="256" w:type="pct"/>
                  <w:shd w:val="clear" w:color="auto" w:fill="auto"/>
                  <w:vAlign w:val="center"/>
                </w:tcPr>
                <w:p w14:paraId="74B66C36">
                  <w:pPr>
                    <w:keepNext w:val="0"/>
                    <w:keepLines w:val="0"/>
                    <w:suppressLineNumbers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1</w:t>
                  </w:r>
                </w:p>
              </w:tc>
              <w:tc>
                <w:tcPr>
                  <w:tcW w:w="473" w:type="pct"/>
                  <w:vMerge w:val="restart"/>
                  <w:vAlign w:val="center"/>
                </w:tcPr>
                <w:p w14:paraId="15625399">
                  <w:pPr>
                    <w:keepNext w:val="0"/>
                    <w:keepLines w:val="0"/>
                    <w:widowControl/>
                    <w:suppressLineNumbers w:val="0"/>
                    <w:spacing w:before="0" w:beforeAutospacing="0" w:after="0" w:afterAutospacing="0" w:line="260" w:lineRule="exact"/>
                    <w:ind w:left="0" w:right="0"/>
                    <w:jc w:val="center"/>
                    <w:rPr>
                      <w:rFonts w:hint="default"/>
                      <w:color w:val="000000" w:themeColor="text1"/>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喷淋</w:t>
                  </w:r>
                  <w:r>
                    <w:rPr>
                      <w:rFonts w:hint="eastAsia"/>
                      <w:color w:val="000000" w:themeColor="text1"/>
                      <w:kern w:val="0"/>
                      <w:szCs w:val="21"/>
                      <w:highlight w:val="none"/>
                      <w:lang w:val="en-US" w:eastAsia="zh-CN"/>
                      <w14:textFill>
                        <w14:solidFill>
                          <w14:schemeClr w14:val="tx1"/>
                        </w14:solidFill>
                      </w14:textFill>
                    </w:rPr>
                    <w:t>+</w:t>
                  </w:r>
                  <w:r>
                    <w:rPr>
                      <w:rFonts w:hint="default"/>
                      <w:color w:val="000000" w:themeColor="text1"/>
                      <w:kern w:val="0"/>
                      <w:szCs w:val="21"/>
                      <w:highlight w:val="none"/>
                      <w14:textFill>
                        <w14:solidFill>
                          <w14:schemeClr w14:val="tx1"/>
                        </w14:solidFill>
                      </w14:textFill>
                    </w:rPr>
                    <w:t>逆流漂洗，连续排放；1min</w:t>
                  </w:r>
                </w:p>
              </w:tc>
              <w:tc>
                <w:tcPr>
                  <w:tcW w:w="499" w:type="pct"/>
                  <w:shd w:val="clear" w:color="auto" w:fill="auto"/>
                  <w:vAlign w:val="center"/>
                </w:tcPr>
                <w:p w14:paraId="782DD15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color w:val="000000" w:themeColor="text1"/>
                      <w:kern w:val="0"/>
                      <w:szCs w:val="21"/>
                      <w14:textFill>
                        <w14:solidFill>
                          <w14:schemeClr w14:val="tx1"/>
                        </w14:solidFill>
                      </w14:textFill>
                    </w:rPr>
                    <w:t>常温</w:t>
                  </w:r>
                </w:p>
              </w:tc>
              <w:tc>
                <w:tcPr>
                  <w:tcW w:w="627" w:type="pct"/>
                  <w:vMerge w:val="restart"/>
                  <w:vAlign w:val="center"/>
                </w:tcPr>
                <w:p w14:paraId="74BEFCA5">
                  <w:pPr>
                    <w:keepNext w:val="0"/>
                    <w:keepLines w:val="0"/>
                    <w:suppressLineNumbers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溢流</w:t>
                  </w:r>
                </w:p>
                <w:p w14:paraId="10C52916">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排放0.</w:t>
                  </w:r>
                  <w:r>
                    <w:rPr>
                      <w:rFonts w:hint="eastAsia"/>
                      <w:color w:val="000000" w:themeColor="text1"/>
                      <w:kern w:val="0"/>
                      <w:szCs w:val="21"/>
                      <w:highlight w:val="none"/>
                      <w:lang w:val="en-US" w:eastAsia="zh-CN"/>
                      <w14:textFill>
                        <w14:solidFill>
                          <w14:schemeClr w14:val="tx1"/>
                        </w14:solidFill>
                      </w14:textFill>
                    </w:rPr>
                    <w:t>1</w:t>
                  </w:r>
                  <w:r>
                    <w:rPr>
                      <w:rFonts w:hint="default"/>
                      <w:color w:val="000000" w:themeColor="text1"/>
                      <w:kern w:val="0"/>
                      <w:szCs w:val="21"/>
                      <w:highlight w:val="none"/>
                      <w14:textFill>
                        <w14:solidFill>
                          <w14:schemeClr w14:val="tx1"/>
                        </w14:solidFill>
                      </w14:textFill>
                    </w:rPr>
                    <w:t>m</w:t>
                  </w:r>
                  <w:r>
                    <w:rPr>
                      <w:rFonts w:hint="default"/>
                      <w:color w:val="000000" w:themeColor="text1"/>
                      <w:kern w:val="0"/>
                      <w:szCs w:val="21"/>
                      <w:highlight w:val="none"/>
                      <w:vertAlign w:val="superscript"/>
                      <w14:textFill>
                        <w14:solidFill>
                          <w14:schemeClr w14:val="tx1"/>
                        </w14:solidFill>
                      </w14:textFill>
                    </w:rPr>
                    <w:t>3</w:t>
                  </w:r>
                  <w:r>
                    <w:rPr>
                      <w:rFonts w:hint="default"/>
                      <w:color w:val="000000" w:themeColor="text1"/>
                      <w:kern w:val="0"/>
                      <w:szCs w:val="21"/>
                      <w:highlight w:val="none"/>
                      <w14:textFill>
                        <w14:solidFill>
                          <w14:schemeClr w14:val="tx1"/>
                        </w14:solidFill>
                      </w14:textFill>
                    </w:rPr>
                    <w:t>/h</w:t>
                  </w:r>
                </w:p>
              </w:tc>
              <w:tc>
                <w:tcPr>
                  <w:tcW w:w="418" w:type="pct"/>
                  <w:vMerge w:val="restart"/>
                  <w:vAlign w:val="center"/>
                </w:tcPr>
                <w:p w14:paraId="76C5FE3E">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eastAsia="宋体"/>
                      <w:color w:val="000000" w:themeColor="text1"/>
                      <w:szCs w:val="21"/>
                      <w:highlight w:val="none"/>
                      <w:lang w:val="en-US" w:eastAsia="zh-CN"/>
                      <w14:textFill>
                        <w14:solidFill>
                          <w14:schemeClr w14:val="tx1"/>
                        </w14:solidFill>
                      </w14:textFill>
                    </w:rPr>
                    <w:t>960</w:t>
                  </w:r>
                </w:p>
              </w:tc>
              <w:tc>
                <w:tcPr>
                  <w:tcW w:w="391" w:type="pct"/>
                  <w:vMerge w:val="restart"/>
                  <w:vAlign w:val="center"/>
                </w:tcPr>
                <w:p w14:paraId="24B774C8">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90%</w:t>
                  </w:r>
                </w:p>
              </w:tc>
              <w:tc>
                <w:tcPr>
                  <w:tcW w:w="497" w:type="pct"/>
                  <w:vMerge w:val="restart"/>
                  <w:vAlign w:val="center"/>
                </w:tcPr>
                <w:p w14:paraId="2D07D1A2">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eastAsia="宋体"/>
                      <w:color w:val="000000" w:themeColor="text1"/>
                      <w:szCs w:val="21"/>
                      <w:highlight w:val="none"/>
                      <w:lang w:val="en-US" w:eastAsia="zh-CN"/>
                      <w14:textFill>
                        <w14:solidFill>
                          <w14:schemeClr w14:val="tx1"/>
                        </w14:solidFill>
                      </w14:textFill>
                    </w:rPr>
                    <w:t>1066.666</w:t>
                  </w:r>
                </w:p>
              </w:tc>
              <w:tc>
                <w:tcPr>
                  <w:tcW w:w="305" w:type="pct"/>
                  <w:vMerge w:val="continue"/>
                  <w:vAlign w:val="center"/>
                </w:tcPr>
                <w:p w14:paraId="2E1C1F59">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470" w:type="pct"/>
                  <w:vMerge w:val="restart"/>
                  <w:vAlign w:val="center"/>
                </w:tcPr>
                <w:p w14:paraId="2001F770">
                  <w:pPr>
                    <w:keepNext w:val="0"/>
                    <w:keepLines w:val="0"/>
                    <w:suppressLineNumbers w:val="0"/>
                    <w:spacing w:before="0" w:beforeAutospacing="0" w:after="0" w:afterAutospacing="0"/>
                    <w:ind w:left="0" w:right="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w:t>
                  </w:r>
                </w:p>
              </w:tc>
            </w:tr>
            <w:tr w14:paraId="3EDC326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3" w:type="pct"/>
                  <w:vMerge w:val="continue"/>
                  <w:vAlign w:val="center"/>
                </w:tcPr>
                <w:p w14:paraId="37EB2052">
                  <w:pPr>
                    <w:keepNext w:val="0"/>
                    <w:keepLines w:val="0"/>
                    <w:suppressLineNumbers w:val="0"/>
                    <w:spacing w:before="0" w:beforeAutospacing="0" w:after="0" w:afterAutospacing="0"/>
                    <w:ind w:left="0" w:right="0"/>
                    <w:jc w:val="center"/>
                    <w:rPr>
                      <w:rFonts w:hint="default"/>
                      <w:color w:val="000000" w:themeColor="text1"/>
                      <w:kern w:val="0"/>
                      <w:szCs w:val="21"/>
                      <w:highlight w:val="none"/>
                      <w:lang w:bidi="ar"/>
                      <w14:textFill>
                        <w14:solidFill>
                          <w14:schemeClr w14:val="tx1"/>
                        </w14:solidFill>
                      </w14:textFill>
                    </w:rPr>
                  </w:pPr>
                </w:p>
              </w:tc>
              <w:tc>
                <w:tcPr>
                  <w:tcW w:w="402" w:type="pct"/>
                  <w:shd w:val="clear" w:color="auto" w:fill="auto"/>
                  <w:vAlign w:val="center"/>
                </w:tcPr>
                <w:p w14:paraId="5243BBD6">
                  <w:pPr>
                    <w:keepNext w:val="0"/>
                    <w:keepLines w:val="0"/>
                    <w:widowControl/>
                    <w:suppressLineNumbers w:val="0"/>
                    <w:snapToGrid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水洗槽2</w:t>
                  </w:r>
                </w:p>
              </w:tc>
              <w:tc>
                <w:tcPr>
                  <w:tcW w:w="404" w:type="pct"/>
                  <w:shd w:val="clear" w:color="auto" w:fill="auto"/>
                  <w:vAlign w:val="center"/>
                </w:tcPr>
                <w:p w14:paraId="0B89D6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1.44</w:t>
                  </w:r>
                </w:p>
              </w:tc>
              <w:tc>
                <w:tcPr>
                  <w:tcW w:w="256" w:type="pct"/>
                  <w:shd w:val="clear" w:color="auto" w:fill="auto"/>
                  <w:vAlign w:val="center"/>
                </w:tcPr>
                <w:p w14:paraId="41FAFEA8">
                  <w:pPr>
                    <w:keepNext w:val="0"/>
                    <w:keepLines w:val="0"/>
                    <w:suppressLineNumbers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1</w:t>
                  </w:r>
                </w:p>
              </w:tc>
              <w:tc>
                <w:tcPr>
                  <w:tcW w:w="473" w:type="pct"/>
                  <w:vMerge w:val="continue"/>
                  <w:vAlign w:val="center"/>
                </w:tcPr>
                <w:p w14:paraId="550840A8">
                  <w:pPr>
                    <w:keepNext w:val="0"/>
                    <w:keepLines w:val="0"/>
                    <w:widowControl/>
                    <w:suppressLineNumbers w:val="0"/>
                    <w:snapToGrid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499" w:type="pct"/>
                  <w:shd w:val="clear" w:color="auto" w:fill="auto"/>
                  <w:vAlign w:val="center"/>
                </w:tcPr>
                <w:p w14:paraId="38A54DC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color w:val="000000" w:themeColor="text1"/>
                      <w:kern w:val="0"/>
                      <w:szCs w:val="21"/>
                      <w14:textFill>
                        <w14:solidFill>
                          <w14:schemeClr w14:val="tx1"/>
                        </w14:solidFill>
                      </w14:textFill>
                    </w:rPr>
                    <w:t>常温</w:t>
                  </w:r>
                </w:p>
              </w:tc>
              <w:tc>
                <w:tcPr>
                  <w:tcW w:w="627" w:type="pct"/>
                  <w:vMerge w:val="continue"/>
                  <w:vAlign w:val="center"/>
                </w:tcPr>
                <w:p w14:paraId="38A51EC9">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418" w:type="pct"/>
                  <w:vMerge w:val="continue"/>
                  <w:vAlign w:val="center"/>
                </w:tcPr>
                <w:p w14:paraId="319AE2E8">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391" w:type="pct"/>
                  <w:vMerge w:val="continue"/>
                  <w:vAlign w:val="center"/>
                </w:tcPr>
                <w:p w14:paraId="1DFFA89D">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497" w:type="pct"/>
                  <w:vMerge w:val="continue"/>
                  <w:vAlign w:val="center"/>
                </w:tcPr>
                <w:p w14:paraId="73F449B3">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305" w:type="pct"/>
                  <w:vMerge w:val="continue"/>
                  <w:vAlign w:val="center"/>
                </w:tcPr>
                <w:p w14:paraId="7DBC60D8">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470" w:type="pct"/>
                  <w:vMerge w:val="continue"/>
                  <w:vAlign w:val="center"/>
                </w:tcPr>
                <w:p w14:paraId="5FE327C4">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r>
            <w:tr w14:paraId="0E7A15B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3" w:type="pct"/>
                  <w:vMerge w:val="continue"/>
                  <w:vAlign w:val="center"/>
                </w:tcPr>
                <w:p w14:paraId="2085B371">
                  <w:pPr>
                    <w:keepNext w:val="0"/>
                    <w:keepLines w:val="0"/>
                    <w:suppressLineNumbers w:val="0"/>
                    <w:spacing w:before="0" w:beforeAutospacing="0" w:after="0" w:afterAutospacing="0"/>
                    <w:ind w:left="0" w:right="0"/>
                    <w:jc w:val="center"/>
                    <w:rPr>
                      <w:rFonts w:hint="default"/>
                      <w:color w:val="000000" w:themeColor="text1"/>
                      <w:kern w:val="0"/>
                      <w:szCs w:val="21"/>
                      <w:highlight w:val="none"/>
                      <w:lang w:bidi="ar"/>
                      <w14:textFill>
                        <w14:solidFill>
                          <w14:schemeClr w14:val="tx1"/>
                        </w14:solidFill>
                      </w14:textFill>
                    </w:rPr>
                  </w:pPr>
                </w:p>
              </w:tc>
              <w:tc>
                <w:tcPr>
                  <w:tcW w:w="402" w:type="pct"/>
                  <w:shd w:val="clear" w:color="auto" w:fill="auto"/>
                  <w:vAlign w:val="center"/>
                </w:tcPr>
                <w:p w14:paraId="4441C7B9">
                  <w:pPr>
                    <w:keepNext w:val="0"/>
                    <w:keepLines w:val="0"/>
                    <w:suppressLineNumbers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硅烷槽</w:t>
                  </w:r>
                </w:p>
              </w:tc>
              <w:tc>
                <w:tcPr>
                  <w:tcW w:w="404" w:type="pct"/>
                  <w:shd w:val="clear" w:color="auto" w:fill="auto"/>
                  <w:vAlign w:val="center"/>
                </w:tcPr>
                <w:p w14:paraId="2A97DD9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1.44</w:t>
                  </w:r>
                </w:p>
              </w:tc>
              <w:tc>
                <w:tcPr>
                  <w:tcW w:w="256" w:type="pct"/>
                  <w:shd w:val="clear" w:color="auto" w:fill="auto"/>
                  <w:vAlign w:val="center"/>
                </w:tcPr>
                <w:p w14:paraId="1F1D04CF">
                  <w:pPr>
                    <w:keepNext w:val="0"/>
                    <w:keepLines w:val="0"/>
                    <w:suppressLineNumbers w:val="0"/>
                    <w:spacing w:before="0" w:beforeAutospacing="0" w:after="0" w:afterAutospacing="0"/>
                    <w:ind w:left="0" w:right="0"/>
                    <w:jc w:val="center"/>
                    <w:rPr>
                      <w:rFonts w:hint="default"/>
                      <w:color w:val="000000" w:themeColor="text1"/>
                      <w:kern w:val="0"/>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1</w:t>
                  </w:r>
                </w:p>
              </w:tc>
              <w:tc>
                <w:tcPr>
                  <w:tcW w:w="473" w:type="pct"/>
                  <w:vAlign w:val="center"/>
                </w:tcPr>
                <w:p w14:paraId="374E44F4">
                  <w:pPr>
                    <w:keepNext w:val="0"/>
                    <w:keepLines w:val="0"/>
                    <w:widowControl/>
                    <w:suppressLineNumbers w:val="0"/>
                    <w:snapToGrid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kern w:val="0"/>
                      <w:szCs w:val="21"/>
                      <w:highlight w:val="none"/>
                      <w14:textFill>
                        <w14:solidFill>
                          <w14:schemeClr w14:val="tx1"/>
                        </w14:solidFill>
                      </w14:textFill>
                    </w:rPr>
                    <w:t>喷淋；</w:t>
                  </w:r>
                  <w:r>
                    <w:rPr>
                      <w:rFonts w:hint="eastAsia"/>
                      <w:color w:val="000000" w:themeColor="text1"/>
                      <w:kern w:val="0"/>
                      <w:szCs w:val="21"/>
                      <w:lang w:val="en-US" w:eastAsia="zh-CN"/>
                      <w14:textFill>
                        <w14:solidFill>
                          <w14:schemeClr w14:val="tx1"/>
                        </w14:solidFill>
                      </w14:textFill>
                    </w:rPr>
                    <w:t>90s</w:t>
                  </w:r>
                </w:p>
              </w:tc>
              <w:tc>
                <w:tcPr>
                  <w:tcW w:w="499" w:type="pct"/>
                  <w:shd w:val="clear" w:color="auto" w:fill="auto"/>
                  <w:vAlign w:val="center"/>
                </w:tcPr>
                <w:p w14:paraId="50B8109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25-45</w:t>
                  </w:r>
                </w:p>
              </w:tc>
              <w:tc>
                <w:tcPr>
                  <w:tcW w:w="627" w:type="pct"/>
                  <w:vAlign w:val="center"/>
                </w:tcPr>
                <w:p w14:paraId="40625E48">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default"/>
                      <w:color w:val="000000" w:themeColor="text1"/>
                      <w:szCs w:val="21"/>
                      <w:highlight w:val="none"/>
                      <w14:textFill>
                        <w14:solidFill>
                          <w14:schemeClr w14:val="tx1"/>
                        </w14:solidFill>
                      </w14:textFill>
                    </w:rPr>
                    <w:t>次/年</w:t>
                  </w:r>
                </w:p>
              </w:tc>
              <w:tc>
                <w:tcPr>
                  <w:tcW w:w="418" w:type="pct"/>
                  <w:vAlign w:val="center"/>
                </w:tcPr>
                <w:p w14:paraId="18C7C4AE">
                  <w:pPr>
                    <w:keepNext w:val="0"/>
                    <w:keepLines w:val="0"/>
                    <w:suppressLineNumbers w:val="0"/>
                    <w:spacing w:before="0" w:beforeAutospacing="0" w:after="0" w:afterAutospacing="0"/>
                    <w:ind w:left="0" w:right="0"/>
                    <w:jc w:val="both"/>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2.88</w:t>
                  </w:r>
                </w:p>
              </w:tc>
              <w:tc>
                <w:tcPr>
                  <w:tcW w:w="391" w:type="pct"/>
                  <w:vAlign w:val="center"/>
                </w:tcPr>
                <w:p w14:paraId="42D0F67E">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90%</w:t>
                  </w:r>
                </w:p>
              </w:tc>
              <w:tc>
                <w:tcPr>
                  <w:tcW w:w="497" w:type="pct"/>
                  <w:vAlign w:val="center"/>
                </w:tcPr>
                <w:p w14:paraId="658D0ADA">
                  <w:pPr>
                    <w:keepNext w:val="0"/>
                    <w:keepLines w:val="0"/>
                    <w:suppressLineNumbers w:val="0"/>
                    <w:spacing w:before="0" w:beforeAutospacing="0" w:after="0" w:afterAutospacing="0"/>
                    <w:ind w:left="0" w:right="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3.2</w:t>
                  </w:r>
                </w:p>
              </w:tc>
              <w:tc>
                <w:tcPr>
                  <w:tcW w:w="305" w:type="pct"/>
                  <w:vMerge w:val="continue"/>
                  <w:vAlign w:val="center"/>
                </w:tcPr>
                <w:p w14:paraId="53E88138">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p>
              </w:tc>
              <w:tc>
                <w:tcPr>
                  <w:tcW w:w="470" w:type="pct"/>
                  <w:vAlign w:val="center"/>
                </w:tcPr>
                <w:p w14:paraId="6EE6272F">
                  <w:pPr>
                    <w:keepNext w:val="0"/>
                    <w:keepLines w:val="0"/>
                    <w:suppressLineNumbers w:val="0"/>
                    <w:spacing w:before="0" w:beforeAutospacing="0" w:after="0" w:afterAutospacing="0"/>
                    <w:ind w:left="0" w:right="0"/>
                    <w:jc w:val="center"/>
                    <w:rPr>
                      <w:rFonts w:hint="default"/>
                      <w:color w:val="000000" w:themeColor="text1"/>
                      <w:szCs w:val="21"/>
                      <w:highlight w:val="none"/>
                      <w14:textFill>
                        <w14:solidFill>
                          <w14:schemeClr w14:val="tx1"/>
                        </w14:solidFill>
                      </w14:textFill>
                    </w:rPr>
                  </w:pPr>
                  <w:r>
                    <w:rPr>
                      <w:rFonts w:hint="default"/>
                      <w:color w:val="000000" w:themeColor="text1"/>
                      <w:szCs w:val="21"/>
                      <w:highlight w:val="none"/>
                      <w14:textFill>
                        <w14:solidFill>
                          <w14:schemeClr w14:val="tx1"/>
                        </w14:solidFill>
                      </w14:textFill>
                    </w:rPr>
                    <w:t>5%硅烷剂</w:t>
                  </w:r>
                </w:p>
              </w:tc>
            </w:tr>
          </w:tbl>
          <w:p w14:paraId="36A5FE77">
            <w:pPr>
              <w:keepNext w:val="0"/>
              <w:keepLines w:val="0"/>
              <w:widowControl/>
              <w:numPr>
                <w:ilvl w:val="0"/>
                <w:numId w:val="0"/>
              </w:numPr>
              <w:suppressLineNumbers w:val="0"/>
              <w:autoSpaceDE w:val="0"/>
              <w:autoSpaceDN w:val="0"/>
              <w:adjustRightInd w:val="0"/>
              <w:spacing w:before="0" w:beforeAutospacing="0" w:after="0" w:afterAutospacing="0" w:line="360" w:lineRule="auto"/>
              <w:ind w:left="0" w:right="0" w:firstLine="480" w:firstLineChars="200"/>
              <w:jc w:val="left"/>
              <w:rPr>
                <w:rFonts w:hint="eastAsia"/>
                <w:color w:val="000000" w:themeColor="text1"/>
                <w:kern w:val="0"/>
                <w:sz w:val="24"/>
                <w:lang w:val="en-US" w:eastAsia="zh-CN"/>
                <w14:textFill>
                  <w14:solidFill>
                    <w14:schemeClr w14:val="tx1"/>
                  </w14:solidFill>
                </w14:textFill>
              </w:rPr>
            </w:pPr>
          </w:p>
          <w:p w14:paraId="6EBB9D69">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本项目水平衡见下图。</w:t>
            </w:r>
          </w:p>
          <w:p w14:paraId="1C2D3215">
            <w:pPr>
              <w:keepNext w:val="0"/>
              <w:keepLines w:val="0"/>
              <w:suppressLineNumbers w:val="0"/>
              <w:autoSpaceDE w:val="0"/>
              <w:autoSpaceDN w:val="0"/>
              <w:adjustRightInd w:val="0"/>
              <w:spacing w:before="0" w:beforeAutospacing="0" w:after="0" w:afterAutospacing="0" w:line="360" w:lineRule="auto"/>
              <w:ind w:left="0" w:right="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object>
                <v:shape id="_x0000_i1027" o:spt="75" type="#_x0000_t75" style="height:530.9pt;width:423.1pt;" o:ole="t" filled="f" o:preferrelative="t" stroked="f" coordsize="21600,21600">
                  <v:path/>
                  <v:fill on="f" focussize="0,0"/>
                  <v:stroke on="f"/>
                  <v:imagedata r:id="rId16" o:title=""/>
                  <o:lock v:ext="edit" aspectratio="f"/>
                  <w10:wrap type="none"/>
                  <w10:anchorlock/>
                </v:shape>
                <o:OLEObject Type="Embed" ProgID="Visio.Drawing.11" ShapeID="_x0000_i1027" DrawAspect="Content" ObjectID="_1468075727" r:id="rId15">
                  <o:LockedField>false</o:LockedField>
                </o:OLEObject>
              </w:object>
            </w:r>
          </w:p>
          <w:p w14:paraId="68C01D71">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图2-</w:t>
            </w:r>
            <w:r>
              <w:rPr>
                <w:rFonts w:hint="eastAsia" w:cs="Times New Roman"/>
                <w:b/>
                <w:color w:val="000000" w:themeColor="text1"/>
                <w:sz w:val="24"/>
                <w:highlight w:val="none"/>
                <w:lang w:val="en-US" w:eastAsia="zh-CN"/>
                <w14:textFill>
                  <w14:solidFill>
                    <w14:schemeClr w14:val="tx1"/>
                  </w14:solidFill>
                </w14:textFill>
              </w:rPr>
              <w:t>3</w:t>
            </w:r>
            <w:r>
              <w:rPr>
                <w:rFonts w:hint="default" w:ascii="Times New Roman" w:hAnsi="Times New Roman" w:cs="Times New Roman"/>
                <w:b/>
                <w:color w:val="000000" w:themeColor="text1"/>
                <w:sz w:val="24"/>
                <w:highlight w:val="none"/>
                <w14:textFill>
                  <w14:solidFill>
                    <w14:schemeClr w14:val="tx1"/>
                  </w14:solidFill>
                </w14:textFill>
              </w:rPr>
              <w:t xml:space="preserve">  本项目水平衡</w:t>
            </w:r>
            <w:r>
              <w:rPr>
                <w:rFonts w:hint="default"/>
                <w:color w:val="000000" w:themeColor="text1"/>
                <w14:textFill>
                  <w14:solidFill>
                    <w14:schemeClr w14:val="tx1"/>
                  </w14:solidFill>
                </w14:textFill>
              </w:rPr>
              <w:commentReference w:id="22"/>
            </w:r>
            <w:r>
              <w:rPr>
                <w:rFonts w:hint="default" w:ascii="Times New Roman" w:hAnsi="Times New Roman" w:cs="Times New Roman"/>
                <w:b/>
                <w:color w:val="000000" w:themeColor="text1"/>
                <w:sz w:val="24"/>
                <w:highlight w:val="none"/>
                <w14:textFill>
                  <w14:solidFill>
                    <w14:schemeClr w14:val="tx1"/>
                  </w14:solidFill>
                </w14:textFill>
              </w:rPr>
              <w:t>图（m</w:t>
            </w:r>
            <w:r>
              <w:rPr>
                <w:rFonts w:hint="default" w:ascii="Times New Roman" w:hAnsi="Times New Roman" w:cs="Times New Roman"/>
                <w:b/>
                <w:color w:val="000000" w:themeColor="text1"/>
                <w:sz w:val="24"/>
                <w:highlight w:val="none"/>
                <w:vertAlign w:val="superscript"/>
                <w14:textFill>
                  <w14:solidFill>
                    <w14:schemeClr w14:val="tx1"/>
                  </w14:solidFill>
                </w14:textFill>
              </w:rPr>
              <w:t>3</w:t>
            </w:r>
            <w:r>
              <w:rPr>
                <w:rFonts w:hint="default" w:ascii="Times New Roman" w:hAnsi="Times New Roman" w:cs="Times New Roman"/>
                <w:b/>
                <w:color w:val="000000" w:themeColor="text1"/>
                <w:sz w:val="24"/>
                <w:highlight w:val="none"/>
                <w14:textFill>
                  <w14:solidFill>
                    <w14:schemeClr w14:val="tx1"/>
                  </w14:solidFill>
                </w14:textFill>
              </w:rPr>
              <w:t>/d）</w:t>
            </w:r>
          </w:p>
          <w:p w14:paraId="54B63BB0">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8、项目平面布局合理性</w:t>
            </w:r>
            <w:r>
              <w:rPr>
                <w:rFonts w:hint="default"/>
                <w:color w:val="000000" w:themeColor="text1"/>
                <w14:textFill>
                  <w14:solidFill>
                    <w14:schemeClr w14:val="tx1"/>
                  </w14:solidFill>
                </w14:textFill>
              </w:rPr>
              <w:commentReference w:id="23"/>
            </w:r>
          </w:p>
          <w:p w14:paraId="5A563DF4">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24"/>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本项目租赁</w:t>
            </w:r>
            <w:r>
              <w:rPr>
                <w:rFonts w:hint="eastAsia" w:cs="Times New Roman"/>
                <w:color w:val="000000" w:themeColor="text1"/>
                <w:sz w:val="24"/>
                <w:highlight w:val="none"/>
                <w:lang w:eastAsia="zh-CN"/>
                <w14:textFill>
                  <w14:solidFill>
                    <w14:schemeClr w14:val="tx1"/>
                  </w14:solidFill>
                </w14:textFill>
              </w:rPr>
              <w:t>安徽省芜湖市湾沚区新芜经济开发区芜屯快速通道3699号02幢2号厂房</w:t>
            </w:r>
            <w:r>
              <w:rPr>
                <w:rFonts w:hint="default" w:ascii="Times New Roman" w:hAnsi="Times New Roman" w:cs="Times New Roman"/>
                <w:color w:val="000000" w:themeColor="text1"/>
                <w:kern w:val="24"/>
                <w:sz w:val="24"/>
                <w14:textFill>
                  <w14:solidFill>
                    <w14:schemeClr w14:val="tx1"/>
                  </w14:solidFill>
                </w14:textFill>
              </w:rPr>
              <w:t>内建设“</w:t>
            </w:r>
            <w:r>
              <w:rPr>
                <w:rFonts w:hint="eastAsia" w:cs="Times New Roman"/>
                <w:color w:val="000000" w:themeColor="text1"/>
                <w:sz w:val="24"/>
                <w:highlight w:val="none"/>
                <w:lang w:eastAsia="zh-CN"/>
                <w14:textFill>
                  <w14:solidFill>
                    <w14:schemeClr w14:val="tx1"/>
                  </w14:solidFill>
                </w14:textFill>
              </w:rPr>
              <w:t>汽车零部件、通讯五金部件及光电设备配件加工项目</w:t>
            </w:r>
            <w:r>
              <w:rPr>
                <w:rFonts w:hint="default" w:ascii="Times New Roman" w:hAnsi="Times New Roman" w:cs="Times New Roman"/>
                <w:color w:val="000000" w:themeColor="text1"/>
                <w:kern w:val="24"/>
                <w:sz w:val="24"/>
                <w14:textFill>
                  <w14:solidFill>
                    <w14:schemeClr w14:val="tx1"/>
                  </w14:solidFill>
                </w14:textFill>
              </w:rPr>
              <w:t>”，不涉及土建。</w:t>
            </w:r>
            <w:r>
              <w:rPr>
                <w:rFonts w:hint="default" w:ascii="Times New Roman" w:hAnsi="Times New Roman" w:cs="Times New Roman"/>
                <w:color w:val="000000" w:themeColor="text1"/>
                <w:kern w:val="24"/>
                <w:sz w:val="24"/>
                <w:highlight w:val="none"/>
                <w14:textFill>
                  <w14:solidFill>
                    <w14:schemeClr w14:val="tx1"/>
                  </w14:solidFill>
                </w14:textFill>
              </w:rPr>
              <w:t>厂房为矩形，主体1F，</w:t>
            </w:r>
            <w:r>
              <w:rPr>
                <w:rFonts w:hint="default" w:ascii="Times New Roman" w:hAnsi="Times New Roman" w:cs="Times New Roman"/>
                <w:color w:val="000000" w:themeColor="text1"/>
                <w:sz w:val="24"/>
                <w:highlight w:val="none"/>
                <w14:textFill>
                  <w14:solidFill>
                    <w14:schemeClr w14:val="tx1"/>
                  </w14:solidFill>
                </w14:textFill>
              </w:rPr>
              <w:t>总建筑面积</w:t>
            </w:r>
            <w:r>
              <w:rPr>
                <w:rFonts w:hint="eastAsia" w:cs="Times New Roman"/>
                <w:bCs/>
                <w:color w:val="000000" w:themeColor="text1"/>
                <w:sz w:val="24"/>
                <w:highlight w:val="none"/>
                <w:lang w:eastAsia="zh-CN"/>
                <w14:textFill>
                  <w14:solidFill>
                    <w14:schemeClr w14:val="tx1"/>
                  </w14:solidFill>
                </w14:textFill>
              </w:rPr>
              <w:t>5817.6</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kern w:val="24"/>
                <w:sz w:val="24"/>
                <w:highlight w:val="none"/>
                <w14:textFill>
                  <w14:solidFill>
                    <w14:schemeClr w14:val="tx1"/>
                  </w14:solidFill>
                </w14:textFill>
              </w:rPr>
              <w:t>。</w:t>
            </w:r>
            <w:r>
              <w:rPr>
                <w:rFonts w:hint="default" w:ascii="Times New Roman" w:hAnsi="Times New Roman" w:cs="Times New Roman"/>
                <w:color w:val="000000" w:themeColor="text1"/>
                <w:kern w:val="24"/>
                <w:sz w:val="24"/>
                <w14:textFill>
                  <w14:solidFill>
                    <w14:schemeClr w14:val="tx1"/>
                  </w14:solidFill>
                </w14:textFill>
              </w:rPr>
              <w:t>设有</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喷漆区、喷粉线、超声波清洗区、机加工区、喷砂打磨区</w:t>
            </w:r>
            <w:r>
              <w:rPr>
                <w:rFonts w:hint="eastAsia" w:eastAsia="宋体" w:cs="Times New Roman"/>
                <w:color w:val="000000" w:themeColor="text1"/>
                <w:sz w:val="24"/>
                <w:highlight w:val="none"/>
                <w:lang w:val="en-US" w:eastAsia="zh-CN"/>
                <w14:textFill>
                  <w14:solidFill>
                    <w14:schemeClr w14:val="tx1"/>
                  </w14:solidFill>
                </w14:textFill>
              </w:rPr>
              <w:t>、原料区、成品区</w:t>
            </w:r>
            <w:r>
              <w:rPr>
                <w:rFonts w:hint="default" w:ascii="Times New Roman" w:hAnsi="Times New Roman" w:eastAsia="宋体" w:cs="Times New Roman"/>
                <w:color w:val="000000" w:themeColor="text1"/>
                <w:sz w:val="24"/>
                <w:highlight w:val="none"/>
                <w14:textFill>
                  <w14:solidFill>
                    <w14:schemeClr w14:val="tx1"/>
                  </w14:solidFill>
                </w14:textFill>
              </w:rPr>
              <w:t>等</w:t>
            </w:r>
            <w:r>
              <w:rPr>
                <w:rFonts w:hint="default" w:ascii="Times New Roman" w:hAnsi="Times New Roman" w:cs="Times New Roman"/>
                <w:color w:val="000000" w:themeColor="text1"/>
                <w:kern w:val="24"/>
                <w:sz w:val="24"/>
                <w14:textFill>
                  <w14:solidFill>
                    <w14:schemeClr w14:val="tx1"/>
                  </w14:solidFill>
                </w14:textFill>
              </w:rPr>
              <w:t>；办公区位于厂房西侧；</w:t>
            </w:r>
            <w:r>
              <w:rPr>
                <w:rFonts w:hint="eastAsia" w:cs="Times New Roman"/>
                <w:color w:val="000000" w:themeColor="text1"/>
                <w:kern w:val="24"/>
                <w:sz w:val="24"/>
                <w:lang w:val="en-US" w:eastAsia="zh-CN"/>
                <w14:textFill>
                  <w14:solidFill>
                    <w14:schemeClr w14:val="tx1"/>
                  </w14:solidFill>
                </w14:textFill>
              </w:rPr>
              <w:t>化学品仓库、</w:t>
            </w:r>
            <w:r>
              <w:rPr>
                <w:rFonts w:hint="default" w:ascii="Times New Roman" w:hAnsi="Times New Roman" w:cs="Times New Roman"/>
                <w:color w:val="000000" w:themeColor="text1"/>
                <w:kern w:val="24"/>
                <w:sz w:val="24"/>
                <w14:textFill>
                  <w14:solidFill>
                    <w14:schemeClr w14:val="tx1"/>
                  </w14:solidFill>
                </w14:textFill>
              </w:rPr>
              <w:t>一般固废库、危废库位于厂房</w:t>
            </w:r>
            <w:r>
              <w:rPr>
                <w:rFonts w:hint="eastAsia" w:cs="Times New Roman"/>
                <w:color w:val="000000" w:themeColor="text1"/>
                <w:kern w:val="24"/>
                <w:sz w:val="24"/>
                <w:lang w:val="en-US" w:eastAsia="zh-CN"/>
                <w14:textFill>
                  <w14:solidFill>
                    <w14:schemeClr w14:val="tx1"/>
                  </w14:solidFill>
                </w14:textFill>
              </w:rPr>
              <w:t>西</w:t>
            </w:r>
            <w:r>
              <w:rPr>
                <w:rFonts w:hint="default" w:ascii="Times New Roman" w:hAnsi="Times New Roman" w:cs="Times New Roman"/>
                <w:color w:val="000000" w:themeColor="text1"/>
                <w:kern w:val="24"/>
                <w:sz w:val="24"/>
                <w14:textFill>
                  <w14:solidFill>
                    <w14:schemeClr w14:val="tx1"/>
                  </w14:solidFill>
                </w14:textFill>
              </w:rPr>
              <w:t>北侧，人员活动较少区域。</w:t>
            </w:r>
          </w:p>
          <w:p w14:paraId="4ABF0310">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本项目人流、物流路线清晰，厂区平面布置有利于项目生产运行过程中各部门的生产协作，提高生产效率。总体来说，拟建项目的总平面布置较为合理。</w:t>
            </w:r>
          </w:p>
          <w:p w14:paraId="10D24C75">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9、生产制度和劳动定员</w:t>
            </w:r>
          </w:p>
          <w:p w14:paraId="45008B39">
            <w:pPr>
              <w:keepNext w:val="0"/>
              <w:keepLines w:val="0"/>
              <w:suppressLineNumbers w:val="0"/>
              <w:tabs>
                <w:tab w:val="left" w:pos="770"/>
              </w:tabs>
              <w:spacing w:before="0" w:beforeAutospacing="0" w:after="0" w:afterAutospacing="0" w:line="360" w:lineRule="auto"/>
              <w:ind w:left="0" w:right="0"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劳动定员：现有项目劳动人员</w:t>
            </w:r>
            <w:r>
              <w:rPr>
                <w:rFonts w:hint="eastAsia" w:cs="Times New Roman"/>
                <w:color w:val="000000" w:themeColor="text1"/>
                <w:kern w:val="24"/>
                <w:sz w:val="24"/>
                <w:highlight w:val="none"/>
                <w:lang w:val="en-US" w:eastAsia="zh-CN"/>
                <w14:textFill>
                  <w14:solidFill>
                    <w14:schemeClr w14:val="tx1"/>
                  </w14:solidFill>
                </w14:textFill>
              </w:rPr>
              <w:t>30</w:t>
            </w:r>
            <w:r>
              <w:rPr>
                <w:rFonts w:hint="default" w:ascii="Times New Roman" w:hAnsi="Times New Roman" w:cs="Times New Roman"/>
                <w:color w:val="000000" w:themeColor="text1"/>
                <w:kern w:val="24"/>
                <w:sz w:val="24"/>
                <w:highlight w:val="none"/>
                <w14:textFill>
                  <w14:solidFill>
                    <w14:schemeClr w14:val="tx1"/>
                  </w14:solidFill>
                </w14:textFill>
              </w:rPr>
              <w:t>人，本项目劳动定员</w:t>
            </w:r>
            <w:r>
              <w:rPr>
                <w:rFonts w:hint="eastAsia" w:cs="Times New Roman"/>
                <w:color w:val="000000" w:themeColor="text1"/>
                <w:kern w:val="24"/>
                <w:sz w:val="24"/>
                <w:highlight w:val="none"/>
                <w:lang w:val="en-US" w:eastAsia="zh-CN"/>
                <w14:textFill>
                  <w14:solidFill>
                    <w14:schemeClr w14:val="tx1"/>
                  </w14:solidFill>
                </w14:textFill>
              </w:rPr>
              <w:t>100</w:t>
            </w:r>
            <w:r>
              <w:rPr>
                <w:rFonts w:hint="default" w:ascii="Times New Roman" w:hAnsi="Times New Roman" w:cs="Times New Roman"/>
                <w:color w:val="000000" w:themeColor="text1"/>
                <w:kern w:val="24"/>
                <w:sz w:val="24"/>
                <w:highlight w:val="none"/>
                <w14:textFill>
                  <w14:solidFill>
                    <w14:schemeClr w14:val="tx1"/>
                  </w14:solidFill>
                </w14:textFill>
              </w:rPr>
              <w:t>人。不在厂区内食宿</w:t>
            </w:r>
            <w:r>
              <w:rPr>
                <w:rFonts w:hint="default" w:ascii="Times New Roman" w:hAnsi="Times New Roman" w:cs="Times New Roman"/>
                <w:color w:val="000000" w:themeColor="text1"/>
                <w:sz w:val="24"/>
                <w:highlight w:val="none"/>
                <w14:textFill>
                  <w14:solidFill>
                    <w14:schemeClr w14:val="tx1"/>
                  </w14:solidFill>
                </w14:textFill>
              </w:rPr>
              <w:t>。</w:t>
            </w:r>
          </w:p>
          <w:p w14:paraId="2F32907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工作制度：项目制定年工作日为3</w:t>
            </w:r>
            <w:r>
              <w:rPr>
                <w:rFonts w:hint="eastAsia" w:cs="Times New Roman"/>
                <w:color w:val="000000" w:themeColor="text1"/>
                <w:kern w:val="24"/>
                <w:sz w:val="24"/>
                <w:highlight w:val="none"/>
                <w:lang w:val="en-US" w:eastAsia="zh-CN"/>
                <w14:textFill>
                  <w14:solidFill>
                    <w14:schemeClr w14:val="tx1"/>
                  </w14:solidFill>
                </w14:textFill>
              </w:rPr>
              <w:t>20</w:t>
            </w:r>
            <w:r>
              <w:rPr>
                <w:rFonts w:hint="default" w:ascii="Times New Roman" w:hAnsi="Times New Roman" w:cs="Times New Roman"/>
                <w:color w:val="000000" w:themeColor="text1"/>
                <w:kern w:val="24"/>
                <w:sz w:val="24"/>
                <w:highlight w:val="none"/>
                <w14:textFill>
                  <w14:solidFill>
                    <w14:schemeClr w14:val="tx1"/>
                  </w14:solidFill>
                </w14:textFill>
              </w:rPr>
              <w:t>天，采用</w:t>
            </w:r>
            <w:r>
              <w:rPr>
                <w:rFonts w:hint="eastAsia" w:cs="Times New Roman"/>
                <w:color w:val="000000" w:themeColor="text1"/>
                <w:kern w:val="24"/>
                <w:sz w:val="24"/>
                <w:highlight w:val="none"/>
                <w:lang w:val="en-US" w:eastAsia="zh-CN"/>
                <w14:textFill>
                  <w14:solidFill>
                    <w14:schemeClr w14:val="tx1"/>
                  </w14:solidFill>
                </w14:textFill>
              </w:rPr>
              <w:t>两</w:t>
            </w:r>
            <w:r>
              <w:rPr>
                <w:rFonts w:hint="default" w:ascii="Times New Roman" w:hAnsi="Times New Roman" w:cs="Times New Roman"/>
                <w:color w:val="000000" w:themeColor="text1"/>
                <w:kern w:val="24"/>
                <w:sz w:val="24"/>
                <w:highlight w:val="none"/>
                <w14:textFill>
                  <w14:solidFill>
                    <w14:schemeClr w14:val="tx1"/>
                  </w14:solidFill>
                </w14:textFill>
              </w:rPr>
              <w:t>班制，一班工作8小时。</w:t>
            </w:r>
          </w:p>
          <w:p w14:paraId="26375190">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p>
          <w:p w14:paraId="5D7832D7">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p>
          <w:p w14:paraId="2CCD0694">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p>
          <w:p w14:paraId="2EBA51A3">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tc>
      </w:tr>
    </w:tbl>
    <w:p w14:paraId="4674F00D">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br w:type="page"/>
      </w:r>
    </w:p>
    <w:tbl>
      <w:tblPr>
        <w:tblStyle w:val="61"/>
        <w:tblW w:w="90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3D97F2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34" w:hRule="atLeast"/>
          <w:jc w:val="center"/>
        </w:trPr>
        <w:tc>
          <w:tcPr>
            <w:tcW w:w="449" w:type="dxa"/>
            <w:vAlign w:val="center"/>
          </w:tcPr>
          <w:p w14:paraId="1074CAB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工艺流程和产排污环节</w:t>
            </w:r>
          </w:p>
        </w:tc>
        <w:tc>
          <w:tcPr>
            <w:tcW w:w="8612" w:type="dxa"/>
          </w:tcPr>
          <w:p w14:paraId="05B20236">
            <w:pPr>
              <w:keepNext w:val="0"/>
              <w:keepLines w:val="0"/>
              <w:numPr>
                <w:ilvl w:val="0"/>
                <w:numId w:val="0"/>
              </w:numPr>
              <w:suppressLineNumbers w:val="0"/>
              <w:autoSpaceDE w:val="0"/>
              <w:autoSpaceDN w:val="0"/>
              <w:adjustRightInd w:val="0"/>
              <w:snapToGrid w:val="0"/>
              <w:spacing w:before="120" w:beforeLines="50" w:beforeAutospacing="0" w:after="0" w:afterAutospacing="0" w:line="360" w:lineRule="auto"/>
              <w:ind w:left="0" w:leftChars="0" w:right="0" w:firstLine="482" w:firstLineChars="200"/>
              <w:jc w:val="left"/>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营运期</w:t>
            </w:r>
            <w:r>
              <w:rPr>
                <w:rFonts w:hint="default" w:ascii="Times New Roman" w:hAnsi="Times New Roman" w:cs="Times New Roman"/>
                <w:b/>
                <w:bCs/>
                <w:color w:val="000000" w:themeColor="text1"/>
                <w:kern w:val="0"/>
                <w:sz w:val="24"/>
                <w:highlight w:val="none"/>
                <w14:textFill>
                  <w14:solidFill>
                    <w14:schemeClr w14:val="tx1"/>
                  </w14:solidFill>
                </w14:textFill>
              </w:rPr>
              <w:t>工艺流程及产污环节分析</w:t>
            </w:r>
          </w:p>
          <w:p w14:paraId="10C7D3FE">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本项目产品为分为</w:t>
            </w:r>
            <w:r>
              <w:rPr>
                <w:rFonts w:hint="eastAsia" w:cs="Times New Roman"/>
                <w:color w:val="000000" w:themeColor="text1"/>
                <w:sz w:val="24"/>
                <w:highlight w:val="none"/>
                <w:lang w:val="en-US" w:eastAsia="zh-CN"/>
                <w14:textFill>
                  <w14:solidFill>
                    <w14:schemeClr w14:val="tx1"/>
                  </w14:solidFill>
                </w14:textFill>
              </w:rPr>
              <w:t>光电设备配件、汽车零部件、通讯五金部件</w:t>
            </w:r>
            <w:r>
              <w:rPr>
                <w:rFonts w:hint="default" w:ascii="Times New Roman" w:hAnsi="Times New Roman" w:cs="Times New Roman"/>
                <w:color w:val="000000" w:themeColor="text1"/>
                <w:sz w:val="24"/>
                <w:highlight w:val="none"/>
                <w14:textFill>
                  <w14:solidFill>
                    <w14:schemeClr w14:val="tx1"/>
                  </w14:solidFill>
                </w14:textFill>
              </w:rPr>
              <w:t>三种。</w:t>
            </w:r>
            <w:r>
              <w:rPr>
                <w:rFonts w:hint="eastAsia" w:ascii="Times New Roman" w:hAnsi="Times New Roman" w:cs="Times New Roman"/>
                <w:color w:val="000000" w:themeColor="text1"/>
                <w:sz w:val="24"/>
                <w:lang w:val="en-US" w:eastAsia="zh-CN"/>
                <w14:textFill>
                  <w14:solidFill>
                    <w14:schemeClr w14:val="tx1"/>
                  </w14:solidFill>
                </w14:textFill>
              </w:rPr>
              <w:t>三</w:t>
            </w:r>
            <w:r>
              <w:rPr>
                <w:rFonts w:hint="default" w:ascii="Times New Roman" w:hAnsi="Times New Roman" w:cs="Times New Roman"/>
                <w:color w:val="000000" w:themeColor="text1"/>
                <w:sz w:val="24"/>
                <w14:textFill>
                  <w14:solidFill>
                    <w14:schemeClr w14:val="tx1"/>
                  </w14:solidFill>
                </w14:textFill>
              </w:rPr>
              <w:t>种产品的生产工艺基本相同，具体工艺流程如下：</w:t>
            </w:r>
            <w:r>
              <w:rPr>
                <w:rFonts w:hint="default" w:ascii="Times New Roman" w:hAnsi="Times New Roman" w:cs="Times New Roman"/>
                <w:color w:val="000000" w:themeColor="text1"/>
                <w:sz w:val="24"/>
                <w:highlight w:val="none"/>
                <w14:textFill>
                  <w14:solidFill>
                    <w14:schemeClr w14:val="tx1"/>
                  </w14:solidFill>
                </w14:textFill>
              </w:rPr>
              <w:t>具体工艺流程如下：</w:t>
            </w:r>
          </w:p>
          <w:p w14:paraId="4AB670C8">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object>
                <v:shape id="_x0000_i1028" o:spt="75" type="#_x0000_t75" style="height:536.5pt;width:389.5pt;" o:ole="t" filled="f" o:preferrelative="t" stroked="f" coordsize="21600,21600">
                  <v:path/>
                  <v:fill on="f" focussize="0,0"/>
                  <v:stroke on="f"/>
                  <v:imagedata r:id="rId18" o:title=""/>
                  <o:lock v:ext="edit" aspectratio="f"/>
                  <w10:wrap type="none"/>
                  <w10:anchorlock/>
                </v:shape>
                <o:OLEObject Type="Embed" ProgID="Visio.Drawing.11" ShapeID="_x0000_i1028" DrawAspect="Content" ObjectID="_1468075728" r:id="rId17">
                  <o:LockedField>false</o:LockedField>
                </o:OLEObject>
              </w:object>
            </w:r>
          </w:p>
          <w:p w14:paraId="30C8E7DD">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图2-</w:t>
            </w:r>
            <w:r>
              <w:rPr>
                <w:rFonts w:hint="eastAsia" w:cs="Times New Roman"/>
                <w:b/>
                <w:color w:val="000000" w:themeColor="text1"/>
                <w:kern w:val="0"/>
                <w:sz w:val="24"/>
                <w:highlight w:val="none"/>
                <w:lang w:val="en-US" w:eastAsia="zh-CN"/>
                <w14:textFill>
                  <w14:solidFill>
                    <w14:schemeClr w14:val="tx1"/>
                  </w14:solidFill>
                </w14:textFill>
              </w:rPr>
              <w:t>4</w:t>
            </w:r>
            <w:r>
              <w:rPr>
                <w:rFonts w:hint="default" w:ascii="Times New Roman" w:hAnsi="Times New Roman" w:cs="Times New Roman"/>
                <w:b/>
                <w:color w:val="000000" w:themeColor="text1"/>
                <w:kern w:val="0"/>
                <w:sz w:val="24"/>
                <w:highlight w:val="none"/>
                <w14:textFill>
                  <w14:solidFill>
                    <w14:schemeClr w14:val="tx1"/>
                  </w14:solidFill>
                </w14:textFill>
              </w:rPr>
              <w:t xml:space="preserve">  </w:t>
            </w:r>
            <w:r>
              <w:rPr>
                <w:rFonts w:hint="eastAsia" w:cs="Times New Roman"/>
                <w:b/>
                <w:color w:val="000000" w:themeColor="text1"/>
                <w:kern w:val="0"/>
                <w:sz w:val="24"/>
                <w:highlight w:val="none"/>
                <w:lang w:val="en-US" w:eastAsia="zh-CN"/>
                <w14:textFill>
                  <w14:solidFill>
                    <w14:schemeClr w14:val="tx1"/>
                  </w14:solidFill>
                </w14:textFill>
              </w:rPr>
              <w:t>本项目</w:t>
            </w:r>
            <w:r>
              <w:rPr>
                <w:rFonts w:hint="default" w:ascii="Times New Roman" w:hAnsi="Times New Roman" w:cs="Times New Roman"/>
                <w:b/>
                <w:color w:val="000000" w:themeColor="text1"/>
                <w:kern w:val="0"/>
                <w:sz w:val="24"/>
                <w:highlight w:val="none"/>
                <w14:textFill>
                  <w14:solidFill>
                    <w14:schemeClr w14:val="tx1"/>
                  </w14:solidFill>
                </w14:textFill>
              </w:rPr>
              <w:t>生产工艺流程及产污环节图</w:t>
            </w:r>
            <w:r>
              <w:rPr>
                <w:rFonts w:hint="default"/>
                <w:color w:val="000000" w:themeColor="text1"/>
                <w14:textFill>
                  <w14:solidFill>
                    <w14:schemeClr w14:val="tx1"/>
                  </w14:solidFill>
                </w14:textFill>
              </w:rPr>
              <w:commentReference w:id="24"/>
            </w:r>
          </w:p>
          <w:p w14:paraId="1989939A">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生产工艺流程简述：</w:t>
            </w:r>
          </w:p>
          <w:p w14:paraId="3F8CEC41">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机加工</w:t>
            </w:r>
          </w:p>
          <w:p w14:paraId="18765A3F">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利用</w:t>
            </w:r>
            <w:r>
              <w:rPr>
                <w:rFonts w:hint="default" w:ascii="Times New Roman" w:hAnsi="Times New Roman" w:cs="Times New Roman"/>
                <w:color w:val="000000" w:themeColor="text1"/>
                <w:sz w:val="24"/>
                <w:szCs w:val="24"/>
                <w:lang w:val="en-US" w:eastAsia="zh-CN"/>
                <w14:textFill>
                  <w14:solidFill>
                    <w14:schemeClr w14:val="tx1"/>
                  </w14:solidFill>
                </w14:textFill>
              </w:rPr>
              <w:t>数控车床、大型、小型加工中心、电动攻丝机等设备</w:t>
            </w:r>
            <w:r>
              <w:rPr>
                <w:rFonts w:hint="eastAsia" w:ascii="Times New Roman" w:hAnsi="Times New Roman" w:cs="Times New Roman"/>
                <w:color w:val="000000" w:themeColor="text1"/>
                <w:sz w:val="24"/>
                <w:szCs w:val="24"/>
                <w:lang w:val="en-US" w:eastAsia="zh-CN"/>
                <w14:textFill>
                  <w14:solidFill>
                    <w14:schemeClr w14:val="tx1"/>
                  </w14:solidFill>
                </w14:textFill>
              </w:rPr>
              <w:t>对来料</w:t>
            </w:r>
            <w:r>
              <w:rPr>
                <w:rFonts w:hint="default" w:ascii="Times New Roman" w:hAnsi="Times New Roman" w:cs="Times New Roman"/>
                <w:color w:val="000000" w:themeColor="text1"/>
                <w:sz w:val="24"/>
                <w:szCs w:val="24"/>
                <w14:textFill>
                  <w14:solidFill>
                    <w14:schemeClr w14:val="tx1"/>
                  </w14:solidFill>
                </w14:textFill>
              </w:rPr>
              <w:t>进行</w:t>
            </w:r>
            <w:r>
              <w:rPr>
                <w:rFonts w:hint="default" w:ascii="Times New Roman" w:hAnsi="Times New Roman" w:cs="Times New Roman"/>
                <w:color w:val="000000" w:themeColor="text1"/>
                <w:sz w:val="24"/>
                <w:szCs w:val="24"/>
                <w:lang w:val="en-US" w:eastAsia="zh-CN"/>
                <w14:textFill>
                  <w14:solidFill>
                    <w14:schemeClr w14:val="tx1"/>
                  </w14:solidFill>
                </w14:textFill>
              </w:rPr>
              <w:t>机</w:t>
            </w:r>
            <w:r>
              <w:rPr>
                <w:rFonts w:hint="default" w:ascii="Times New Roman" w:hAnsi="Times New Roman" w:cs="Times New Roman"/>
                <w:color w:val="000000" w:themeColor="text1"/>
                <w:sz w:val="24"/>
                <w:szCs w:val="24"/>
                <w14:textFill>
                  <w14:solidFill>
                    <w14:schemeClr w14:val="tx1"/>
                  </w14:solidFill>
                </w14:textFill>
              </w:rPr>
              <w:t>加工</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其中PEEK塑料仅在机加工工序使用，加工完成即为成品。</w:t>
            </w:r>
            <w:r>
              <w:rPr>
                <w:rFonts w:hint="default" w:ascii="Times New Roman" w:hAnsi="Times New Roman" w:cs="Times New Roman"/>
                <w:color w:val="000000" w:themeColor="text1"/>
                <w:sz w:val="24"/>
                <w:szCs w:val="24"/>
                <w:lang w:val="en-US" w:eastAsia="zh-CN"/>
                <w14:textFill>
                  <w14:solidFill>
                    <w14:schemeClr w14:val="tx1"/>
                  </w14:solidFill>
                </w14:textFill>
              </w:rPr>
              <w:t>机</w:t>
            </w:r>
            <w:r>
              <w:rPr>
                <w:rFonts w:hint="default" w:ascii="Times New Roman" w:hAnsi="Times New Roman" w:cs="Times New Roman"/>
                <w:color w:val="000000" w:themeColor="text1"/>
                <w:sz w:val="24"/>
                <w:szCs w:val="24"/>
                <w14:textFill>
                  <w14:solidFill>
                    <w14:schemeClr w14:val="tx1"/>
                  </w14:solidFill>
                </w14:textFill>
              </w:rPr>
              <w:t>加工</w:t>
            </w:r>
            <w:r>
              <w:rPr>
                <w:rFonts w:hint="default" w:ascii="Times New Roman" w:hAnsi="Times New Roman" w:cs="Times New Roman"/>
                <w:color w:val="000000" w:themeColor="text1"/>
                <w:sz w:val="24"/>
                <w:szCs w:val="24"/>
                <w:lang w:val="en-US" w:eastAsia="zh-CN"/>
                <w14:textFill>
                  <w14:solidFill>
                    <w14:schemeClr w14:val="tx1"/>
                  </w14:solidFill>
                </w14:textFill>
              </w:rPr>
              <w:t>为湿式作业</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切削液与水配比使用，</w:t>
            </w:r>
            <w:r>
              <w:rPr>
                <w:rFonts w:hint="default" w:ascii="Times New Roman" w:hAnsi="Times New Roman" w:cs="Times New Roman"/>
                <w:color w:val="000000" w:themeColor="text1"/>
                <w:sz w:val="24"/>
                <w:szCs w:val="24"/>
                <w:lang w:eastAsia="zh-CN"/>
                <w14:textFill>
                  <w14:solidFill>
                    <w14:schemeClr w14:val="tx1"/>
                  </w14:solidFill>
                </w14:textFill>
              </w:rPr>
              <w:t>切削</w:t>
            </w:r>
            <w:r>
              <w:rPr>
                <w:rFonts w:hint="default" w:ascii="Times New Roman" w:hAnsi="Times New Roman" w:cs="Times New Roman"/>
                <w:color w:val="000000" w:themeColor="text1"/>
                <w:sz w:val="24"/>
                <w:szCs w:val="24"/>
                <w:lang w:val="en-US" w:eastAsia="zh-CN"/>
                <w14:textFill>
                  <w14:solidFill>
                    <w14:schemeClr w14:val="tx1"/>
                  </w14:solidFill>
                </w14:textFill>
              </w:rPr>
              <w:t>液：水=1:20。此工序</w:t>
            </w:r>
            <w:r>
              <w:rPr>
                <w:rFonts w:hint="default" w:ascii="Times New Roman" w:hAnsi="Times New Roman" w:cs="Times New Roman"/>
                <w:color w:val="000000" w:themeColor="text1"/>
                <w:sz w:val="24"/>
                <w:szCs w:val="24"/>
                <w14:textFill>
                  <w14:solidFill>
                    <w14:schemeClr w14:val="tx1"/>
                  </w14:solidFill>
                </w14:textFill>
              </w:rPr>
              <w:t>产生废金属屑</w:t>
            </w:r>
            <w:r>
              <w:rPr>
                <w:rFonts w:hint="default" w:ascii="Times New Roman" w:hAnsi="Times New Roman" w:cs="Times New Roman"/>
                <w:color w:val="000000" w:themeColor="text1"/>
                <w:sz w:val="24"/>
                <w:szCs w:val="24"/>
                <w:lang w:eastAsia="zh-CN"/>
                <w14:textFill>
                  <w14:solidFill>
                    <w14:schemeClr w14:val="tx1"/>
                  </w14:solidFill>
                </w14:textFill>
              </w:rPr>
              <w:t>及边角料</w:t>
            </w:r>
            <w:r>
              <w:rPr>
                <w:rFonts w:hint="default" w:ascii="Times New Roman" w:hAnsi="Times New Roman" w:cs="Times New Roman"/>
                <w:color w:val="000000" w:themeColor="text1"/>
                <w:sz w:val="24"/>
                <w:szCs w:val="24"/>
                <w:lang w:val="en-US" w:eastAsia="zh-CN"/>
                <w14:textFill>
                  <w14:solidFill>
                    <w14:schemeClr w14:val="tx1"/>
                  </w14:solidFill>
                </w14:textFill>
              </w:rPr>
              <w:t>S1、废切削液S2、</w:t>
            </w:r>
            <w:r>
              <w:rPr>
                <w:rFonts w:hint="default" w:ascii="Times New Roman" w:hAnsi="Times New Roman" w:cs="Times New Roman"/>
                <w:color w:val="000000" w:themeColor="text1"/>
                <w:sz w:val="24"/>
                <w:szCs w:val="24"/>
                <w:lang w:eastAsia="zh-CN"/>
                <w14:textFill>
                  <w14:solidFill>
                    <w14:schemeClr w14:val="tx1"/>
                  </w14:solidFill>
                </w14:textFill>
              </w:rPr>
              <w:t>废化学品包装桶</w:t>
            </w:r>
            <w:r>
              <w:rPr>
                <w:rFonts w:hint="default" w:ascii="Times New Roman" w:hAnsi="Times New Roman" w:cs="Times New Roman"/>
                <w:color w:val="000000" w:themeColor="text1"/>
                <w:sz w:val="24"/>
                <w:szCs w:val="24"/>
                <w:lang w:val="en-US" w:eastAsia="zh-CN"/>
                <w14:textFill>
                  <w14:solidFill>
                    <w14:schemeClr w14:val="tx1"/>
                  </w14:solidFill>
                </w14:textFill>
              </w:rPr>
              <w:t>S3、含油金属屑S4</w:t>
            </w:r>
            <w:r>
              <w:rPr>
                <w:rFonts w:hint="default" w:ascii="Times New Roman" w:hAnsi="Times New Roman" w:cs="Times New Roman"/>
                <w:color w:val="000000" w:themeColor="text1"/>
                <w:sz w:val="24"/>
                <w:szCs w:val="24"/>
                <w14:textFill>
                  <w14:solidFill>
                    <w14:schemeClr w14:val="tx1"/>
                  </w14:solidFill>
                </w14:textFill>
              </w:rPr>
              <w:t>和设备噪声N。</w:t>
            </w:r>
          </w:p>
          <w:p w14:paraId="3617C415">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磁力研磨/人工去毛刺 </w:t>
            </w:r>
          </w:p>
          <w:p w14:paraId="2892FCF9">
            <w:pPr>
              <w:keepNext w:val="0"/>
              <w:keepLines w:val="0"/>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根据企业提供资料，</w:t>
            </w:r>
            <w:r>
              <w:rPr>
                <w:rFonts w:hint="eastAsia" w:ascii="Times New Roman" w:hAnsi="Times New Roman" w:cs="Times New Roman"/>
                <w:color w:val="000000" w:themeColor="text1"/>
                <w:sz w:val="24"/>
                <w:szCs w:val="24"/>
                <w:lang w:val="en-US" w:eastAsia="zh-CN"/>
                <w14:textFill>
                  <w14:solidFill>
                    <w14:schemeClr w14:val="tx1"/>
                  </w14:solidFill>
                </w14:textFill>
              </w:rPr>
              <w:t>根据产品需要，10%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小的工件采用磁力研磨机处理，90%大的工件采用手持去毛刺机进行人工去毛刺。</w:t>
            </w:r>
          </w:p>
          <w:p w14:paraId="308E8A70">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磁力研磨机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采用磁场力量传导使工件作高频率旋转运动，最终达到精密工件快速去除毛刺，污垢的效果。由于研磨工序为湿式加工，故无粉尘产生。此工序会产生</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人工去毛刺粉尘G1、</w:t>
            </w:r>
            <w:r>
              <w:rPr>
                <w:rFonts w:hint="default" w:ascii="Times New Roman" w:hAnsi="Times New Roman" w:cs="Times New Roman"/>
                <w:color w:val="000000" w:themeColor="text1"/>
                <w:sz w:val="24"/>
                <w:szCs w:val="24"/>
                <w:lang w:val="en-US" w:eastAsia="zh-CN"/>
                <w14:textFill>
                  <w14:solidFill>
                    <w14:schemeClr w14:val="tx1"/>
                  </w14:solidFill>
                </w14:textFill>
              </w:rPr>
              <w:t>磁力研磨槽液W1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废化学品包装桶S</w:t>
            </w:r>
            <w:r>
              <w:rPr>
                <w:rFonts w:hint="eastAsia"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磁力研磨废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渣</w:t>
            </w:r>
            <w:r>
              <w:rPr>
                <w:rFonts w:hint="default" w:ascii="Times New Roman" w:hAnsi="Times New Roman" w:cs="Times New Roman"/>
                <w:color w:val="000000" w:themeColor="text1"/>
                <w:sz w:val="24"/>
                <w:szCs w:val="24"/>
                <w:lang w:val="en-US" w:eastAsia="zh-CN"/>
                <w14:textFill>
                  <w14:solidFill>
                    <w14:schemeClr w14:val="tx1"/>
                  </w14:solidFill>
                </w14:textFill>
              </w:rPr>
              <w:t>S</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和设备噪声N。</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产生的磁力研磨槽液经自建污水处理站处理后排入市政管网。</w:t>
            </w:r>
          </w:p>
          <w:p w14:paraId="08214F9B">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打磨</w:t>
            </w:r>
          </w:p>
          <w:p w14:paraId="7ED1C9BA">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利用磨床进行干式打磨，以改善工件精度与表面粗糙度。此工序产生打磨粉尘G2和设备噪声N。</w:t>
            </w:r>
          </w:p>
          <w:p w14:paraId="26364110">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喷砂/抛丸/抛光/拉丝</w:t>
            </w:r>
          </w:p>
          <w:p w14:paraId="7725CCA6">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根据企业提供资料，</w:t>
            </w:r>
            <w:r>
              <w:rPr>
                <w:rFonts w:hint="default" w:ascii="Times New Roman" w:hAnsi="Times New Roman" w:cs="Times New Roman"/>
                <w:color w:val="000000" w:themeColor="text1"/>
                <w:sz w:val="24"/>
                <w:szCs w:val="24"/>
                <w:lang w:val="en-US" w:eastAsia="zh-CN"/>
                <w14:textFill>
                  <w14:solidFill>
                    <w14:schemeClr w14:val="tx1"/>
                  </w14:solidFill>
                </w14:textFill>
              </w:rPr>
              <w:t>根据产品需要，</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项目产品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喷砂、抛丸、抛光、拉丝</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工序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四</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选一</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。喷砂、抛丸、抛光工艺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使</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工件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表面粗糙度降低，以获得光亮、平整表面</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拉丝工艺使</w:t>
            </w:r>
            <w:r>
              <w:rPr>
                <w:rStyle w:val="68"/>
                <w:rFonts w:hint="default" w:ascii="Segoe UI" w:hAnsi="Segoe UI" w:eastAsia="Segoe UI" w:cs="Segoe UI"/>
                <w:b w:val="0"/>
                <w:bCs w:val="0"/>
                <w:i w:val="0"/>
                <w:iCs w:val="0"/>
                <w:caps w:val="0"/>
                <w:color w:val="000000" w:themeColor="text1"/>
                <w:spacing w:val="0"/>
                <w:sz w:val="24"/>
                <w:szCs w:val="24"/>
                <w:shd w:val="clear" w:fill="FFFFFF"/>
                <w14:textFill>
                  <w14:solidFill>
                    <w14:schemeClr w14:val="tx1"/>
                  </w14:solidFill>
                </w14:textFill>
              </w:rPr>
              <w:t>金属表面制造出细腻的、有方向性的纹理（丝状纹路），以达到装饰、改善手感、掩盖划痕等目的</w:t>
            </w:r>
            <w:r>
              <w:rPr>
                <w:rStyle w:val="68"/>
                <w:rFonts w:hint="eastAsia" w:ascii="Segoe UI" w:hAnsi="Segoe UI" w:eastAsia="宋体" w:cs="Segoe UI"/>
                <w:b w:val="0"/>
                <w:bCs w:val="0"/>
                <w:i w:val="0"/>
                <w:iCs w:val="0"/>
                <w:caps w:val="0"/>
                <w:color w:val="000000" w:themeColor="text1"/>
                <w:spacing w:val="0"/>
                <w:sz w:val="24"/>
                <w:szCs w:val="24"/>
                <w:shd w:val="clear" w:fill="FFFFFF"/>
                <w:lang w:eastAsia="zh-CN"/>
                <w14:textFill>
                  <w14:solidFill>
                    <w14:schemeClr w14:val="tx1"/>
                  </w14:solidFill>
                </w14:textFill>
              </w:rPr>
              <w:t>，</w:t>
            </w:r>
            <w:r>
              <w:rPr>
                <w:rStyle w:val="68"/>
                <w:rFonts w:hint="eastAsia" w:ascii="Segoe UI" w:hAnsi="Segoe UI" w:eastAsia="宋体" w:cs="Segoe UI"/>
                <w:b w:val="0"/>
                <w:bCs w:val="0"/>
                <w:i w:val="0"/>
                <w:iCs w:val="0"/>
                <w:caps w:val="0"/>
                <w:color w:val="000000" w:themeColor="text1"/>
                <w:spacing w:val="0"/>
                <w:sz w:val="24"/>
                <w:szCs w:val="24"/>
                <w:shd w:val="clear" w:fill="FFFFFF"/>
                <w:lang w:val="en-US" w:eastAsia="zh-CN"/>
                <w14:textFill>
                  <w14:solidFill>
                    <w14:schemeClr w14:val="tx1"/>
                  </w14:solidFill>
                </w14:textFill>
              </w:rPr>
              <w:t>拉丝工序不使用拉丝液等化学品</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。此工序产生喷砂粉尘G3、抛丸粉尘G4、抛光粉尘G5、废钢丸</w:t>
            </w:r>
            <w:r>
              <w:rPr>
                <w:rFonts w:hint="default" w:ascii="Times New Roman" w:hAnsi="Times New Roman" w:cs="Times New Roman"/>
                <w:color w:val="000000" w:themeColor="text1"/>
                <w:sz w:val="24"/>
                <w:szCs w:val="24"/>
                <w:lang w:val="en-US" w:eastAsia="zh-CN"/>
                <w14:textFill>
                  <w14:solidFill>
                    <w14:schemeClr w14:val="tx1"/>
                  </w14:solidFill>
                </w14:textFill>
              </w:rPr>
              <w:t>S</w:t>
            </w:r>
            <w:r>
              <w:rPr>
                <w:rFonts w:hint="eastAsia" w:ascii="Times New Roman" w:hAnsi="Times New Roman" w:cs="Times New Roman"/>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、废钢砂</w:t>
            </w:r>
            <w:r>
              <w:rPr>
                <w:rFonts w:hint="default" w:ascii="Times New Roman" w:hAnsi="Times New Roman" w:cs="Times New Roman"/>
                <w:color w:val="000000" w:themeColor="text1"/>
                <w:sz w:val="24"/>
                <w:szCs w:val="24"/>
                <w:lang w:val="en-US" w:eastAsia="zh-CN"/>
                <w14:textFill>
                  <w14:solidFill>
                    <w14:schemeClr w14:val="tx1"/>
                  </w14:solidFill>
                </w14:textFill>
              </w:rPr>
              <w:t>S</w:t>
            </w:r>
            <w:r>
              <w:rPr>
                <w:rFonts w:hint="eastAsia" w:ascii="Times New Roman" w:hAnsi="Times New Roman" w:cs="Times New Roman"/>
                <w:color w:val="000000" w:themeColor="text1"/>
                <w:sz w:val="24"/>
                <w:szCs w:val="24"/>
                <w:lang w:val="en-US" w:eastAsia="zh-CN"/>
                <w14:textFill>
                  <w14:solidFill>
                    <w14:schemeClr w14:val="tx1"/>
                  </w14:solidFill>
                </w14:textFill>
              </w:rPr>
              <w:t>7、废砂带S8和设备噪声N。</w:t>
            </w:r>
          </w:p>
          <w:p w14:paraId="552109E2">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超声波清洗</w:t>
            </w:r>
          </w:p>
          <w:p w14:paraId="58F936F6">
            <w:pPr>
              <w:keepNext w:val="0"/>
              <w:keepLines w:val="0"/>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项目设有</w:t>
            </w:r>
            <w:r>
              <w:rPr>
                <w:rFonts w:hint="eastAsia"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台</w:t>
            </w:r>
            <w:r>
              <w:rPr>
                <w:rFonts w:hint="eastAsia" w:ascii="Times New Roman" w:hAnsi="Times New Roman" w:cs="Times New Roman"/>
                <w:color w:val="000000" w:themeColor="text1"/>
                <w:sz w:val="24"/>
                <w:szCs w:val="24"/>
                <w:lang w:val="en-US" w:eastAsia="zh-CN"/>
                <w14:textFill>
                  <w14:solidFill>
                    <w14:schemeClr w14:val="tx1"/>
                  </w14:solidFill>
                </w14:textFill>
              </w:rPr>
              <w:t>小型</w:t>
            </w:r>
            <w:r>
              <w:rPr>
                <w:rFonts w:hint="default" w:ascii="Times New Roman" w:hAnsi="Times New Roman" w:cs="Times New Roman"/>
                <w:color w:val="000000" w:themeColor="text1"/>
                <w:sz w:val="24"/>
                <w:szCs w:val="24"/>
                <w:lang w:val="en-US" w:eastAsia="zh-CN"/>
                <w14:textFill>
                  <w14:solidFill>
                    <w14:schemeClr w14:val="tx1"/>
                  </w14:solidFill>
                </w14:textFill>
              </w:rPr>
              <w:t>超声波</w:t>
            </w:r>
            <w:r>
              <w:rPr>
                <w:rFonts w:hint="default" w:ascii="Times New Roman" w:hAnsi="Times New Roman" w:cs="Times New Roman"/>
                <w:color w:val="000000" w:themeColor="text1"/>
                <w:sz w:val="24"/>
                <w:szCs w:val="24"/>
                <w14:textFill>
                  <w14:solidFill>
                    <w14:schemeClr w14:val="tx1"/>
                  </w14:solidFill>
                </w14:textFill>
              </w:rPr>
              <w:t>清洗机</w:t>
            </w:r>
            <w:r>
              <w:rPr>
                <w:rFonts w:hint="default" w:ascii="Times New Roman" w:hAnsi="Times New Roman" w:cs="Times New Roman"/>
                <w:color w:val="000000" w:themeColor="text1"/>
                <w:sz w:val="24"/>
                <w:szCs w:val="24"/>
                <w:lang w:eastAsia="zh-CN"/>
                <w14:textFill>
                  <w14:solidFill>
                    <w14:schemeClr w14:val="tx1"/>
                  </w14:solidFill>
                </w14:textFill>
              </w:rPr>
              <w:t>对工件进行清洗</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进一步去除工件表面的锈层和污渍。本项目</w:t>
            </w:r>
            <w:r>
              <w:rPr>
                <w:rFonts w:hint="default" w:ascii="Times New Roman" w:hAnsi="Times New Roman" w:cs="Times New Roman"/>
                <w:color w:val="000000" w:themeColor="text1"/>
                <w:sz w:val="24"/>
                <w:szCs w:val="24"/>
                <w:lang w:val="en-US" w:eastAsia="zh-CN"/>
                <w14:textFill>
                  <w14:solidFill>
                    <w14:schemeClr w14:val="tx1"/>
                  </w14:solidFill>
                </w14:textFill>
              </w:rPr>
              <w:t>超声波</w:t>
            </w:r>
            <w:r>
              <w:rPr>
                <w:rFonts w:hint="default" w:ascii="Times New Roman" w:hAnsi="Times New Roman" w:cs="Times New Roman"/>
                <w:color w:val="000000" w:themeColor="text1"/>
                <w:sz w:val="24"/>
                <w:szCs w:val="24"/>
                <w14:textFill>
                  <w14:solidFill>
                    <w14:schemeClr w14:val="tx1"/>
                  </w14:solidFill>
                </w14:textFill>
              </w:rPr>
              <w:t>清洗机</w:t>
            </w:r>
            <w:r>
              <w:rPr>
                <w:rFonts w:hint="default" w:ascii="Times New Roman" w:hAnsi="Times New Roman" w:cs="Times New Roman"/>
                <w:color w:val="000000" w:themeColor="text1"/>
                <w:sz w:val="24"/>
                <w:szCs w:val="24"/>
                <w:lang w:eastAsia="zh-CN"/>
                <w14:textFill>
                  <w14:solidFill>
                    <w14:schemeClr w14:val="tx1"/>
                  </w14:solidFill>
                </w14:textFill>
              </w:rPr>
              <w:t>由一个</w:t>
            </w:r>
            <w:r>
              <w:rPr>
                <w:rFonts w:hint="default" w:ascii="Times New Roman" w:hAnsi="Times New Roman" w:cs="Times New Roman"/>
                <w:color w:val="000000" w:themeColor="text1"/>
                <w:sz w:val="24"/>
                <w:szCs w:val="24"/>
                <w:lang w:val="en-US" w:eastAsia="zh-CN"/>
                <w14:textFill>
                  <w14:solidFill>
                    <w14:schemeClr w14:val="tx1"/>
                  </w14:solidFill>
                </w14:textFill>
              </w:rPr>
              <w:t>超声波</w:t>
            </w:r>
            <w:r>
              <w:rPr>
                <w:rFonts w:hint="default" w:ascii="Times New Roman" w:hAnsi="Times New Roman" w:cs="Times New Roman"/>
                <w:color w:val="000000" w:themeColor="text1"/>
                <w:sz w:val="24"/>
                <w:szCs w:val="24"/>
                <w:lang w:eastAsia="zh-CN"/>
                <w14:textFill>
                  <w14:solidFill>
                    <w14:schemeClr w14:val="tx1"/>
                  </w14:solidFill>
                </w14:textFill>
              </w:rPr>
              <w:t>清洗腔体和</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lang w:val="en-US" w:eastAsia="zh-CN"/>
                <w14:textFill>
                  <w14:solidFill>
                    <w14:schemeClr w14:val="tx1"/>
                  </w14:solidFill>
                </w14:textFill>
              </w:rPr>
              <w:t>个槽体组成</w:t>
            </w:r>
            <w:r>
              <w:rPr>
                <w:rFonts w:hint="eastAsia" w:ascii="Times New Roman" w:hAnsi="Times New Roman" w:cs="Times New Roman"/>
                <w:color w:val="000000" w:themeColor="text1"/>
                <w:sz w:val="24"/>
                <w:szCs w:val="24"/>
                <w:lang w:val="en-US" w:eastAsia="zh-CN"/>
                <w14:textFill>
                  <w14:solidFill>
                    <w14:schemeClr w14:val="tx1"/>
                  </w14:solidFill>
                </w14:textFill>
              </w:rPr>
              <w:t>，在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槽</w:t>
            </w:r>
            <w:r>
              <w:rPr>
                <w:rFonts w:hint="default" w:ascii="Times New Roman" w:hAnsi="Times New Roman" w:cs="Times New Roman"/>
                <w:color w:val="000000" w:themeColor="text1"/>
                <w:kern w:val="0"/>
                <w:sz w:val="24"/>
                <w:szCs w:val="24"/>
                <w:lang w:val="en-US" w:eastAsia="zh-CN"/>
                <w14:textFill>
                  <w14:solidFill>
                    <w14:schemeClr w14:val="tx1"/>
                  </w14:solidFill>
                </w14:textFill>
              </w:rPr>
              <w:t>内添加</w:t>
            </w:r>
            <w:r>
              <w:rPr>
                <w:rFonts w:hint="eastAsia" w:ascii="Times New Roman" w:hAnsi="Times New Roman" w:cs="Times New Roman"/>
                <w:color w:val="000000" w:themeColor="text1"/>
                <w:kern w:val="0"/>
                <w:sz w:val="24"/>
                <w:szCs w:val="24"/>
                <w:lang w:val="en-US" w:eastAsia="zh-CN"/>
                <w14:textFill>
                  <w14:solidFill>
                    <w14:schemeClr w14:val="tx1"/>
                  </w14:solidFill>
                </w14:textFill>
              </w:rPr>
              <w:t>仅添加</w:t>
            </w:r>
            <w:r>
              <w:rPr>
                <w:rFonts w:hint="default" w:ascii="Times New Roman" w:hAnsi="Times New Roman" w:cs="Times New Roman"/>
                <w:color w:val="000000" w:themeColor="text1"/>
                <w:kern w:val="0"/>
                <w:sz w:val="24"/>
                <w:szCs w:val="24"/>
                <w:lang w:val="en-US" w:eastAsia="zh-CN"/>
                <w14:textFill>
                  <w14:solidFill>
                    <w14:schemeClr w14:val="tx1"/>
                  </w14:solidFill>
                </w14:textFill>
              </w:rPr>
              <w:t>纯水</w:t>
            </w:r>
            <w:r>
              <w:rPr>
                <w:rFonts w:hint="eastAsia" w:ascii="Times New Roman" w:hAnsi="Times New Roman" w:cs="Times New Roman"/>
                <w:color w:val="000000" w:themeColor="text1"/>
                <w:kern w:val="0"/>
                <w:sz w:val="24"/>
                <w:szCs w:val="24"/>
                <w:lang w:val="en-US" w:eastAsia="zh-CN"/>
                <w14:textFill>
                  <w14:solidFill>
                    <w14:schemeClr w14:val="tx1"/>
                  </w14:solidFill>
                </w14:textFill>
              </w:rPr>
              <w:t>，不使用清洗剂</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采用浸泡</w:t>
            </w:r>
            <w:r>
              <w:rPr>
                <w:rFonts w:hint="default" w:ascii="Times New Roman" w:hAnsi="Times New Roman" w:cs="Times New Roman"/>
                <w:color w:val="000000" w:themeColor="text1"/>
                <w:sz w:val="24"/>
                <w:szCs w:val="24"/>
                <w:lang w:val="en-US" w:eastAsia="zh-CN"/>
                <w14:textFill>
                  <w14:solidFill>
                    <w14:schemeClr w14:val="tx1"/>
                  </w14:solidFill>
                </w14:textFill>
              </w:rPr>
              <w:t>方式</w:t>
            </w:r>
            <w:r>
              <w:rPr>
                <w:rFonts w:hint="default" w:ascii="Times New Roman" w:hAnsi="Times New Roman" w:cs="Times New Roman"/>
                <w:color w:val="000000" w:themeColor="text1"/>
                <w:sz w:val="24"/>
                <w:szCs w:val="24"/>
                <w14:textFill>
                  <w14:solidFill>
                    <w14:schemeClr w14:val="tx1"/>
                  </w14:solidFill>
                </w14:textFill>
              </w:rPr>
              <w:t>，电加热，温度约</w:t>
            </w:r>
            <w:r>
              <w:rPr>
                <w:rFonts w:hint="eastAsia" w:ascii="Times New Roman" w:hAnsi="Times New Roman" w:cs="Times New Roman"/>
                <w:color w:val="000000" w:themeColor="text1"/>
                <w:sz w:val="24"/>
                <w:szCs w:val="24"/>
                <w:lang w:val="en-US" w:eastAsia="zh-CN"/>
                <w14:textFill>
                  <w14:solidFill>
                    <w14:schemeClr w14:val="tx1"/>
                  </w14:solidFill>
                </w14:textFill>
              </w:rPr>
              <w:t>40</w:t>
            </w:r>
            <w:r>
              <w:rPr>
                <w:rFonts w:hint="default" w:ascii="Times New Roman" w:hAnsi="Times New Roman" w:cs="Times New Roman"/>
                <w:bCs/>
                <w:color w:val="000000" w:themeColor="text1"/>
                <w:kern w:val="0"/>
                <w:sz w:val="24"/>
                <w:szCs w:val="24"/>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，处理时间约</w:t>
            </w:r>
            <w:r>
              <w:rPr>
                <w:rFonts w:hint="default" w:ascii="Times New Roman" w:hAnsi="Times New Roman" w:cs="Times New Roman"/>
                <w:color w:val="000000" w:themeColor="text1"/>
                <w:sz w:val="24"/>
                <w:szCs w:val="24"/>
                <w:lang w:eastAsia="zh-CN"/>
                <w14:textFill>
                  <w14:solidFill>
                    <w14:schemeClr w14:val="tx1"/>
                  </w14:solidFill>
                </w14:textFill>
              </w:rPr>
              <w:t>为</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min</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每</w:t>
            </w:r>
            <w:r>
              <w:rPr>
                <w:rFonts w:hint="eastAsia" w:ascii="Times New Roman" w:hAnsi="Times New Roman" w:cs="Times New Roman"/>
                <w:color w:val="000000" w:themeColor="text1"/>
                <w:sz w:val="24"/>
                <w:szCs w:val="24"/>
                <w:lang w:val="en-US" w:eastAsia="zh-CN"/>
                <w14:textFill>
                  <w14:solidFill>
                    <w14:schemeClr w14:val="tx1"/>
                  </w14:solidFill>
                </w14:textFill>
              </w:rPr>
              <w:t>月</w:t>
            </w:r>
            <w:r>
              <w:rPr>
                <w:rFonts w:hint="default" w:ascii="Times New Roman" w:hAnsi="Times New Roman" w:cs="Times New Roman"/>
                <w:color w:val="000000" w:themeColor="text1"/>
                <w:sz w:val="24"/>
                <w:szCs w:val="24"/>
                <w:lang w:val="en-US" w:eastAsia="zh-CN"/>
                <w14:textFill>
                  <w14:solidFill>
                    <w14:schemeClr w14:val="tx1"/>
                  </w14:solidFill>
                </w14:textFill>
              </w:rPr>
              <w:t>更换一次</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更换的超声波清洗废槽液进入自建污水处理站处理后接市政管网。</w:t>
            </w:r>
          </w:p>
          <w:p w14:paraId="388179B2">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此工序产生超声波清洗槽槽液W2、废化学品包装桶S3、超声波清洗槽槽渣S9和设备噪声N。</w:t>
            </w:r>
          </w:p>
          <w:p w14:paraId="298929DE">
            <w:pPr>
              <w:pStyle w:val="233"/>
              <w:keepNext w:val="0"/>
              <w:keepLines w:val="0"/>
              <w:numPr>
                <w:ilvl w:val="0"/>
                <w:numId w:val="11"/>
              </w:numPr>
              <w:suppressLineNumbers w:val="0"/>
              <w:spacing w:before="0" w:beforeAutospacing="0" w:after="0" w:afterAutospacing="0" w:line="360" w:lineRule="auto"/>
              <w:ind w:left="0" w:leftChars="0" w:firstLine="480" w:firstLineChars="200"/>
              <w:jc w:val="both"/>
              <w:rPr>
                <w:rFonts w:hint="default" w:ascii="Times New Roman" w:hAnsi="Times New Roman" w:cs="Times New Roman"/>
                <w:b w:val="0"/>
                <w:bCs w:val="0"/>
                <w:color w:val="000000" w:themeColor="text1"/>
                <w:sz w:val="24"/>
                <w:szCs w:val="24"/>
                <w:lang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预脱脂、主脱脂及水洗</w:t>
            </w:r>
          </w:p>
          <w:p w14:paraId="7DEE5F4B">
            <w:pPr>
              <w:keepNext w:val="0"/>
              <w:keepLines w:val="0"/>
              <w:suppressLineNumbers w:val="0"/>
              <w:spacing w:before="0" w:beforeAutospacing="0" w:after="0" w:afterAutospacing="0" w:line="360" w:lineRule="auto"/>
              <w:ind w:left="0" w:right="0" w:firstLine="480"/>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在预</w:t>
            </w:r>
            <w:r>
              <w:rPr>
                <w:rFonts w:hint="default" w:ascii="Times New Roman" w:hAnsi="Times New Roman" w:cs="Times New Roman"/>
                <w:b w:val="0"/>
                <w:bCs w:val="0"/>
                <w:color w:val="000000" w:themeColor="text1"/>
                <w:sz w:val="24"/>
                <w:szCs w:val="24"/>
                <w14:textFill>
                  <w14:solidFill>
                    <w14:schemeClr w14:val="tx1"/>
                  </w14:solidFill>
                </w14:textFill>
              </w:rPr>
              <w:t>脱脂槽</w:t>
            </w:r>
            <w:r>
              <w:rPr>
                <w:rFonts w:hint="eastAsia" w:ascii="Times New Roman" w:hAnsi="Times New Roman" w:cs="Times New Roman"/>
                <w:b w:val="0"/>
                <w:bCs w:val="0"/>
                <w:color w:val="000000" w:themeColor="text1"/>
                <w:sz w:val="24"/>
                <w:szCs w:val="24"/>
                <w:lang w:eastAsia="zh-CN"/>
                <w14:textFill>
                  <w14:solidFill>
                    <w14:schemeClr w14:val="tx1"/>
                  </w14:solidFill>
                </w14:textFill>
              </w:rPr>
              <w:t>、</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主脱脂槽</w:t>
            </w:r>
            <w:r>
              <w:rPr>
                <w:rFonts w:hint="default" w:ascii="Times New Roman" w:hAnsi="Times New Roman" w:cs="Times New Roman"/>
                <w:b w:val="0"/>
                <w:bCs w:val="0"/>
                <w:color w:val="000000" w:themeColor="text1"/>
                <w:sz w:val="24"/>
                <w:szCs w:val="24"/>
                <w14:textFill>
                  <w14:solidFill>
                    <w14:schemeClr w14:val="tx1"/>
                  </w14:solidFill>
                </w14:textFill>
              </w:rPr>
              <w:t>内</w:t>
            </w:r>
            <w:r>
              <w:rPr>
                <w:rFonts w:hint="default" w:ascii="Times New Roman" w:hAnsi="Times New Roman" w:cs="Times New Roman"/>
                <w:b w:val="0"/>
                <w:bCs w:val="0"/>
                <w:color w:val="000000" w:themeColor="text1"/>
                <w:sz w:val="24"/>
                <w:szCs w:val="24"/>
                <w:lang w:eastAsia="zh-CN"/>
                <w14:textFill>
                  <w14:solidFill>
                    <w14:schemeClr w14:val="tx1"/>
                  </w14:solidFill>
                </w14:textFill>
              </w:rPr>
              <w:t>添加</w:t>
            </w:r>
            <w:r>
              <w:rPr>
                <w:rFonts w:hint="default" w:ascii="Times New Roman" w:hAnsi="Times New Roman" w:cs="Times New Roman"/>
                <w:b w:val="0"/>
                <w:bCs w:val="0"/>
                <w:color w:val="000000" w:themeColor="text1"/>
                <w:sz w:val="24"/>
                <w:szCs w:val="24"/>
                <w14:textFill>
                  <w14:solidFill>
                    <w14:schemeClr w14:val="tx1"/>
                  </w14:solidFill>
                </w14:textFill>
              </w:rPr>
              <w:t>脱脂剂与</w:t>
            </w:r>
            <w:r>
              <w:rPr>
                <w:rFonts w:hint="default" w:ascii="Times New Roman" w:hAnsi="Times New Roman" w:cs="Times New Roman"/>
                <w:b w:val="0"/>
                <w:bCs w:val="0"/>
                <w:color w:val="000000" w:themeColor="text1"/>
                <w:sz w:val="24"/>
                <w:szCs w:val="24"/>
                <w:lang w:eastAsia="zh-CN"/>
                <w14:textFill>
                  <w14:solidFill>
                    <w14:schemeClr w14:val="tx1"/>
                  </w14:solidFill>
                </w14:textFill>
              </w:rPr>
              <w:t>自来水</w:t>
            </w:r>
            <w:r>
              <w:rPr>
                <w:rFonts w:hint="default" w:ascii="Times New Roman" w:hAnsi="Times New Roman" w:cs="Times New Roman"/>
                <w:b w:val="0"/>
                <w:bCs w:val="0"/>
                <w:color w:val="000000" w:themeColor="text1"/>
                <w:sz w:val="24"/>
                <w:szCs w:val="24"/>
                <w14:textFill>
                  <w14:solidFill>
                    <w14:schemeClr w14:val="tx1"/>
                  </w14:solidFill>
                </w14:textFill>
              </w:rPr>
              <w:t>按比例调配成槽液，采用喷淋</w:t>
            </w:r>
            <w:r>
              <w:rPr>
                <w:rFonts w:hint="default" w:ascii="Times New Roman" w:hAnsi="Times New Roman" w:cs="Times New Roman"/>
                <w:b w:val="0"/>
                <w:bCs w:val="0"/>
                <w:color w:val="000000" w:themeColor="text1"/>
                <w:sz w:val="24"/>
                <w:szCs w:val="24"/>
                <w:lang w:eastAsia="zh-CN"/>
                <w14:textFill>
                  <w14:solidFill>
                    <w14:schemeClr w14:val="tx1"/>
                  </w14:solidFill>
                </w14:textFill>
              </w:rPr>
              <w:t>预</w:t>
            </w:r>
            <w:r>
              <w:rPr>
                <w:rFonts w:hint="default" w:ascii="Times New Roman" w:hAnsi="Times New Roman" w:cs="Times New Roman"/>
                <w:b w:val="0"/>
                <w:bCs w:val="0"/>
                <w:color w:val="000000" w:themeColor="text1"/>
                <w:sz w:val="24"/>
                <w:szCs w:val="24"/>
                <w14:textFill>
                  <w14:solidFill>
                    <w14:schemeClr w14:val="tx1"/>
                  </w14:solidFill>
                </w14:textFill>
              </w:rPr>
              <w:t>脱脂</w:t>
            </w:r>
            <w:r>
              <w:rPr>
                <w:rFonts w:hint="default" w:ascii="Times New Roman" w:hAnsi="Times New Roman" w:cs="Times New Roman"/>
                <w:b w:val="0"/>
                <w:bCs w:val="0"/>
                <w:color w:val="000000" w:themeColor="text1"/>
                <w:sz w:val="24"/>
                <w:szCs w:val="24"/>
                <w:lang w:eastAsia="zh-CN"/>
                <w14:textFill>
                  <w14:solidFill>
                    <w14:schemeClr w14:val="tx1"/>
                  </w14:solidFill>
                </w14:textFill>
              </w:rPr>
              <w:t>、主脱脂</w:t>
            </w:r>
            <w:r>
              <w:rPr>
                <w:rFonts w:hint="default" w:ascii="Times New Roman" w:hAnsi="Times New Roman" w:cs="Times New Roman"/>
                <w:b w:val="0"/>
                <w:bCs w:val="0"/>
                <w:color w:val="000000" w:themeColor="text1"/>
                <w:sz w:val="24"/>
                <w:szCs w:val="24"/>
                <w14:textFill>
                  <w14:solidFill>
                    <w14:schemeClr w14:val="tx1"/>
                  </w14:solidFill>
                </w14:textFill>
              </w:rPr>
              <w:t>，温度</w:t>
            </w:r>
            <w:r>
              <w:rPr>
                <w:rFonts w:hint="default" w:ascii="Times New Roman" w:hAnsi="Times New Roman" w:cs="Times New Roman"/>
                <w:b w:val="0"/>
                <w:bCs w:val="0"/>
                <w:color w:val="000000" w:themeColor="text1"/>
                <w:sz w:val="24"/>
                <w:szCs w:val="24"/>
                <w:lang w:eastAsia="zh-CN"/>
                <w14:textFill>
                  <w14:solidFill>
                    <w14:schemeClr w14:val="tx1"/>
                  </w14:solidFill>
                </w14:textFill>
              </w:rPr>
              <w:t>为</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常温</w:t>
            </w: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b w:val="0"/>
                <w:bCs w:val="0"/>
                <w:color w:val="000000" w:themeColor="text1"/>
                <w:sz w:val="24"/>
                <w:szCs w:val="24"/>
                <w14:textFill>
                  <w14:solidFill>
                    <w14:schemeClr w14:val="tx1"/>
                  </w14:solidFill>
                </w14:textFill>
              </w:rPr>
              <w:t>预脱脂时间</w:t>
            </w:r>
            <w:r>
              <w:rPr>
                <w:rFonts w:hint="default" w:ascii="Times New Roman" w:hAnsi="Times New Roman" w:cs="Times New Roman"/>
                <w:b w:val="0"/>
                <w:bCs w:val="0"/>
                <w:color w:val="000000" w:themeColor="text1"/>
                <w:sz w:val="24"/>
                <w:szCs w:val="24"/>
                <w:lang w:eastAsia="zh-CN"/>
                <w14:textFill>
                  <w14:solidFill>
                    <w14:schemeClr w14:val="tx1"/>
                  </w14:solidFill>
                </w14:textFill>
              </w:rPr>
              <w:t>为</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40s</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，主脱脂时间为</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1</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min</w:t>
            </w:r>
            <w:r>
              <w:rPr>
                <w:rFonts w:hint="default" w:ascii="Times New Roman" w:hAnsi="Times New Roman" w:cs="Times New Roman"/>
                <w:b w:val="0"/>
                <w:bCs w:val="0"/>
                <w:color w:val="000000" w:themeColor="text1"/>
                <w:sz w:val="24"/>
                <w:szCs w:val="24"/>
                <w:lang w:eastAsia="zh-CN"/>
                <w14:textFill>
                  <w14:solidFill>
                    <w14:schemeClr w14:val="tx1"/>
                  </w14:solidFill>
                </w14:textFill>
              </w:rPr>
              <w:t>。脱脂槽脱脂过程中会产生脱脂槽槽渣</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9</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，预脱脂槽</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每半年更换一次，</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主脱脂槽</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均</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每</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3个月</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更换一次，因此会产生脱脂槽槽液W</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。脱脂后经</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2</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道水洗，</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采用自来水，</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并采用逆流节水措施，即水洗槽</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2</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清洗水回至水洗槽1循环使用，连续溢流排水，产生脱脂后水洗废水W</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4</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w:t>
            </w:r>
          </w:p>
          <w:p w14:paraId="3E02E106">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综上，此工序产生脱脂槽槽液W</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、脱脂后水洗废水W</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4</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、废</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化学品</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包装桶S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及</w:t>
            </w:r>
            <w:r>
              <w:rPr>
                <w:rFonts w:hint="default" w:ascii="Times New Roman" w:hAnsi="Times New Roman" w:cs="Times New Roman"/>
                <w:b w:val="0"/>
                <w:bCs w:val="0"/>
                <w:color w:val="000000" w:themeColor="text1"/>
                <w:sz w:val="24"/>
                <w:szCs w:val="24"/>
                <w:lang w:eastAsia="zh-CN"/>
                <w14:textFill>
                  <w14:solidFill>
                    <w14:schemeClr w14:val="tx1"/>
                  </w14:solidFill>
                </w14:textFill>
              </w:rPr>
              <w:t>脱脂槽槽渣</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10、水洗槽槽渣S11和设备噪声N</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w:t>
            </w:r>
          </w:p>
          <w:p w14:paraId="6A58407F">
            <w:pPr>
              <w:keepNext w:val="0"/>
              <w:keepLines w:val="0"/>
              <w:numPr>
                <w:ilvl w:val="0"/>
                <w:numId w:val="11"/>
              </w:numPr>
              <w:suppressLineNumbers w:val="0"/>
              <w:adjustRightInd w:val="0"/>
              <w:spacing w:before="0" w:beforeAutospacing="0" w:after="0" w:afterAutospacing="0" w:line="360" w:lineRule="auto"/>
              <w:ind w:left="0" w:leftChars="0" w:right="-210" w:rightChars="-100" w:firstLine="480" w:firstLineChars="200"/>
              <w:rPr>
                <w:rFonts w:hint="default" w:ascii="Times New Roman" w:hAnsi="Times New Roman" w:cs="Times New Roman"/>
                <w:b w:val="0"/>
                <w:bCs w:val="0"/>
                <w:color w:val="000000" w:themeColor="text1"/>
                <w:kern w:val="0"/>
                <w:sz w:val="24"/>
                <w:szCs w:val="24"/>
                <w:lang w:val="en-US" w:eastAsia="zh-CN" w:bidi="ar-SA"/>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硅烷化</w:t>
            </w:r>
          </w:p>
          <w:p w14:paraId="224D71C0">
            <w:pPr>
              <w:pStyle w:val="233"/>
              <w:keepNext w:val="0"/>
              <w:keepLines w:val="0"/>
              <w:numPr>
                <w:ilvl w:val="0"/>
                <w:numId w:val="0"/>
              </w:numPr>
              <w:suppressLineNumbers w:val="0"/>
              <w:spacing w:before="0" w:beforeAutospacing="0" w:after="0" w:afterAutospacing="0" w:line="360" w:lineRule="auto"/>
              <w:ind w:right="113" w:rightChars="0" w:firstLine="480" w:firstLineChars="200"/>
              <w:jc w:val="both"/>
              <w:rPr>
                <w:rFonts w:hint="default" w:ascii="Times New Roman" w:hAnsi="Times New Roman" w:cs="Times New Roman"/>
                <w:b w:val="0"/>
                <w:bCs w:val="0"/>
                <w:color w:val="000000" w:themeColor="text1"/>
                <w:sz w:val="24"/>
                <w:szCs w:val="24"/>
                <w:lang w:eastAsia="zh-CN"/>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硅烷化以有机硅烷水溶液为主要成分对金属或非金属材料进行表面处理的过程。硅烷处理中不含锌、镍等有害重金属及其它有害成分，产生极少量硅烷渣。在硅烷</w:t>
            </w:r>
            <w:r>
              <w:rPr>
                <w:rFonts w:hint="default" w:ascii="Times New Roman" w:hAnsi="Times New Roman" w:cs="Times New Roman"/>
                <w:b w:val="0"/>
                <w:bCs w:val="0"/>
                <w:color w:val="000000" w:themeColor="text1"/>
                <w:sz w:val="24"/>
                <w:szCs w:val="24"/>
                <w14:textFill>
                  <w14:solidFill>
                    <w14:schemeClr w14:val="tx1"/>
                  </w14:solidFill>
                </w14:textFill>
              </w:rPr>
              <w:t>槽内</w:t>
            </w:r>
            <w:r>
              <w:rPr>
                <w:rFonts w:hint="default" w:ascii="Times New Roman" w:hAnsi="Times New Roman" w:cs="Times New Roman"/>
                <w:b w:val="0"/>
                <w:bCs w:val="0"/>
                <w:color w:val="000000" w:themeColor="text1"/>
                <w:sz w:val="24"/>
                <w:szCs w:val="24"/>
                <w:lang w:eastAsia="zh-CN"/>
                <w14:textFill>
                  <w14:solidFill>
                    <w14:schemeClr w14:val="tx1"/>
                  </w14:solidFill>
                </w14:textFill>
              </w:rPr>
              <w:t>添加硅烷</w:t>
            </w:r>
            <w:r>
              <w:rPr>
                <w:rFonts w:hint="default" w:ascii="Times New Roman" w:hAnsi="Times New Roman" w:cs="Times New Roman"/>
                <w:b w:val="0"/>
                <w:bCs w:val="0"/>
                <w:color w:val="000000" w:themeColor="text1"/>
                <w:sz w:val="24"/>
                <w:szCs w:val="24"/>
                <w14:textFill>
                  <w14:solidFill>
                    <w14:schemeClr w14:val="tx1"/>
                  </w14:solidFill>
                </w14:textFill>
              </w:rPr>
              <w:t>剂与</w:t>
            </w:r>
            <w:r>
              <w:rPr>
                <w:rFonts w:hint="default" w:ascii="Times New Roman" w:hAnsi="Times New Roman" w:cs="Times New Roman"/>
                <w:b w:val="0"/>
                <w:bCs w:val="0"/>
                <w:color w:val="000000" w:themeColor="text1"/>
                <w:sz w:val="24"/>
                <w:szCs w:val="24"/>
                <w:lang w:eastAsia="zh-CN"/>
                <w14:textFill>
                  <w14:solidFill>
                    <w14:schemeClr w14:val="tx1"/>
                  </w14:solidFill>
                </w14:textFill>
              </w:rPr>
              <w:t>自来水</w:t>
            </w:r>
            <w:r>
              <w:rPr>
                <w:rFonts w:hint="default" w:ascii="Times New Roman" w:hAnsi="Times New Roman" w:cs="Times New Roman"/>
                <w:b w:val="0"/>
                <w:bCs w:val="0"/>
                <w:color w:val="000000" w:themeColor="text1"/>
                <w:sz w:val="24"/>
                <w:szCs w:val="24"/>
                <w14:textFill>
                  <w14:solidFill>
                    <w14:schemeClr w14:val="tx1"/>
                  </w14:solidFill>
                </w14:textFill>
              </w:rPr>
              <w:t>按比例调配成槽液，采用</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喷淋</w:t>
            </w:r>
            <w:r>
              <w:rPr>
                <w:rFonts w:hint="default" w:ascii="Times New Roman" w:hAnsi="Times New Roman" w:cs="Times New Roman"/>
                <w:b w:val="0"/>
                <w:bCs w:val="0"/>
                <w:color w:val="000000" w:themeColor="text1"/>
                <w:sz w:val="24"/>
                <w:szCs w:val="24"/>
                <w:lang w:eastAsia="zh-CN"/>
                <w14:textFill>
                  <w14:solidFill>
                    <w14:schemeClr w14:val="tx1"/>
                  </w14:solidFill>
                </w14:textFill>
              </w:rPr>
              <w:t>硅烷</w:t>
            </w:r>
            <w:r>
              <w:rPr>
                <w:rFonts w:hint="default" w:ascii="Times New Roman" w:hAnsi="Times New Roman" w:cs="Times New Roman"/>
                <w:b w:val="0"/>
                <w:bCs w:val="0"/>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温度为</w:t>
            </w:r>
            <w:r>
              <w:rPr>
                <w:rFonts w:hint="eastAsia" w:ascii="Times New Roman" w:hAnsi="Times New Roman" w:cs="Times New Roman"/>
                <w:color w:val="000000" w:themeColor="text1"/>
                <w:sz w:val="24"/>
                <w:szCs w:val="24"/>
                <w:lang w:val="en-US" w:eastAsia="zh-CN"/>
                <w14:textFill>
                  <w14:solidFill>
                    <w14:schemeClr w14:val="tx1"/>
                  </w14:solidFill>
                </w14:textFill>
              </w:rPr>
              <w:t>常温</w:t>
            </w:r>
            <w:r>
              <w:rPr>
                <w:rFonts w:hint="default" w:ascii="Times New Roman" w:hAnsi="Times New Roman" w:cs="Times New Roman"/>
                <w:color w:val="000000" w:themeColor="text1"/>
                <w:sz w:val="24"/>
                <w:szCs w:val="24"/>
                <w14:textFill>
                  <w14:solidFill>
                    <w14:schemeClr w14:val="tx1"/>
                  </w14:solidFill>
                </w14:textFill>
              </w:rPr>
              <w:t>，时间为</w:t>
            </w:r>
            <w:r>
              <w:rPr>
                <w:rFonts w:hint="eastAsia" w:ascii="Times New Roman" w:hAnsi="Times New Roman" w:cs="Times New Roman"/>
                <w:color w:val="000000" w:themeColor="text1"/>
                <w:sz w:val="24"/>
                <w:szCs w:val="24"/>
                <w:lang w:val="en-US" w:eastAsia="zh-CN"/>
                <w14:textFill>
                  <w14:solidFill>
                    <w14:schemeClr w14:val="tx1"/>
                  </w14:solidFill>
                </w14:textFill>
              </w:rPr>
              <w:t>40</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s</w:t>
            </w:r>
            <w:r>
              <w:rPr>
                <w:rFonts w:hint="default" w:ascii="Times New Roman" w:hAnsi="Times New Roman" w:cs="Times New Roman"/>
                <w:color w:val="000000" w:themeColor="text1"/>
                <w:sz w:val="24"/>
                <w:szCs w:val="24"/>
                <w14:textFill>
                  <w14:solidFill>
                    <w14:schemeClr w14:val="tx1"/>
                  </w14:solidFill>
                </w14:textFill>
              </w:rPr>
              <w:t>。</w:t>
            </w:r>
          </w:p>
          <w:p w14:paraId="661A0D4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硅烷化过程中会产生硅烷化槽渣</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S1</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1</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4"/>
                <w:lang w:eastAsia="zh-CN"/>
                <w14:textFill>
                  <w14:solidFill>
                    <w14:schemeClr w14:val="tx1"/>
                  </w14:solidFill>
                </w14:textFill>
              </w:rPr>
              <w:t>硅烷化槽</w:t>
            </w:r>
            <w:r>
              <w:rPr>
                <w:rFonts w:hint="default" w:ascii="Times New Roman" w:hAnsi="Times New Roman" w:cs="Times New Roman"/>
                <w:color w:val="000000" w:themeColor="text1"/>
                <w:sz w:val="24"/>
                <w:szCs w:val="24"/>
                <w14:textFill>
                  <w14:solidFill>
                    <w14:schemeClr w14:val="tx1"/>
                  </w14:solidFill>
                </w14:textFill>
              </w:rPr>
              <w:t>槽液</w:t>
            </w:r>
            <w:r>
              <w:rPr>
                <w:rFonts w:hint="default" w:ascii="Times New Roman" w:hAnsi="Times New Roman" w:cs="Times New Roman"/>
                <w:color w:val="000000" w:themeColor="text1"/>
                <w:sz w:val="24"/>
                <w:szCs w:val="24"/>
                <w:lang w:eastAsia="zh-CN"/>
                <w14:textFill>
                  <w14:solidFill>
                    <w14:schemeClr w14:val="tx1"/>
                  </w14:solidFill>
                </w14:textFill>
              </w:rPr>
              <w:t>每</w:t>
            </w:r>
            <w:r>
              <w:rPr>
                <w:rFonts w:hint="eastAsia" w:ascii="Times New Roman" w:hAnsi="Times New Roman" w:cs="Times New Roman"/>
                <w:color w:val="000000" w:themeColor="text1"/>
                <w:sz w:val="24"/>
                <w:szCs w:val="24"/>
                <w:lang w:val="en-US" w:eastAsia="zh-CN"/>
                <w14:textFill>
                  <w14:solidFill>
                    <w14:schemeClr w14:val="tx1"/>
                  </w14:solidFill>
                </w14:textFill>
              </w:rPr>
              <w:t>半</w:t>
            </w:r>
            <w:r>
              <w:rPr>
                <w:rFonts w:hint="default" w:ascii="Times New Roman" w:hAnsi="Times New Roman" w:cs="Times New Roman"/>
                <w:color w:val="000000" w:themeColor="text1"/>
                <w:sz w:val="24"/>
                <w:szCs w:val="24"/>
                <w14:textFill>
                  <w14:solidFill>
                    <w14:schemeClr w14:val="tx1"/>
                  </w14:solidFill>
                </w14:textFill>
              </w:rPr>
              <w:t>年更换一次，因此会产生</w:t>
            </w:r>
            <w:r>
              <w:rPr>
                <w:rFonts w:hint="default" w:ascii="Times New Roman" w:hAnsi="Times New Roman" w:cs="Times New Roman"/>
                <w:b w:val="0"/>
                <w:bCs w:val="0"/>
                <w:color w:val="000000" w:themeColor="text1"/>
                <w:sz w:val="24"/>
                <w:szCs w:val="24"/>
                <w:lang w:eastAsia="zh-CN"/>
                <w14:textFill>
                  <w14:solidFill>
                    <w14:schemeClr w14:val="tx1"/>
                  </w14:solidFill>
                </w14:textFill>
              </w:rPr>
              <w:t>硅烷化</w:t>
            </w:r>
            <w:r>
              <w:rPr>
                <w:rFonts w:hint="default" w:ascii="Times New Roman" w:hAnsi="Times New Roman" w:cs="Times New Roman"/>
                <w:color w:val="000000" w:themeColor="text1"/>
                <w:sz w:val="24"/>
                <w:szCs w:val="24"/>
                <w14:textFill>
                  <w14:solidFill>
                    <w14:schemeClr w14:val="tx1"/>
                  </w14:solidFill>
                </w14:textFill>
              </w:rPr>
              <w:t>槽槽液</w:t>
            </w:r>
            <w:r>
              <w:rPr>
                <w:rFonts w:hint="default" w:ascii="Times New Roman" w:hAnsi="Times New Roman" w:cs="Times New Roman"/>
                <w:color w:val="000000" w:themeColor="text1"/>
                <w:sz w:val="24"/>
                <w:szCs w:val="24"/>
                <w:lang w:val="en-US" w:eastAsia="zh-CN"/>
                <w14:textFill>
                  <w14:solidFill>
                    <w14:schemeClr w14:val="tx1"/>
                  </w14:solidFill>
                </w14:textFill>
              </w:rPr>
              <w:t>W</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综上，此工序产生</w:t>
            </w:r>
            <w:r>
              <w:rPr>
                <w:rFonts w:hint="default" w:ascii="Times New Roman" w:hAnsi="Times New Roman" w:cs="Times New Roman"/>
                <w:b w:val="0"/>
                <w:bCs w:val="0"/>
                <w:color w:val="000000" w:themeColor="text1"/>
                <w:sz w:val="24"/>
                <w:szCs w:val="24"/>
                <w:lang w:eastAsia="zh-CN"/>
                <w14:textFill>
                  <w14:solidFill>
                    <w14:schemeClr w14:val="tx1"/>
                  </w14:solidFill>
                </w14:textFill>
              </w:rPr>
              <w:t>硅烷化</w:t>
            </w:r>
            <w:r>
              <w:rPr>
                <w:rFonts w:hint="default" w:ascii="Times New Roman" w:hAnsi="Times New Roman" w:cs="Times New Roman"/>
                <w:color w:val="000000" w:themeColor="text1"/>
                <w:sz w:val="24"/>
                <w:szCs w:val="24"/>
                <w14:textFill>
                  <w14:solidFill>
                    <w14:schemeClr w14:val="tx1"/>
                  </w14:solidFill>
                </w14:textFill>
              </w:rPr>
              <w:t>槽槽液</w:t>
            </w:r>
            <w:r>
              <w:rPr>
                <w:rFonts w:hint="default" w:ascii="Times New Roman" w:hAnsi="Times New Roman" w:cs="Times New Roman"/>
                <w:color w:val="000000" w:themeColor="text1"/>
                <w:sz w:val="24"/>
                <w:szCs w:val="24"/>
                <w:lang w:val="en-US" w:eastAsia="zh-CN"/>
                <w14:textFill>
                  <w14:solidFill>
                    <w14:schemeClr w14:val="tx1"/>
                  </w14:solidFill>
                </w14:textFill>
              </w:rPr>
              <w:t>W</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废</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化学品</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包装桶S</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4"/>
                <w:lang w:eastAsia="zh-CN"/>
                <w14:textFill>
                  <w14:solidFill>
                    <w14:schemeClr w14:val="tx1"/>
                  </w14:solidFill>
                </w14:textFill>
              </w:rPr>
              <w:t>硅烷化槽渣</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S1</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2和设备噪声N</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189C9AB1">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烘干</w:t>
            </w:r>
          </w:p>
          <w:p w14:paraId="024BF944">
            <w:pPr>
              <w:keepNext w:val="0"/>
              <w:keepLines w:val="0"/>
              <w:suppressLineNumbers w:val="0"/>
              <w:spacing w:before="0" w:beforeAutospacing="0" w:after="0" w:afterAutospacing="0" w:line="360" w:lineRule="auto"/>
              <w:ind w:left="0" w:right="0" w:firstLine="480"/>
              <w:rPr>
                <w:rFonts w:hint="default" w:ascii="Times New Roman" w:hAnsi="Times New Roman" w:cs="Times New Roman"/>
                <w:b w:val="0"/>
                <w:bCs w:val="0"/>
                <w:color w:val="000000" w:themeColor="text1"/>
                <w:sz w:val="24"/>
                <w:szCs w:val="24"/>
                <w14:textFill>
                  <w14:solidFill>
                    <w14:schemeClr w14:val="tx1"/>
                  </w14:solidFill>
                </w14:textFill>
              </w:rPr>
            </w:pPr>
            <w:r>
              <w:rPr>
                <w:rFonts w:hint="default" w:ascii="Times New Roman" w:hAnsi="Times New Roman" w:cs="Times New Roman"/>
                <w:b w:val="0"/>
                <w:bCs w:val="0"/>
                <w:color w:val="000000" w:themeColor="text1"/>
                <w:sz w:val="24"/>
                <w:szCs w:val="24"/>
                <w14:textFill>
                  <w14:solidFill>
                    <w14:schemeClr w14:val="tx1"/>
                  </w14:solidFill>
                </w14:textFill>
              </w:rPr>
              <w:t>对</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前处理</w:t>
            </w:r>
            <w:r>
              <w:rPr>
                <w:rFonts w:hint="default" w:ascii="Times New Roman" w:hAnsi="Times New Roman" w:cs="Times New Roman"/>
                <w:b w:val="0"/>
                <w:bCs w:val="0"/>
                <w:color w:val="000000" w:themeColor="text1"/>
                <w:sz w:val="24"/>
                <w:szCs w:val="24"/>
                <w14:textFill>
                  <w14:solidFill>
                    <w14:schemeClr w14:val="tx1"/>
                  </w14:solidFill>
                </w14:textFill>
              </w:rPr>
              <w:t>后工件表面水珠进行烘干，</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设置一个前处理烘干通道，采用</w:t>
            </w:r>
            <w:r>
              <w:rPr>
                <w:rFonts w:hint="default" w:ascii="Times New Roman" w:hAnsi="Times New Roman" w:cs="Times New Roman"/>
                <w:b w:val="0"/>
                <w:bCs w:val="0"/>
                <w:color w:val="000000" w:themeColor="text1"/>
                <w:sz w:val="24"/>
                <w:szCs w:val="24"/>
                <w14:textFill>
                  <w14:solidFill>
                    <w14:schemeClr w14:val="tx1"/>
                  </w14:solidFill>
                </w14:textFill>
              </w:rPr>
              <w:t>天然气作为能源</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直接加热，</w:t>
            </w:r>
            <w:r>
              <w:rPr>
                <w:rFonts w:hint="default" w:ascii="Times New Roman" w:hAnsi="Times New Roman" w:cs="Times New Roman"/>
                <w:color w:val="000000" w:themeColor="text1"/>
                <w:sz w:val="24"/>
                <w:szCs w:val="24"/>
                <w14:textFill>
                  <w14:solidFill>
                    <w14:schemeClr w14:val="tx1"/>
                  </w14:solidFill>
                </w14:textFill>
              </w:rPr>
              <w:t>烘干温度为</w:t>
            </w:r>
            <w:r>
              <w:rPr>
                <w:rFonts w:hint="eastAsia" w:ascii="Times New Roman" w:hAnsi="Times New Roman" w:cs="Times New Roman"/>
                <w:color w:val="000000" w:themeColor="text1"/>
                <w:sz w:val="24"/>
                <w:szCs w:val="24"/>
                <w:lang w:val="en-US" w:eastAsia="zh-CN"/>
                <w14:textFill>
                  <w14:solidFill>
                    <w14:schemeClr w14:val="tx1"/>
                  </w14:solidFill>
                </w14:textFill>
              </w:rPr>
              <w:t>150</w:t>
            </w:r>
            <w:r>
              <w:rPr>
                <w:rFonts w:hint="default" w:ascii="Times New Roman" w:hAnsi="Times New Roman" w:cs="Times New Roman"/>
                <w:color w:val="000000" w:themeColor="text1"/>
                <w:sz w:val="24"/>
                <w:szCs w:val="24"/>
                <w14:textFill>
                  <w14:solidFill>
                    <w14:schemeClr w14:val="tx1"/>
                  </w14:solidFill>
                </w14:textFill>
              </w:rPr>
              <w:t>℃，烘干时间为</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lang w:val="en-US" w:eastAsia="zh-CN"/>
                <w14:textFill>
                  <w14:solidFill>
                    <w14:schemeClr w14:val="tx1"/>
                  </w14:solidFill>
                </w14:textFill>
              </w:rPr>
              <w:t>0</w:t>
            </w:r>
            <w:r>
              <w:rPr>
                <w:rFonts w:hint="default" w:ascii="Times New Roman" w:hAnsi="Times New Roman" w:cs="Times New Roman"/>
                <w:color w:val="000000" w:themeColor="text1"/>
                <w:sz w:val="24"/>
                <w:szCs w:val="24"/>
                <w14:textFill>
                  <w14:solidFill>
                    <w14:schemeClr w14:val="tx1"/>
                  </w14:solidFill>
                </w14:textFill>
              </w:rPr>
              <w:t>min</w:t>
            </w:r>
            <w:r>
              <w:rPr>
                <w:rFonts w:hint="default" w:ascii="Times New Roman" w:hAnsi="Times New Roman" w:cs="Times New Roman"/>
                <w:b w:val="0"/>
                <w:bCs w:val="0"/>
                <w:color w:val="000000" w:themeColor="text1"/>
                <w:sz w:val="24"/>
                <w:szCs w:val="24"/>
                <w14:textFill>
                  <w14:solidFill>
                    <w14:schemeClr w14:val="tx1"/>
                  </w14:solidFill>
                </w14:textFill>
              </w:rPr>
              <w:t>。此工序产生</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前处理</w:t>
            </w:r>
            <w:r>
              <w:rPr>
                <w:rFonts w:hint="default" w:ascii="Times New Roman" w:hAnsi="Times New Roman" w:cs="Times New Roman"/>
                <w:b w:val="0"/>
                <w:bCs w:val="0"/>
                <w:color w:val="000000" w:themeColor="text1"/>
                <w:sz w:val="24"/>
                <w:szCs w:val="24"/>
                <w:lang w:eastAsia="zh-CN"/>
                <w14:textFill>
                  <w14:solidFill>
                    <w14:schemeClr w14:val="tx1"/>
                  </w14:solidFill>
                </w14:textFill>
              </w:rPr>
              <w:t>烘干天然气燃烧</w:t>
            </w:r>
            <w:r>
              <w:rPr>
                <w:rFonts w:hint="default" w:ascii="Times New Roman" w:hAnsi="Times New Roman" w:cs="Times New Roman"/>
                <w:b w:val="0"/>
                <w:bCs w:val="0"/>
                <w:color w:val="000000" w:themeColor="text1"/>
                <w:sz w:val="24"/>
                <w:szCs w:val="24"/>
                <w14:textFill>
                  <w14:solidFill>
                    <w14:schemeClr w14:val="tx1"/>
                  </w14:solidFill>
                </w14:textFill>
              </w:rPr>
              <w:t>废气</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G</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6</w:t>
            </w:r>
            <w:r>
              <w:rPr>
                <w:rFonts w:hint="default" w:ascii="Times New Roman" w:hAnsi="Times New Roman" w:cs="Times New Roman"/>
                <w:b w:val="0"/>
                <w:bCs w:val="0"/>
                <w:color w:val="000000" w:themeColor="text1"/>
                <w:sz w:val="24"/>
                <w:szCs w:val="24"/>
                <w14:textFill>
                  <w14:solidFill>
                    <w14:schemeClr w14:val="tx1"/>
                  </w14:solidFill>
                </w14:textFill>
              </w:rPr>
              <w:t>和设备噪声</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N</w:t>
            </w:r>
            <w:r>
              <w:rPr>
                <w:rFonts w:hint="default" w:ascii="Times New Roman" w:hAnsi="Times New Roman" w:cs="Times New Roman"/>
                <w:b w:val="0"/>
                <w:bCs w:val="0"/>
                <w:color w:val="000000" w:themeColor="text1"/>
                <w:sz w:val="24"/>
                <w:szCs w:val="24"/>
                <w14:textFill>
                  <w14:solidFill>
                    <w14:schemeClr w14:val="tx1"/>
                  </w14:solidFill>
                </w14:textFill>
              </w:rPr>
              <w:t>。</w:t>
            </w:r>
          </w:p>
          <w:p w14:paraId="199AE0A4">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阳极氧化（委外）</w:t>
            </w:r>
          </w:p>
          <w:p w14:paraId="284FD660">
            <w:pPr>
              <w:keepNext w:val="0"/>
              <w:keepLines w:val="0"/>
              <w:numPr>
                <w:ilvl w:val="0"/>
                <w:numId w:val="0"/>
              </w:numPr>
              <w:suppressLineNumbers w:val="0"/>
              <w:spacing w:before="0" w:beforeAutospacing="0" w:after="0" w:afterAutospacing="0" w:line="360" w:lineRule="auto"/>
              <w:ind w:left="420" w:leftChars="200" w:right="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阳极氧化</w:t>
            </w:r>
            <w:r>
              <w:rPr>
                <w:rFonts w:hint="default" w:ascii="Times New Roman" w:hAnsi="Times New Roman" w:cs="Times New Roman"/>
                <w:color w:val="000000" w:themeColor="text1"/>
                <w:sz w:val="24"/>
                <w:szCs w:val="24"/>
                <w:lang w:val="en-US" w:eastAsia="zh-CN"/>
                <w14:textFill>
                  <w14:solidFill>
                    <w14:schemeClr w14:val="tx1"/>
                  </w14:solidFill>
                </w14:textFill>
              </w:rPr>
              <w:t>处理工序委外处理，本次评价不做具体分析。</w:t>
            </w:r>
          </w:p>
          <w:p w14:paraId="17867F4C">
            <w:pPr>
              <w:keepNext w:val="0"/>
              <w:keepLines w:val="0"/>
              <w:numPr>
                <w:ilvl w:val="0"/>
                <w:numId w:val="0"/>
              </w:numPr>
              <w:suppressLineNumbers w:val="0"/>
              <w:spacing w:before="0" w:beforeAutospacing="0" w:after="0" w:afterAutospacing="0" w:line="360" w:lineRule="auto"/>
              <w:ind w:left="0" w:right="0" w:firstLine="482" w:firstLineChars="200"/>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项目涂装工序按照产品需求分为喷漆和喷粉，根据企业提供资料，</w:t>
            </w:r>
            <w:r>
              <w:rPr>
                <w:rFonts w:hint="eastAsia" w:ascii="Times New Roman" w:hAnsi="Times New Roman" w:cs="Times New Roman"/>
                <w:b/>
                <w:bCs/>
                <w:color w:val="000000" w:themeColor="text1"/>
                <w:sz w:val="24"/>
                <w:szCs w:val="24"/>
                <w:lang w:val="en-US" w:eastAsia="zh-CN"/>
                <w14:textFill>
                  <w14:solidFill>
                    <w14:schemeClr w14:val="tx1"/>
                  </w14:solidFill>
                </w14:textFill>
              </w:rPr>
              <w:t>除通讯五金件产品不需要进行喷漆处理，其他两种产品汽车零部</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件和</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光电设备配件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均</w:t>
            </w:r>
            <w:r>
              <w:rPr>
                <w:rFonts w:hint="eastAsia" w:ascii="Times New Roman" w:hAnsi="Times New Roman" w:cs="Times New Roman"/>
                <w:b/>
                <w:bCs/>
                <w:color w:val="000000" w:themeColor="text1"/>
                <w:sz w:val="24"/>
                <w:szCs w:val="24"/>
                <w:lang w:val="en-US" w:eastAsia="zh-CN"/>
                <w14:textFill>
                  <w14:solidFill>
                    <w14:schemeClr w14:val="tx1"/>
                  </w14:solidFill>
                </w14:textFill>
              </w:rPr>
              <w:t>需进行喷漆处理，且三种产品均进行喷粉处理</w:t>
            </w:r>
            <w:r>
              <w:rPr>
                <w:rFonts w:hint="default" w:ascii="Times New Roman" w:hAnsi="Times New Roman" w:cs="Times New Roman"/>
                <w:b/>
                <w:bCs/>
                <w:color w:val="000000" w:themeColor="text1"/>
                <w:sz w:val="24"/>
                <w:szCs w:val="24"/>
                <w:lang w:val="en-US" w:eastAsia="zh-CN"/>
                <w14:textFill>
                  <w14:solidFill>
                    <w14:schemeClr w14:val="tx1"/>
                  </w14:solidFill>
                </w14:textFill>
              </w:rPr>
              <w:t>。</w:t>
            </w:r>
          </w:p>
          <w:p w14:paraId="535A435D">
            <w:pPr>
              <w:keepNext w:val="0"/>
              <w:keepLines w:val="0"/>
              <w:numPr>
                <w:ilvl w:val="0"/>
                <w:numId w:val="11"/>
              </w:numPr>
              <w:suppressLineNumbers w:val="0"/>
              <w:spacing w:before="0" w:beforeAutospacing="0" w:after="0" w:afterAutospacing="0" w:line="360" w:lineRule="auto"/>
              <w:ind w:left="240" w:leftChars="0" w:right="0" w:firstLine="0" w:firstLineChars="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调漆、</w:t>
            </w:r>
            <w:r>
              <w:rPr>
                <w:rFonts w:hint="eastAsia" w:cs="Times New Roman"/>
                <w:color w:val="000000" w:themeColor="text1"/>
                <w:sz w:val="24"/>
                <w:szCs w:val="24"/>
                <w:lang w:val="en-US" w:eastAsia="zh-CN"/>
                <w14:textFill>
                  <w14:solidFill>
                    <w14:schemeClr w14:val="tx1"/>
                  </w14:solidFill>
                </w14:textFill>
              </w:rPr>
              <w:t>喷漆</w:t>
            </w:r>
          </w:p>
          <w:p w14:paraId="444F577A">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①调漆</w:t>
            </w:r>
          </w:p>
          <w:p w14:paraId="5128ED11">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表面涂装包括底漆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道。水性底漆即用状态下混合比例</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为</w:t>
            </w:r>
            <w:r>
              <w:rPr>
                <w:rFonts w:hint="default" w:ascii="Times New Roman" w:hAnsi="Times New Roman" w:cs="Times New Roman"/>
                <w:color w:val="000000" w:themeColor="text1"/>
                <w:kern w:val="2"/>
                <w:sz w:val="24"/>
                <w:szCs w:val="24"/>
                <w:lang w:val="en-US" w:eastAsia="zh-CN"/>
                <w14:textFill>
                  <w14:solidFill>
                    <w14:schemeClr w14:val="tx1"/>
                  </w14:solidFill>
                </w14:textFill>
              </w:rPr>
              <w:t>水性</w:t>
            </w:r>
            <w:r>
              <w:rPr>
                <w:rFonts w:hint="default" w:ascii="Times New Roman" w:hAnsi="Times New Roman" w:cs="Times New Roman"/>
                <w:color w:val="000000" w:themeColor="text1"/>
                <w:kern w:val="2"/>
                <w:sz w:val="24"/>
                <w:szCs w:val="24"/>
                <w14:textFill>
                  <w14:solidFill>
                    <w14:schemeClr w14:val="tx1"/>
                  </w14:solidFill>
                </w14:textFill>
              </w:rPr>
              <w:t>底漆：</w:t>
            </w:r>
            <w:r>
              <w:rPr>
                <w:rFonts w:hint="default" w:ascii="Times New Roman" w:hAnsi="Times New Roman" w:cs="Times New Roman"/>
                <w:color w:val="000000" w:themeColor="text1"/>
                <w:kern w:val="2"/>
                <w:sz w:val="24"/>
                <w:szCs w:val="24"/>
                <w:lang w:val="en-US" w:eastAsia="zh-CN"/>
                <w14:textFill>
                  <w14:solidFill>
                    <w14:schemeClr w14:val="tx1"/>
                  </w14:solidFill>
                </w14:textFill>
              </w:rPr>
              <w:t>水质量混合比</w:t>
            </w:r>
            <w:r>
              <w:rPr>
                <w:rFonts w:hint="default" w:ascii="Times New Roman" w:hAnsi="Times New Roman" w:cs="Times New Roman"/>
                <w:color w:val="000000" w:themeColor="text1"/>
                <w:kern w:val="2"/>
                <w:sz w:val="24"/>
                <w:szCs w:val="24"/>
                <w14:textFill>
                  <w14:solidFill>
                    <w14:schemeClr w14:val="tx1"/>
                  </w14:solidFill>
                </w14:textFill>
              </w:rPr>
              <w:t>=</w:t>
            </w:r>
            <w:r>
              <w:rPr>
                <w:rFonts w:hint="eastAsia" w:ascii="Times New Roman" w:hAnsi="Times New Roman" w:cs="Times New Roman"/>
                <w:color w:val="000000" w:themeColor="text1"/>
                <w:kern w:val="2"/>
                <w:sz w:val="24"/>
                <w:szCs w:val="24"/>
                <w:lang w:val="en-US" w:eastAsia="zh-CN"/>
                <w14:textFill>
                  <w14:solidFill>
                    <w14:schemeClr w14:val="tx1"/>
                  </w14:solidFill>
                </w14:textFill>
              </w:rPr>
              <w:t>1:5</w:t>
            </w:r>
            <w:r>
              <w:rPr>
                <w:rFonts w:hint="default" w:ascii="Times New Roman" w:hAnsi="Times New Roman" w:cs="Times New Roman"/>
                <w:color w:val="000000" w:themeColor="text1"/>
                <w:kern w:val="2"/>
                <w:sz w:val="24"/>
                <w:szCs w:val="24"/>
                <w:lang w:eastAsia="zh-CN"/>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本项目调漆位于</w:t>
            </w:r>
            <w:r>
              <w:rPr>
                <w:rFonts w:hint="eastAsia" w:ascii="Times New Roman" w:hAnsi="Times New Roman" w:cs="Times New Roman"/>
                <w:color w:val="000000" w:themeColor="text1"/>
                <w:kern w:val="2"/>
                <w:sz w:val="24"/>
                <w:szCs w:val="24"/>
                <w:lang w:val="en-US" w:eastAsia="zh-CN"/>
                <w14:textFill>
                  <w14:solidFill>
                    <w14:schemeClr w14:val="tx1"/>
                  </w14:solidFill>
                </w14:textFill>
              </w:rPr>
              <w:t>调漆</w:t>
            </w:r>
            <w:r>
              <w:rPr>
                <w:rFonts w:hint="default" w:ascii="Times New Roman" w:hAnsi="Times New Roman" w:cs="Times New Roman"/>
                <w:color w:val="000000" w:themeColor="text1"/>
                <w:kern w:val="2"/>
                <w:sz w:val="24"/>
                <w:szCs w:val="24"/>
                <w:lang w:val="en-US" w:eastAsia="zh-CN"/>
                <w14:textFill>
                  <w14:solidFill>
                    <w14:schemeClr w14:val="tx1"/>
                  </w14:solidFill>
                </w14:textFill>
              </w:rPr>
              <w:t>房内，调漆过程中产生调漆废气G</w:t>
            </w:r>
            <w:r>
              <w:rPr>
                <w:rFonts w:hint="eastAsia" w:ascii="Times New Roman" w:hAnsi="Times New Roman" w:cs="Times New Roman"/>
                <w:color w:val="000000" w:themeColor="text1"/>
                <w:kern w:val="2"/>
                <w:sz w:val="24"/>
                <w:szCs w:val="24"/>
                <w:lang w:val="en-US" w:eastAsia="zh-CN"/>
                <w14:textFill>
                  <w14:solidFill>
                    <w14:schemeClr w14:val="tx1"/>
                  </w14:solidFill>
                </w14:textFill>
              </w:rPr>
              <w:t>7</w:t>
            </w:r>
            <w:r>
              <w:rPr>
                <w:rFonts w:hint="default" w:ascii="Times New Roman" w:hAnsi="Times New Roman" w:cs="Times New Roman"/>
                <w:color w:val="000000" w:themeColor="text1"/>
                <w:kern w:val="2"/>
                <w:sz w:val="24"/>
                <w:szCs w:val="24"/>
                <w:lang w:val="en-US" w:eastAsia="zh-CN"/>
                <w14:textFill>
                  <w14:solidFill>
                    <w14:schemeClr w14:val="tx1"/>
                  </w14:solidFill>
                </w14:textFill>
              </w:rPr>
              <w:t>、废化学品包装桶S3。</w:t>
            </w:r>
          </w:p>
          <w:p w14:paraId="5D1AD475">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②喷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漆</w:t>
            </w:r>
          </w:p>
          <w:p w14:paraId="6D3C0AD5">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本项目设置密闭负压喷漆房</w:t>
            </w:r>
            <w:r>
              <w:rPr>
                <w:rFonts w:hint="default"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间，采用</w:t>
            </w:r>
            <w:r>
              <w:rPr>
                <w:rFonts w:hint="eastAsia" w:ascii="Times New Roman" w:hAnsi="Times New Roman" w:cs="Times New Roman"/>
                <w:color w:val="000000" w:themeColor="text1"/>
                <w:sz w:val="24"/>
                <w:szCs w:val="24"/>
                <w:lang w:val="en-US" w:eastAsia="zh-CN"/>
                <w14:textFill>
                  <w14:solidFill>
                    <w14:schemeClr w14:val="tx1"/>
                  </w14:solidFill>
                </w14:textFill>
              </w:rPr>
              <w:t>部分使用自动喷漆，部分使用</w:t>
            </w:r>
            <w:r>
              <w:rPr>
                <w:rFonts w:hint="default" w:ascii="Times New Roman" w:hAnsi="Times New Roman" w:cs="Times New Roman"/>
                <w:color w:val="000000" w:themeColor="text1"/>
                <w:sz w:val="24"/>
                <w:szCs w:val="24"/>
                <w:lang w:val="en-US" w:eastAsia="zh-CN"/>
                <w14:textFill>
                  <w14:solidFill>
                    <w14:schemeClr w14:val="tx1"/>
                  </w14:solidFill>
                </w14:textFill>
              </w:rPr>
              <w:t>人工</w:t>
            </w:r>
            <w:r>
              <w:rPr>
                <w:rFonts w:hint="default" w:ascii="Times New Roman" w:hAnsi="Times New Roman" w:cs="Times New Roman"/>
                <w:color w:val="000000" w:themeColor="text1"/>
                <w:sz w:val="24"/>
                <w:szCs w:val="24"/>
                <w14:textFill>
                  <w14:solidFill>
                    <w14:schemeClr w14:val="tx1"/>
                  </w14:solidFill>
                </w14:textFill>
              </w:rPr>
              <w:t>喷涂</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自动喷涂经检验有瑕疵的还需人工进行补涂</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光电设备配件、汽车零部件</w:t>
            </w:r>
            <w:r>
              <w:rPr>
                <w:rFonts w:hint="default" w:ascii="Times New Roman" w:hAnsi="Times New Roman" w:cs="Times New Roman"/>
                <w:color w:val="000000" w:themeColor="text1"/>
                <w:sz w:val="24"/>
                <w:szCs w:val="24"/>
                <w:lang w:val="en-US" w:eastAsia="zh-CN"/>
                <w14:textFill>
                  <w14:solidFill>
                    <w14:schemeClr w14:val="tx1"/>
                  </w14:solidFill>
                </w14:textFill>
              </w:rPr>
              <w:t>底漆</w:t>
            </w:r>
            <w:r>
              <w:rPr>
                <w:rFonts w:hint="default" w:ascii="Times New Roman" w:hAnsi="Times New Roman" w:cs="Times New Roman"/>
                <w:color w:val="000000" w:themeColor="text1"/>
                <w:sz w:val="24"/>
                <w:szCs w:val="24"/>
                <w14:textFill>
                  <w14:solidFill>
                    <w14:schemeClr w14:val="tx1"/>
                  </w14:solidFill>
                </w14:textFill>
              </w:rPr>
              <w:t>喷涂厚度</w:t>
            </w:r>
            <w:r>
              <w:rPr>
                <w:rFonts w:hint="eastAsia" w:ascii="Times New Roman" w:hAnsi="Times New Roman" w:cs="Times New Roman"/>
                <w:color w:val="000000" w:themeColor="text1"/>
                <w:sz w:val="24"/>
                <w:szCs w:val="24"/>
                <w:lang w:val="en-US" w:eastAsia="zh-CN"/>
                <w14:textFill>
                  <w14:solidFill>
                    <w14:schemeClr w14:val="tx1"/>
                  </w14:solidFill>
                </w14:textFill>
              </w:rPr>
              <w:t>分别</w:t>
            </w:r>
            <w:r>
              <w:rPr>
                <w:rFonts w:hint="default" w:ascii="Times New Roman" w:hAnsi="Times New Roman" w:cs="Times New Roman"/>
                <w:color w:val="000000" w:themeColor="text1"/>
                <w:sz w:val="24"/>
                <w:szCs w:val="24"/>
                <w14:textFill>
                  <w14:solidFill>
                    <w14:schemeClr w14:val="tx1"/>
                  </w14:solidFill>
                </w14:textFill>
              </w:rPr>
              <w:t>为</w:t>
            </w:r>
            <w:r>
              <w:rPr>
                <w:rFonts w:hint="default"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0μm</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70</w:t>
            </w:r>
            <w:r>
              <w:rPr>
                <w:rFonts w:hint="default" w:ascii="Times New Roman" w:hAnsi="Times New Roman" w:cs="Times New Roman"/>
                <w:color w:val="000000" w:themeColor="text1"/>
                <w:sz w:val="24"/>
                <w:szCs w:val="24"/>
                <w14:textFill>
                  <w14:solidFill>
                    <w14:schemeClr w14:val="tx1"/>
                  </w14:solidFill>
                </w14:textFill>
              </w:rPr>
              <w:t>μm。</w:t>
            </w:r>
            <w:r>
              <w:rPr>
                <w:rFonts w:hint="default" w:ascii="Times New Roman" w:hAnsi="Times New Roman" w:cs="Times New Roman"/>
                <w:color w:val="000000" w:themeColor="text1"/>
                <w:sz w:val="24"/>
                <w:szCs w:val="24"/>
                <w:lang w:val="en-US" w:eastAsia="zh-CN"/>
                <w14:textFill>
                  <w14:solidFill>
                    <w14:schemeClr w14:val="tx1"/>
                  </w14:solidFill>
                </w14:textFill>
              </w:rPr>
              <w:t>此工序产生喷漆废气G</w:t>
            </w:r>
            <w:r>
              <w:rPr>
                <w:rFonts w:hint="eastAsia" w:ascii="Times New Roman" w:hAnsi="Times New Roman"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val="en-US" w:eastAsia="zh-CN"/>
                <w14:textFill>
                  <w14:solidFill>
                    <w14:schemeClr w14:val="tx1"/>
                  </w14:solidFill>
                </w14:textFill>
              </w:rPr>
              <w:t>、水性漆渣S</w:t>
            </w:r>
            <w:r>
              <w:rPr>
                <w:rFonts w:hint="eastAsia" w:ascii="Times New Roman" w:hAnsi="Times New Roman" w:cs="Times New Roman"/>
                <w:color w:val="000000" w:themeColor="text1"/>
                <w:sz w:val="24"/>
                <w:szCs w:val="24"/>
                <w:lang w:val="en-US" w:eastAsia="zh-CN"/>
                <w14:textFill>
                  <w14:solidFill>
                    <w14:schemeClr w14:val="tx1"/>
                  </w14:solidFill>
                </w14:textFill>
              </w:rPr>
              <w:t>13</w:t>
            </w:r>
            <w:r>
              <w:rPr>
                <w:rFonts w:hint="default" w:ascii="Times New Roman" w:hAnsi="Times New Roman" w:cs="Times New Roman"/>
                <w:color w:val="000000" w:themeColor="text1"/>
                <w:sz w:val="24"/>
                <w:szCs w:val="24"/>
                <w:lang w:val="en-US" w:eastAsia="zh-CN"/>
                <w14:textFill>
                  <w14:solidFill>
                    <w14:schemeClr w14:val="tx1"/>
                  </w14:solidFill>
                </w14:textFill>
              </w:rPr>
              <w:t>和设备噪声N。</w:t>
            </w:r>
          </w:p>
          <w:p w14:paraId="05684029">
            <w:pPr>
              <w:keepNext w:val="0"/>
              <w:keepLines w:val="0"/>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③</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烘干</w:t>
            </w:r>
          </w:p>
          <w:p w14:paraId="05DCF203">
            <w:pPr>
              <w:keepNext w:val="0"/>
              <w:keepLines w:val="0"/>
              <w:suppressLineNumbers w:val="0"/>
              <w:spacing w:before="0" w:beforeAutospacing="0" w:after="0" w:afterAutospacing="0" w:line="360" w:lineRule="auto"/>
              <w:ind w:left="0" w:right="0" w:firstLine="480"/>
              <w:rPr>
                <w:rFonts w:hint="default" w:ascii="Times New Roman" w:hAnsi="Times New Roman" w:cs="Times New Roman"/>
                <w:b w:val="0"/>
                <w:bCs w:val="0"/>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喷漆后进入烘干通道，采用</w:t>
            </w:r>
            <w:r>
              <w:rPr>
                <w:rFonts w:hint="default" w:ascii="Times New Roman" w:hAnsi="Times New Roman" w:cs="Times New Roman"/>
                <w:b w:val="0"/>
                <w:bCs w:val="0"/>
                <w:color w:val="000000" w:themeColor="text1"/>
                <w:sz w:val="24"/>
                <w:szCs w:val="24"/>
                <w14:textFill>
                  <w14:solidFill>
                    <w14:schemeClr w14:val="tx1"/>
                  </w14:solidFill>
                </w14:textFill>
              </w:rPr>
              <w:t>天然气作为能源</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直接加热，</w:t>
            </w:r>
            <w:r>
              <w:rPr>
                <w:rFonts w:hint="default" w:ascii="Times New Roman" w:hAnsi="Times New Roman" w:cs="Times New Roman"/>
                <w:color w:val="000000" w:themeColor="text1"/>
                <w:sz w:val="24"/>
                <w:szCs w:val="24"/>
                <w14:textFill>
                  <w14:solidFill>
                    <w14:schemeClr w14:val="tx1"/>
                  </w14:solidFill>
                </w14:textFill>
              </w:rPr>
              <w:t>烘干温度为</w:t>
            </w:r>
            <w:r>
              <w:rPr>
                <w:rFonts w:hint="eastAsia" w:ascii="Times New Roman" w:hAnsi="Times New Roman" w:cs="Times New Roman"/>
                <w:color w:val="000000" w:themeColor="text1"/>
                <w:sz w:val="24"/>
                <w:szCs w:val="24"/>
                <w:lang w:val="en-US" w:eastAsia="zh-CN"/>
                <w14:textFill>
                  <w14:solidFill>
                    <w14:schemeClr w14:val="tx1"/>
                  </w14:solidFill>
                </w14:textFill>
              </w:rPr>
              <w:t>80</w:t>
            </w:r>
            <w:r>
              <w:rPr>
                <w:rFonts w:hint="default" w:ascii="Times New Roman" w:hAnsi="Times New Roman" w:cs="Times New Roman"/>
                <w:color w:val="000000" w:themeColor="text1"/>
                <w:sz w:val="24"/>
                <w:szCs w:val="24"/>
                <w14:textFill>
                  <w14:solidFill>
                    <w14:schemeClr w14:val="tx1"/>
                  </w14:solidFill>
                </w14:textFill>
              </w:rPr>
              <w:t>℃，烘干时间为</w:t>
            </w:r>
            <w:r>
              <w:rPr>
                <w:rFonts w:hint="eastAsia" w:ascii="Times New Roman" w:hAnsi="Times New Roman" w:cs="Times New Roman"/>
                <w:color w:val="000000" w:themeColor="text1"/>
                <w:sz w:val="24"/>
                <w:szCs w:val="24"/>
                <w:lang w:val="en-US" w:eastAsia="zh-CN"/>
                <w14:textFill>
                  <w14:solidFill>
                    <w14:schemeClr w14:val="tx1"/>
                  </w14:solidFill>
                </w14:textFill>
              </w:rPr>
              <w:t>15</w:t>
            </w:r>
            <w:r>
              <w:rPr>
                <w:rFonts w:hint="default" w:ascii="Times New Roman" w:hAnsi="Times New Roman" w:cs="Times New Roman"/>
                <w:color w:val="000000" w:themeColor="text1"/>
                <w:sz w:val="24"/>
                <w:szCs w:val="24"/>
                <w14:textFill>
                  <w14:solidFill>
                    <w14:schemeClr w14:val="tx1"/>
                  </w14:solidFill>
                </w14:textFill>
              </w:rPr>
              <w:t>min</w:t>
            </w:r>
            <w:r>
              <w:rPr>
                <w:rFonts w:hint="default" w:ascii="Times New Roman" w:hAnsi="Times New Roman" w:cs="Times New Roman"/>
                <w:b w:val="0"/>
                <w:bCs w:val="0"/>
                <w:color w:val="000000" w:themeColor="text1"/>
                <w:sz w:val="24"/>
                <w:szCs w:val="24"/>
                <w14:textFill>
                  <w14:solidFill>
                    <w14:schemeClr w14:val="tx1"/>
                  </w14:solidFill>
                </w14:textFill>
              </w:rPr>
              <w:t>。此工序产生</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喷漆</w:t>
            </w:r>
            <w:r>
              <w:rPr>
                <w:rFonts w:hint="default" w:ascii="Times New Roman" w:hAnsi="Times New Roman" w:cs="Times New Roman"/>
                <w:b w:val="0"/>
                <w:bCs w:val="0"/>
                <w:color w:val="000000" w:themeColor="text1"/>
                <w:sz w:val="24"/>
                <w:szCs w:val="24"/>
                <w:lang w:eastAsia="zh-CN"/>
                <w14:textFill>
                  <w14:solidFill>
                    <w14:schemeClr w14:val="tx1"/>
                  </w14:solidFill>
                </w14:textFill>
              </w:rPr>
              <w:t>烘干天然气燃烧</w:t>
            </w:r>
            <w:r>
              <w:rPr>
                <w:rFonts w:hint="default" w:ascii="Times New Roman" w:hAnsi="Times New Roman" w:cs="Times New Roman"/>
                <w:b w:val="0"/>
                <w:bCs w:val="0"/>
                <w:color w:val="000000" w:themeColor="text1"/>
                <w:sz w:val="24"/>
                <w:szCs w:val="24"/>
                <w14:textFill>
                  <w14:solidFill>
                    <w14:schemeClr w14:val="tx1"/>
                  </w14:solidFill>
                </w14:textFill>
              </w:rPr>
              <w:t>废气</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G</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6、喷漆烘干废气G9</w:t>
            </w:r>
            <w:r>
              <w:rPr>
                <w:rFonts w:hint="default" w:ascii="Times New Roman" w:hAnsi="Times New Roman" w:cs="Times New Roman"/>
                <w:b w:val="0"/>
                <w:bCs w:val="0"/>
                <w:color w:val="000000" w:themeColor="text1"/>
                <w:sz w:val="24"/>
                <w:szCs w:val="24"/>
                <w14:textFill>
                  <w14:solidFill>
                    <w14:schemeClr w14:val="tx1"/>
                  </w14:solidFill>
                </w14:textFill>
              </w:rPr>
              <w:t>和设备噪声</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N</w:t>
            </w:r>
            <w:r>
              <w:rPr>
                <w:rFonts w:hint="default" w:ascii="Times New Roman" w:hAnsi="Times New Roman" w:cs="Times New Roman"/>
                <w:b w:val="0"/>
                <w:bCs w:val="0"/>
                <w:color w:val="000000" w:themeColor="text1"/>
                <w:sz w:val="24"/>
                <w:szCs w:val="24"/>
                <w14:textFill>
                  <w14:solidFill>
                    <w14:schemeClr w14:val="tx1"/>
                  </w14:solidFill>
                </w14:textFill>
              </w:rPr>
              <w:t>。</w:t>
            </w:r>
          </w:p>
          <w:p w14:paraId="1D96F9FA">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（6）喷粉</w:t>
            </w:r>
          </w:p>
          <w:p w14:paraId="766E7B7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lang w:bidi="ar"/>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w:t>
            </w:r>
            <w:r>
              <w:rPr>
                <w:rFonts w:hint="default" w:ascii="Times New Roman" w:hAnsi="Times New Roman" w:eastAsia="宋体" w:cs="Times New Roman"/>
                <w:color w:val="000000" w:themeColor="text1"/>
                <w:sz w:val="24"/>
                <w:szCs w:val="24"/>
                <w14:textFill>
                  <w14:solidFill>
                    <w14:schemeClr w14:val="tx1"/>
                  </w14:solidFill>
                </w14:textFill>
              </w:rPr>
              <w:t>共设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条</w:t>
            </w:r>
            <w:r>
              <w:rPr>
                <w:rFonts w:hint="default" w:ascii="Times New Roman" w:hAnsi="Times New Roman" w:cs="Times New Roman"/>
                <w:color w:val="000000" w:themeColor="text1"/>
                <w:sz w:val="24"/>
                <w:szCs w:val="24"/>
                <w14:textFill>
                  <w14:solidFill>
                    <w14:schemeClr w14:val="tx1"/>
                  </w14:solidFill>
                </w14:textFill>
              </w:rPr>
              <w:t>喷粉线，喷粉线配备</w:t>
            </w:r>
            <w:r>
              <w:rPr>
                <w:rFonts w:hint="eastAsia" w:ascii="Times New Roman" w:hAnsi="Times New Roman" w:cs="Times New Roman"/>
                <w:color w:val="000000" w:themeColor="text1"/>
                <w:sz w:val="24"/>
                <w:szCs w:val="24"/>
                <w:lang w:val="en-US" w:eastAsia="zh-CN"/>
                <w14:textFill>
                  <w14:solidFill>
                    <w14:schemeClr w14:val="tx1"/>
                  </w14:solidFill>
                </w14:textFill>
              </w:rPr>
              <w:t>6</w:t>
            </w:r>
            <w:r>
              <w:rPr>
                <w:rFonts w:hint="default" w:ascii="Times New Roman" w:hAnsi="Times New Roman" w:cs="Times New Roman"/>
                <w:color w:val="000000" w:themeColor="text1"/>
                <w:sz w:val="24"/>
                <w:szCs w:val="24"/>
                <w14:textFill>
                  <w14:solidFill>
                    <w14:schemeClr w14:val="tx1"/>
                  </w14:solidFill>
                </w14:textFill>
              </w:rPr>
              <w:t>个</w:t>
            </w:r>
            <w:r>
              <w:rPr>
                <w:rFonts w:hint="default" w:ascii="Times New Roman" w:hAnsi="Times New Roman" w:cs="Times New Roman"/>
                <w:color w:val="000000" w:themeColor="text1"/>
                <w:sz w:val="24"/>
                <w:szCs w:val="24"/>
                <w:lang w:val="en-US" w:eastAsia="zh-CN"/>
                <w14:textFill>
                  <w14:solidFill>
                    <w14:schemeClr w14:val="tx1"/>
                  </w14:solidFill>
                </w14:textFill>
              </w:rPr>
              <w:t>人工</w:t>
            </w:r>
            <w:r>
              <w:rPr>
                <w:rFonts w:hint="eastAsia" w:ascii="Times New Roman" w:hAnsi="Times New Roman" w:cs="Times New Roman"/>
                <w:color w:val="000000" w:themeColor="text1"/>
                <w:sz w:val="24"/>
                <w:szCs w:val="24"/>
                <w:lang w:val="en-US" w:eastAsia="zh-CN"/>
                <w14:textFill>
                  <w14:solidFill>
                    <w14:schemeClr w14:val="tx1"/>
                  </w14:solidFill>
                </w14:textFill>
              </w:rPr>
              <w:t>补粉</w:t>
            </w:r>
            <w:r>
              <w:rPr>
                <w:rFonts w:hint="default" w:ascii="Times New Roman" w:hAnsi="Times New Roman" w:cs="Times New Roman"/>
                <w:color w:val="000000" w:themeColor="text1"/>
                <w:sz w:val="24"/>
                <w:szCs w:val="24"/>
                <w:lang w:val="en-US" w:eastAsia="zh-CN"/>
                <w14:textFill>
                  <w14:solidFill>
                    <w14:schemeClr w14:val="tx1"/>
                  </w14:solidFill>
                </w14:textFill>
              </w:rPr>
              <w:t>房+</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val="en-US" w:eastAsia="zh-CN"/>
                <w14:textFill>
                  <w14:solidFill>
                    <w14:schemeClr w14:val="tx1"/>
                  </w14:solidFill>
                </w14:textFill>
              </w:rPr>
              <w:t>个</w:t>
            </w:r>
            <w:r>
              <w:rPr>
                <w:rFonts w:hint="eastAsia" w:ascii="Times New Roman" w:hAnsi="Times New Roman" w:cs="Times New Roman"/>
                <w:color w:val="000000" w:themeColor="text1"/>
                <w:sz w:val="24"/>
                <w:szCs w:val="24"/>
                <w:lang w:val="en-US" w:eastAsia="zh-CN"/>
                <w14:textFill>
                  <w14:solidFill>
                    <w14:schemeClr w14:val="tx1"/>
                  </w14:solidFill>
                </w14:textFill>
              </w:rPr>
              <w:t>静电</w:t>
            </w:r>
            <w:r>
              <w:rPr>
                <w:rFonts w:hint="default" w:ascii="Times New Roman" w:hAnsi="Times New Roman" w:cs="Times New Roman"/>
                <w:color w:val="000000" w:themeColor="text1"/>
                <w:sz w:val="24"/>
                <w:szCs w:val="24"/>
                <w:lang w:val="en-US" w:eastAsia="zh-CN"/>
                <w14:textFill>
                  <w14:solidFill>
                    <w14:schemeClr w14:val="tx1"/>
                  </w14:solidFill>
                </w14:textFill>
              </w:rPr>
              <w:t>喷粉房</w:t>
            </w:r>
            <w:r>
              <w:rPr>
                <w:rFonts w:hint="default" w:ascii="Times New Roman" w:hAnsi="Times New Roman" w:cs="Times New Roman"/>
                <w:color w:val="000000" w:themeColor="text1"/>
                <w:sz w:val="24"/>
                <w:szCs w:val="24"/>
                <w14:textFill>
                  <w14:solidFill>
                    <w14:schemeClr w14:val="tx1"/>
                  </w14:solidFill>
                </w14:textFill>
              </w:rPr>
              <w:t>。</w:t>
            </w:r>
          </w:p>
          <w:p w14:paraId="0DA2D762">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喷粉室主要由喷枪、房体、粉末自动回收系统和供粉系统组成。供粉系统把压缩空气与粉筒内的粉末充分混合后成为流体状并通过粉泵输送到喷枪中；喷枪的枪体内带有高压发生器，通过电场力的作用粉末被吸附到工件表面，喷涂附着率一般</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65</w:t>
            </w:r>
            <w:r>
              <w:rPr>
                <w:rFonts w:hint="default" w:ascii="Times New Roman" w:hAnsi="Times New Roman" w:eastAsia="TimesNewRomanPSMT" w:cs="Times New Roman"/>
                <w:color w:val="000000" w:themeColor="text1"/>
                <w:kern w:val="0"/>
                <w:sz w:val="24"/>
                <w:szCs w:val="24"/>
                <w:lang w:bidi="ar"/>
                <w14:textFill>
                  <w14:solidFill>
                    <w14:schemeClr w14:val="tx1"/>
                  </w14:solidFill>
                </w14:textFill>
              </w:rPr>
              <w:t>%</w:t>
            </w:r>
            <w:r>
              <w:rPr>
                <w:rFonts w:hint="default" w:ascii="Times New Roman" w:hAnsi="Times New Roman" w:cs="Times New Roman"/>
                <w:color w:val="000000" w:themeColor="text1"/>
                <w:kern w:val="0"/>
                <w:sz w:val="24"/>
                <w:szCs w:val="24"/>
                <w:lang w:bidi="ar"/>
                <w14:textFill>
                  <w14:solidFill>
                    <w14:schemeClr w14:val="tx1"/>
                  </w14:solidFill>
                </w14:textFill>
              </w:rPr>
              <w:t>左右，</w:t>
            </w:r>
            <w:r>
              <w:rPr>
                <w:rFonts w:hint="eastAsia" w:ascii="Times New Roman" w:hAnsi="Times New Roman" w:cs="Times New Roman"/>
                <w:color w:val="000000" w:themeColor="text1"/>
                <w:sz w:val="24"/>
                <w:szCs w:val="24"/>
                <w:lang w:val="en-US" w:eastAsia="zh-CN"/>
                <w14:textFill>
                  <w14:solidFill>
                    <w14:schemeClr w14:val="tx1"/>
                  </w14:solidFill>
                </w14:textFill>
              </w:rPr>
              <w:t>光电设备配件、汽车零部件、通讯五金部件喷粉</w:t>
            </w:r>
            <w:r>
              <w:rPr>
                <w:rFonts w:hint="default" w:ascii="Times New Roman" w:hAnsi="Times New Roman" w:cs="Times New Roman"/>
                <w:color w:val="000000" w:themeColor="text1"/>
                <w:sz w:val="24"/>
                <w:szCs w:val="24"/>
                <w14:textFill>
                  <w14:solidFill>
                    <w14:schemeClr w14:val="tx1"/>
                  </w14:solidFill>
                </w14:textFill>
              </w:rPr>
              <w:t>厚度</w:t>
            </w:r>
            <w:r>
              <w:rPr>
                <w:rFonts w:hint="eastAsia" w:ascii="Times New Roman" w:hAnsi="Times New Roman" w:cs="Times New Roman"/>
                <w:color w:val="000000" w:themeColor="text1"/>
                <w:sz w:val="24"/>
                <w:szCs w:val="24"/>
                <w:lang w:val="en-US" w:eastAsia="zh-CN"/>
                <w14:textFill>
                  <w14:solidFill>
                    <w14:schemeClr w14:val="tx1"/>
                  </w14:solidFill>
                </w14:textFill>
              </w:rPr>
              <w:t>分别</w:t>
            </w:r>
            <w:r>
              <w:rPr>
                <w:rFonts w:hint="default" w:ascii="Times New Roman" w:hAnsi="Times New Roman" w:cs="Times New Roman"/>
                <w:color w:val="000000" w:themeColor="text1"/>
                <w:sz w:val="24"/>
                <w:szCs w:val="24"/>
                <w14:textFill>
                  <w14:solidFill>
                    <w14:schemeClr w14:val="tx1"/>
                  </w14:solidFill>
                </w14:textFill>
              </w:rPr>
              <w:t>为</w:t>
            </w:r>
            <w:r>
              <w:rPr>
                <w:rFonts w:hint="default"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0μm</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60</w:t>
            </w:r>
            <w:r>
              <w:rPr>
                <w:rFonts w:hint="default" w:ascii="Times New Roman" w:hAnsi="Times New Roman" w:cs="Times New Roman"/>
                <w:color w:val="000000" w:themeColor="text1"/>
                <w:sz w:val="24"/>
                <w:szCs w:val="24"/>
                <w14:textFill>
                  <w14:solidFill>
                    <w14:schemeClr w14:val="tx1"/>
                  </w14:solidFill>
                </w14:textFill>
              </w:rPr>
              <w:t>μm</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75</w:t>
            </w:r>
            <w:r>
              <w:rPr>
                <w:rFonts w:hint="default" w:ascii="Times New Roman" w:hAnsi="Times New Roman" w:cs="Times New Roman"/>
                <w:color w:val="000000" w:themeColor="text1"/>
                <w:sz w:val="24"/>
                <w:szCs w:val="24"/>
                <w14:textFill>
                  <w14:solidFill>
                    <w14:schemeClr w14:val="tx1"/>
                  </w14:solidFill>
                </w14:textFill>
              </w:rPr>
              <w:t>μm</w:t>
            </w:r>
            <w:r>
              <w:rPr>
                <w:rFonts w:hint="default" w:ascii="Times New Roman" w:hAnsi="Times New Roman" w:cs="Times New Roman"/>
                <w:color w:val="000000" w:themeColor="text1"/>
                <w:kern w:val="0"/>
                <w:sz w:val="24"/>
                <w:szCs w:val="24"/>
                <w:lang w:bidi="ar"/>
                <w14:textFill>
                  <w14:solidFill>
                    <w14:schemeClr w14:val="tx1"/>
                  </w14:solidFill>
                </w14:textFill>
              </w:rPr>
              <w:t>。</w:t>
            </w:r>
            <w:r>
              <w:rPr>
                <w:rFonts w:hint="default" w:ascii="Times New Roman" w:hAnsi="Times New Roman" w:cs="Times New Roman"/>
                <w:color w:val="000000" w:themeColor="text1"/>
                <w:spacing w:val="-5"/>
                <w:sz w:val="24"/>
                <w:szCs w:val="24"/>
                <w:lang w:val="en-GB"/>
                <w14:textFill>
                  <w14:solidFill>
                    <w14:schemeClr w14:val="tx1"/>
                  </w14:solidFill>
                </w14:textFill>
              </w:rPr>
              <w:t>喷粉室半密闭，</w:t>
            </w:r>
            <w:r>
              <w:rPr>
                <w:rFonts w:hint="default" w:ascii="Times New Roman" w:hAnsi="Times New Roman" w:cs="Times New Roman"/>
                <w:snapToGrid w:val="0"/>
                <w:color w:val="000000" w:themeColor="text1"/>
                <w:kern w:val="0"/>
                <w:sz w:val="24"/>
                <w:szCs w:val="24"/>
                <w14:textFill>
                  <w14:solidFill>
                    <w14:schemeClr w14:val="tx1"/>
                  </w14:solidFill>
                </w14:textFill>
              </w:rPr>
              <w:t>未附着在工件上的粉末经过喷粉室内大风机负压收</w:t>
            </w:r>
            <w:r>
              <w:rPr>
                <w:rFonts w:hint="default" w:ascii="Times New Roman" w:hAnsi="Times New Roman" w:eastAsia="宋体" w:cs="Times New Roman"/>
                <w:snapToGrid w:val="0"/>
                <w:color w:val="000000" w:themeColor="text1"/>
                <w:kern w:val="0"/>
                <w:sz w:val="24"/>
                <w:szCs w:val="24"/>
                <w14:textFill>
                  <w14:solidFill>
                    <w14:schemeClr w14:val="tx1"/>
                  </w14:solidFill>
                </w14:textFill>
              </w:rPr>
              <w:t>集后经</w:t>
            </w:r>
            <w:r>
              <w:rPr>
                <w:rFonts w:hint="default" w:ascii="Times New Roman" w:hAnsi="Times New Roman" w:eastAsia="宋体" w:cs="Times New Roman"/>
                <w:snapToGrid w:val="0"/>
                <w:color w:val="000000" w:themeColor="text1"/>
                <w:kern w:val="0"/>
                <w:sz w:val="24"/>
                <w:szCs w:val="24"/>
                <w:lang w:eastAsia="zh-CN"/>
                <w14:textFill>
                  <w14:solidFill>
                    <w14:schemeClr w14:val="tx1"/>
                  </w14:solidFill>
                </w14:textFill>
              </w:rPr>
              <w:t>滤筒+脉冲布袋除尘器</w:t>
            </w:r>
            <w:r>
              <w:rPr>
                <w:rFonts w:hint="default" w:ascii="Times New Roman" w:hAnsi="Times New Roman" w:eastAsia="宋体" w:cs="Times New Roman"/>
                <w:snapToGrid w:val="0"/>
                <w:color w:val="000000" w:themeColor="text1"/>
                <w:kern w:val="0"/>
                <w:sz w:val="24"/>
                <w:szCs w:val="24"/>
                <w14:textFill>
                  <w14:solidFill>
                    <w14:schemeClr w14:val="tx1"/>
                  </w14:solidFill>
                </w14:textFill>
              </w:rPr>
              <w:t>处理</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kern w:val="0"/>
                <w:sz w:val="24"/>
                <w:szCs w:val="24"/>
                <w:lang w:bidi="ar"/>
                <w14:textFill>
                  <w14:solidFill>
                    <w14:schemeClr w14:val="tx1"/>
                  </w14:solidFill>
                </w14:textFill>
              </w:rPr>
              <w:t>除尘器收集的粉末送回供粉系统循环使用。此工序会产生喷粉粉尘G</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10</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、废包装材料S</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14</w:t>
            </w:r>
            <w:r>
              <w:rPr>
                <w:rFonts w:hint="default" w:ascii="Times New Roman" w:hAnsi="Times New Roman" w:cs="Times New Roman"/>
                <w:color w:val="000000" w:themeColor="text1"/>
                <w:kern w:val="0"/>
                <w:sz w:val="24"/>
                <w:szCs w:val="24"/>
                <w:lang w:bidi="ar"/>
                <w14:textFill>
                  <w14:solidFill>
                    <w14:schemeClr w14:val="tx1"/>
                  </w14:solidFill>
                </w14:textFill>
              </w:rPr>
              <w:t>和设备噪声N。本工序产生的喷粉挂具委外处理。</w:t>
            </w:r>
          </w:p>
          <w:p w14:paraId="20B3572A">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7</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固化</w:t>
            </w:r>
          </w:p>
          <w:p w14:paraId="4FDFC36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经过喷粉的工件送入</w:t>
            </w:r>
            <w:r>
              <w:rPr>
                <w:rFonts w:hint="default" w:ascii="Times New Roman" w:hAnsi="Times New Roman" w:cs="Times New Roman"/>
                <w:color w:val="000000" w:themeColor="text1"/>
                <w:sz w:val="24"/>
                <w:szCs w:val="24"/>
                <w:lang w:val="en-US" w:eastAsia="zh-CN"/>
                <w14:textFill>
                  <w14:solidFill>
                    <w14:schemeClr w14:val="tx1"/>
                  </w14:solidFill>
                </w14:textFill>
              </w:rPr>
              <w:t>喷粉固化</w:t>
            </w:r>
            <w:r>
              <w:rPr>
                <w:rFonts w:hint="eastAsia" w:ascii="Times New Roman" w:hAnsi="Times New Roman" w:cs="Times New Roman"/>
                <w:color w:val="000000" w:themeColor="text1"/>
                <w:sz w:val="24"/>
                <w:szCs w:val="24"/>
                <w:lang w:val="en-US" w:eastAsia="zh-CN"/>
                <w14:textFill>
                  <w14:solidFill>
                    <w14:schemeClr w14:val="tx1"/>
                  </w14:solidFill>
                </w14:textFill>
              </w:rPr>
              <w:t>通道</w:t>
            </w:r>
            <w:r>
              <w:rPr>
                <w:rFonts w:hint="default" w:ascii="Times New Roman" w:hAnsi="Times New Roman" w:cs="Times New Roman"/>
                <w:color w:val="000000" w:themeColor="text1"/>
                <w:kern w:val="0"/>
                <w:sz w:val="24"/>
                <w:szCs w:val="24"/>
                <w:lang w:bidi="ar"/>
                <w14:textFill>
                  <w14:solidFill>
                    <w14:schemeClr w14:val="tx1"/>
                  </w14:solidFill>
                </w14:textFill>
              </w:rPr>
              <w:t>，采用</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天然气</w:t>
            </w:r>
            <w:r>
              <w:rPr>
                <w:rFonts w:hint="default" w:ascii="Times New Roman" w:hAnsi="Times New Roman" w:cs="Times New Roman"/>
                <w:b w:val="0"/>
                <w:bCs w:val="0"/>
                <w:color w:val="000000" w:themeColor="text1"/>
                <w:sz w:val="24"/>
                <w:szCs w:val="24"/>
                <w14:textFill>
                  <w14:solidFill>
                    <w14:schemeClr w14:val="tx1"/>
                  </w14:solidFill>
                </w14:textFill>
              </w:rPr>
              <w:t>作为能源</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直接加热，</w:t>
            </w:r>
            <w:r>
              <w:rPr>
                <w:rFonts w:hint="default" w:ascii="Times New Roman" w:hAnsi="Times New Roman" w:cs="Times New Roman"/>
                <w:color w:val="000000" w:themeColor="text1"/>
                <w:kern w:val="0"/>
                <w:sz w:val="24"/>
                <w:szCs w:val="24"/>
                <w:lang w:bidi="ar"/>
                <w14:textFill>
                  <w14:solidFill>
                    <w14:schemeClr w14:val="tx1"/>
                  </w14:solidFill>
                </w14:textFill>
              </w:rPr>
              <w:t>使树脂粉末在</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200</w:t>
            </w:r>
            <w:r>
              <w:rPr>
                <w:rFonts w:hint="default" w:ascii="Times New Roman" w:hAnsi="Times New Roman" w:cs="Times New Roman"/>
                <w:color w:val="000000" w:themeColor="text1"/>
                <w:kern w:val="0"/>
                <w:sz w:val="24"/>
                <w:szCs w:val="24"/>
                <w:lang w:bidi="ar"/>
                <w14:textFill>
                  <w14:solidFill>
                    <w14:schemeClr w14:val="tx1"/>
                  </w14:solidFill>
                </w14:textFill>
              </w:rPr>
              <w:t>℃的温度下固化约</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30</w:t>
            </w:r>
            <w:r>
              <w:rPr>
                <w:rFonts w:hint="default" w:ascii="Times New Roman" w:hAnsi="Times New Roman" w:cs="Times New Roman"/>
                <w:color w:val="000000" w:themeColor="text1"/>
                <w:kern w:val="0"/>
                <w:sz w:val="24"/>
                <w:szCs w:val="24"/>
                <w:lang w:bidi="ar"/>
                <w14:textFill>
                  <w14:solidFill>
                    <w14:schemeClr w14:val="tx1"/>
                  </w14:solidFill>
                </w14:textFill>
              </w:rPr>
              <w:t>分钟，形成保护膜</w:t>
            </w:r>
            <w:r>
              <w:rPr>
                <w:rFonts w:hint="default" w:ascii="Times New Roman" w:hAnsi="Times New Roman" w:cs="Times New Roman"/>
                <w:color w:val="000000" w:themeColor="text1"/>
                <w:sz w:val="24"/>
                <w:szCs w:val="24"/>
                <w14:textFill>
                  <w14:solidFill>
                    <w14:schemeClr w14:val="tx1"/>
                  </w14:solidFill>
                </w14:textFill>
              </w:rPr>
              <w:t>。此工序产生</w:t>
            </w:r>
            <w:r>
              <w:rPr>
                <w:rFonts w:hint="eastAsia" w:ascii="Times New Roman" w:hAnsi="Times New Roman" w:cs="Times New Roman"/>
                <w:color w:val="000000" w:themeColor="text1"/>
                <w:sz w:val="24"/>
                <w:szCs w:val="24"/>
                <w:lang w:val="en-US" w:eastAsia="zh-CN"/>
                <w14:textFill>
                  <w14:solidFill>
                    <w14:schemeClr w14:val="tx1"/>
                  </w14:solidFill>
                </w14:textFill>
              </w:rPr>
              <w:t>喷粉固化天然气燃烧废气G6、喷粉</w:t>
            </w:r>
            <w:r>
              <w:rPr>
                <w:rFonts w:hint="default" w:ascii="Times New Roman" w:hAnsi="Times New Roman" w:cs="Times New Roman"/>
                <w:color w:val="000000" w:themeColor="text1"/>
                <w:sz w:val="24"/>
                <w:szCs w:val="24"/>
                <w14:textFill>
                  <w14:solidFill>
                    <w14:schemeClr w14:val="tx1"/>
                  </w14:solidFill>
                </w14:textFill>
              </w:rPr>
              <w:t>固化废气G</w:t>
            </w:r>
            <w:r>
              <w:rPr>
                <w:rFonts w:hint="eastAsia" w:ascii="Times New Roman" w:hAnsi="Times New Roman" w:cs="Times New Roman"/>
                <w:color w:val="000000" w:themeColor="text1"/>
                <w:sz w:val="24"/>
                <w:szCs w:val="24"/>
                <w:lang w:val="en-US" w:eastAsia="zh-CN"/>
                <w14:textFill>
                  <w14:solidFill>
                    <w14:schemeClr w14:val="tx1"/>
                  </w14:solidFill>
                </w14:textFill>
              </w:rPr>
              <w:t>11</w:t>
            </w:r>
            <w:r>
              <w:rPr>
                <w:rFonts w:hint="default" w:ascii="Times New Roman" w:hAnsi="Times New Roman" w:cs="Times New Roman"/>
                <w:color w:val="000000" w:themeColor="text1"/>
                <w:sz w:val="24"/>
                <w:szCs w:val="24"/>
                <w14:textFill>
                  <w14:solidFill>
                    <w14:schemeClr w14:val="tx1"/>
                  </w14:solidFill>
                </w14:textFill>
              </w:rPr>
              <w:t>和设备噪声N</w:t>
            </w:r>
            <w:r>
              <w:rPr>
                <w:rFonts w:hint="default" w:ascii="Times New Roman" w:hAnsi="Times New Roman" w:cs="Times New Roman"/>
                <w:color w:val="000000" w:themeColor="text1"/>
                <w:kern w:val="0"/>
                <w:sz w:val="24"/>
                <w:szCs w:val="24"/>
                <w:lang w:bidi="ar"/>
                <w14:textFill>
                  <w14:solidFill>
                    <w14:schemeClr w14:val="tx1"/>
                  </w14:solidFill>
                </w14:textFill>
              </w:rPr>
              <w:t>。</w:t>
            </w:r>
          </w:p>
          <w:p w14:paraId="01DCA963">
            <w:pPr>
              <w:pStyle w:val="233"/>
              <w:keepNext w:val="0"/>
              <w:keepLines w:val="0"/>
              <w:numPr>
                <w:ilvl w:val="0"/>
                <w:numId w:val="12"/>
              </w:numPr>
              <w:suppressLineNumbers w:val="0"/>
              <w:spacing w:before="0" w:beforeAutospacing="0" w:after="0" w:afterAutospacing="0" w:line="360" w:lineRule="auto"/>
              <w:ind w:left="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检验、包装入库</w:t>
            </w:r>
          </w:p>
          <w:p w14:paraId="5B8E40B9">
            <w:pPr>
              <w:pStyle w:val="233"/>
              <w:keepNext w:val="0"/>
              <w:keepLines w:val="0"/>
              <w:numPr>
                <w:ilvl w:val="0"/>
                <w:numId w:val="0"/>
              </w:numPr>
              <w:suppressLineNumbers w:val="0"/>
              <w:spacing w:before="0" w:beforeAutospacing="0" w:after="0" w:afterAutospacing="0" w:line="360" w:lineRule="auto"/>
              <w:ind w:right="113" w:rightChars="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喷漆</w:t>
            </w:r>
            <w:r>
              <w:rPr>
                <w:rFonts w:hint="eastAsia" w:ascii="Times New Roman" w:hAnsi="Times New Roman" w:cs="Times New Roman"/>
                <w:color w:val="000000" w:themeColor="text1"/>
                <w:sz w:val="24"/>
                <w:szCs w:val="24"/>
                <w:lang w:val="en-US" w:eastAsia="zh-CN"/>
                <w14:textFill>
                  <w14:solidFill>
                    <w14:schemeClr w14:val="tx1"/>
                  </w14:solidFill>
                </w14:textFill>
              </w:rPr>
              <w:t>烘干</w:t>
            </w:r>
            <w:r>
              <w:rPr>
                <w:rFonts w:hint="default" w:ascii="Times New Roman" w:hAnsi="Times New Roman" w:cs="Times New Roman"/>
                <w:color w:val="000000" w:themeColor="text1"/>
                <w:sz w:val="24"/>
                <w:szCs w:val="24"/>
                <w:lang w:val="en-US" w:eastAsia="zh-CN"/>
                <w14:textFill>
                  <w14:solidFill>
                    <w14:schemeClr w14:val="tx1"/>
                  </w14:solidFill>
                </w14:textFill>
              </w:rPr>
              <w:t>后的工件和喷粉</w:t>
            </w:r>
            <w:r>
              <w:rPr>
                <w:rFonts w:hint="default" w:ascii="Times New Roman" w:hAnsi="Times New Roman" w:cs="Times New Roman"/>
                <w:color w:val="000000" w:themeColor="text1"/>
                <w:sz w:val="24"/>
                <w:szCs w:val="24"/>
                <w14:textFill>
                  <w14:solidFill>
                    <w14:schemeClr w14:val="tx1"/>
                  </w14:solidFill>
                </w14:textFill>
              </w:rPr>
              <w:t>固化冷却后的工件经检验合格后为成品，并入库。此工序会产生废包装材料S</w:t>
            </w:r>
            <w:r>
              <w:rPr>
                <w:rFonts w:hint="eastAsia" w:ascii="Times New Roman" w:hAnsi="Times New Roman" w:cs="Times New Roman"/>
                <w:color w:val="000000" w:themeColor="text1"/>
                <w:sz w:val="24"/>
                <w:szCs w:val="24"/>
                <w:lang w:val="en-US" w:eastAsia="zh-CN"/>
                <w14:textFill>
                  <w14:solidFill>
                    <w14:schemeClr w14:val="tx1"/>
                  </w14:solidFill>
                </w14:textFill>
              </w:rPr>
              <w:t>14和不合格品S15</w:t>
            </w:r>
            <w:r>
              <w:rPr>
                <w:rFonts w:hint="default" w:ascii="Times New Roman" w:hAnsi="Times New Roman" w:cs="Times New Roman"/>
                <w:color w:val="000000" w:themeColor="text1"/>
                <w:sz w:val="24"/>
                <w:szCs w:val="24"/>
                <w14:textFill>
                  <w14:solidFill>
                    <w14:schemeClr w14:val="tx1"/>
                  </w14:solidFill>
                </w14:textFill>
              </w:rPr>
              <w:t>。</w:t>
            </w:r>
          </w:p>
          <w:p w14:paraId="22C75A72">
            <w:pPr>
              <w:pStyle w:val="233"/>
              <w:keepNext w:val="0"/>
              <w:keepLines w:val="0"/>
              <w:numPr>
                <w:ilvl w:val="0"/>
                <w:numId w:val="12"/>
              </w:numPr>
              <w:suppressLineNumbers w:val="0"/>
              <w:spacing w:before="0" w:beforeAutospacing="0" w:after="0" w:afterAutospacing="0" w:line="360" w:lineRule="auto"/>
              <w:ind w:left="0" w:leftChars="0" w:right="113" w:rightChars="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其他产物环节说明</w:t>
            </w:r>
          </w:p>
          <w:p w14:paraId="35E11D8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每天作业完成后，使用自来水对喷枪进行清洗，喷枪清洗在喷漆房内进行，由于喷枪表面占有少量水性漆，清洗时间较短，则清洗过程会产生的少量挥发性有机废气通过喷漆室配套的负压收集系统密闭收集，和喷漆废气一并进入两级活性炭吸附装置后通过</w:t>
            </w:r>
            <w:r>
              <w:rPr>
                <w:rFonts w:hint="eastAsia" w:ascii="Times New Roman" w:hAnsi="Times New Roman" w:cs="Times New Roman"/>
                <w:color w:val="000000" w:themeColor="text1"/>
                <w:sz w:val="24"/>
                <w:szCs w:val="24"/>
                <w:lang w:val="en-US" w:eastAsia="zh-CN"/>
                <w14:textFill>
                  <w14:solidFill>
                    <w14:schemeClr w14:val="tx1"/>
                  </w14:solidFill>
                </w14:textFill>
              </w:rPr>
              <w:t>15</w:t>
            </w:r>
            <w:r>
              <w:rPr>
                <w:rFonts w:hint="default" w:ascii="Times New Roman" w:hAnsi="Times New Roman" w:cs="Times New Roman"/>
                <w:color w:val="000000" w:themeColor="text1"/>
                <w:sz w:val="24"/>
                <w:szCs w:val="24"/>
                <w:lang w:val="en-US" w:eastAsia="zh-CN"/>
                <w14:textFill>
                  <w14:solidFill>
                    <w14:schemeClr w14:val="tx1"/>
                  </w14:solidFill>
                </w14:textFill>
              </w:rPr>
              <w:t>m高排气筒排放，</w:t>
            </w:r>
            <w:r>
              <w:rPr>
                <w:rFonts w:hint="default" w:ascii="Times New Roman" w:hAnsi="Times New Roman" w:cs="Times New Roman"/>
                <w:color w:val="000000" w:themeColor="text1"/>
                <w:sz w:val="24"/>
                <w14:textFill>
                  <w14:solidFill>
                    <w14:schemeClr w14:val="tx1"/>
                  </w14:solidFill>
                </w14:textFill>
              </w:rPr>
              <w:t>喷枪清洗废液</w:t>
            </w:r>
            <w:r>
              <w:rPr>
                <w:rFonts w:hint="eastAsia" w:cs="Times New Roman"/>
                <w:color w:val="000000" w:themeColor="text1"/>
                <w:sz w:val="24"/>
                <w:lang w:val="en-US" w:eastAsia="zh-CN"/>
                <w14:textFill>
                  <w14:solidFill>
                    <w14:schemeClr w14:val="tx1"/>
                  </w14:solidFill>
                </w14:textFill>
              </w:rPr>
              <w:t>进入厂区自建污水处理站处理后排入市政污水管网</w:t>
            </w:r>
            <w:r>
              <w:rPr>
                <w:rFonts w:hint="default" w:ascii="Times New Roman" w:hAnsi="Times New Roman" w:cs="Times New Roman"/>
                <w:color w:val="000000" w:themeColor="text1"/>
                <w:sz w:val="24"/>
                <w14:textFill>
                  <w14:solidFill>
                    <w14:schemeClr w14:val="tx1"/>
                  </w14:solidFill>
                </w14:textFill>
              </w:rPr>
              <w:t>。</w:t>
            </w:r>
          </w:p>
          <w:p w14:paraId="1C3C6F0C">
            <w:pPr>
              <w:keepNext w:val="0"/>
              <w:keepLines w:val="0"/>
              <w:widowControl/>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1</w:t>
            </w:r>
            <w:r>
              <w:rPr>
                <w:rFonts w:hint="eastAsia" w:cs="Times New Roman" w:eastAsiaTheme="minorEastAsia"/>
                <w:b/>
                <w:bCs/>
                <w:color w:val="000000" w:themeColor="text1"/>
                <w:kern w:val="0"/>
                <w:sz w:val="24"/>
                <w:szCs w:val="20"/>
                <w:highlight w:val="none"/>
                <w:lang w:val="en-US" w:eastAsia="zh-CN"/>
                <w14:textFill>
                  <w14:solidFill>
                    <w14:schemeClr w14:val="tx1"/>
                  </w14:solidFill>
                </w14:textFill>
              </w:rPr>
              <w:t>4</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运营期主要</w:t>
            </w:r>
            <w:r>
              <w:rPr>
                <w:rFonts w:hint="default"/>
                <w:color w:val="000000" w:themeColor="text1"/>
                <w14:textFill>
                  <w14:solidFill>
                    <w14:schemeClr w14:val="tx1"/>
                  </w14:solidFill>
                </w14:textFill>
              </w:rPr>
              <w:commentReference w:id="25"/>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污染工序一览表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960"/>
              <w:gridCol w:w="1587"/>
              <w:gridCol w:w="1869"/>
              <w:gridCol w:w="2849"/>
            </w:tblGrid>
            <w:tr w14:paraId="7D75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63" w:type="pct"/>
                  <w:vAlign w:val="center"/>
                </w:tcPr>
                <w:p w14:paraId="3A38F3B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污染类别</w:t>
                  </w:r>
                </w:p>
              </w:tc>
              <w:tc>
                <w:tcPr>
                  <w:tcW w:w="573" w:type="pct"/>
                  <w:vAlign w:val="center"/>
                </w:tcPr>
                <w:p w14:paraId="0A2CD14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污染源编号</w:t>
                  </w:r>
                </w:p>
              </w:tc>
              <w:tc>
                <w:tcPr>
                  <w:tcW w:w="947" w:type="pct"/>
                  <w:vAlign w:val="center"/>
                </w:tcPr>
                <w:p w14:paraId="4831059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产生工序</w:t>
                  </w:r>
                </w:p>
              </w:tc>
              <w:tc>
                <w:tcPr>
                  <w:tcW w:w="1115" w:type="pct"/>
                  <w:vAlign w:val="center"/>
                </w:tcPr>
                <w:p w14:paraId="65257BE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主要污染因子</w:t>
                  </w:r>
                </w:p>
              </w:tc>
              <w:tc>
                <w:tcPr>
                  <w:tcW w:w="1700" w:type="pct"/>
                  <w:vAlign w:val="center"/>
                </w:tcPr>
                <w:p w14:paraId="33087E8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措施及排放去向</w:t>
                  </w:r>
                </w:p>
              </w:tc>
            </w:tr>
            <w:tr w14:paraId="56F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restart"/>
                  <w:vAlign w:val="center"/>
                </w:tcPr>
                <w:p w14:paraId="72419B6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废气</w:t>
                  </w:r>
                </w:p>
              </w:tc>
              <w:tc>
                <w:tcPr>
                  <w:tcW w:w="573" w:type="pct"/>
                  <w:shd w:val="clear" w:color="auto" w:fill="auto"/>
                  <w:vAlign w:val="center"/>
                </w:tcPr>
                <w:p w14:paraId="56C3B5E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G1</w:t>
                  </w:r>
                </w:p>
              </w:tc>
              <w:tc>
                <w:tcPr>
                  <w:tcW w:w="947" w:type="pct"/>
                  <w:vAlign w:val="center"/>
                </w:tcPr>
                <w:p w14:paraId="6B609D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人工去毛刺</w:t>
                  </w:r>
                </w:p>
              </w:tc>
              <w:tc>
                <w:tcPr>
                  <w:tcW w:w="1115" w:type="pct"/>
                  <w:vAlign w:val="center"/>
                </w:tcPr>
                <w:p w14:paraId="238696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颗粒物</w:t>
                  </w:r>
                </w:p>
              </w:tc>
              <w:tc>
                <w:tcPr>
                  <w:tcW w:w="1700" w:type="pct"/>
                  <w:vMerge w:val="restart"/>
                  <w:vAlign w:val="center"/>
                </w:tcPr>
                <w:p w14:paraId="238AF790">
                  <w:pPr>
                    <w:keepNext w:val="0"/>
                    <w:keepLines w:val="0"/>
                    <w:suppressLineNumbers w:val="0"/>
                    <w:adjustRightInd w:val="0"/>
                    <w:snapToGrid w:val="0"/>
                    <w:spacing w:before="0" w:beforeAutospacing="0" w:after="0" w:afterAutospacing="0"/>
                    <w:ind w:left="0" w:right="0"/>
                    <w:jc w:val="center"/>
                    <w:rPr>
                      <w:rFonts w:hint="default"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人工去毛刺、打磨、抛光粉尘经集气罩收集+布袋除尘器处理后和</w:t>
                  </w:r>
                  <w:r>
                    <w:rPr>
                      <w:rFonts w:hint="default" w:ascii="Times New Roman" w:hAnsi="Times New Roman" w:eastAsia="宋体" w:cs="Times New Roman"/>
                      <w:color w:val="000000" w:themeColor="text1"/>
                      <w:szCs w:val="21"/>
                      <w:lang w:val="en-US" w:eastAsia="zh-CN"/>
                      <w14:textFill>
                        <w14:solidFill>
                          <w14:schemeClr w14:val="tx1"/>
                        </w14:solidFill>
                      </w14:textFill>
                    </w:rPr>
                    <w:t>经设备密闭+集气管道收集</w:t>
                  </w:r>
                  <w:r>
                    <w:rPr>
                      <w:rFonts w:hint="eastAsia"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eastAsia="宋体" w:cs="Times New Roman"/>
                      <w:color w:val="000000" w:themeColor="text1"/>
                      <w:szCs w:val="21"/>
                      <w:lang w:val="en-US" w:eastAsia="zh-CN"/>
                      <w14:textFill>
                        <w14:solidFill>
                          <w14:schemeClr w14:val="tx1"/>
                        </w14:solidFill>
                      </w14:textFill>
                    </w:rPr>
                    <w:t>设备自带布袋除尘器处理</w:t>
                  </w:r>
                  <w:r>
                    <w:rPr>
                      <w:rFonts w:hint="eastAsia" w:ascii="Times New Roman" w:hAnsi="Times New Roman" w:eastAsia="宋体" w:cs="Times New Roman"/>
                      <w:color w:val="000000" w:themeColor="text1"/>
                      <w:szCs w:val="21"/>
                      <w:lang w:val="en-US" w:eastAsia="zh-CN"/>
                      <w14:textFill>
                        <w14:solidFill>
                          <w14:schemeClr w14:val="tx1"/>
                        </w14:solidFill>
                      </w14:textFill>
                    </w:rPr>
                    <w:t>的喷砂、抛丸粉尘一并</w:t>
                  </w:r>
                  <w:r>
                    <w:rPr>
                      <w:rFonts w:hint="default" w:ascii="Times New Roman" w:hAnsi="Times New Roman" w:eastAsia="宋体" w:cs="Times New Roman"/>
                      <w:color w:val="000000" w:themeColor="text1"/>
                      <w:szCs w:val="21"/>
                      <w:lang w:val="en-US" w:eastAsia="zh-CN"/>
                      <w14:textFill>
                        <w14:solidFill>
                          <w14:schemeClr w14:val="tx1"/>
                        </w14:solidFill>
                      </w14:textFill>
                    </w:rPr>
                    <w:t>通过1根</w:t>
                  </w:r>
                  <w:r>
                    <w:rPr>
                      <w:rFonts w:hint="eastAsia" w:ascii="Times New Roman" w:hAnsi="Times New Roman" w:eastAsia="宋体" w:cs="Times New Roman"/>
                      <w:color w:val="000000" w:themeColor="text1"/>
                      <w:szCs w:val="21"/>
                      <w:lang w:val="en-US" w:eastAsia="zh-CN"/>
                      <w14:textFill>
                        <w14:solidFill>
                          <w14:schemeClr w14:val="tx1"/>
                        </w14:solidFill>
                      </w14:textFill>
                    </w:rPr>
                    <w:t>15m</w:t>
                  </w:r>
                  <w:r>
                    <w:rPr>
                      <w:rFonts w:hint="default" w:ascii="Times New Roman" w:hAnsi="Times New Roman" w:eastAsia="宋体" w:cs="Times New Roman"/>
                      <w:color w:val="000000" w:themeColor="text1"/>
                      <w:szCs w:val="21"/>
                      <w:lang w:val="en-US" w:eastAsia="zh-CN"/>
                      <w14:textFill>
                        <w14:solidFill>
                          <w14:schemeClr w14:val="tx1"/>
                        </w14:solidFill>
                      </w14:textFill>
                    </w:rPr>
                    <w:t>高的排气筒DA0</w:t>
                  </w:r>
                  <w:r>
                    <w:rPr>
                      <w:rFonts w:hint="eastAsia" w:ascii="Times New Roman" w:hAnsi="Times New Roman" w:eastAsia="宋体" w:cs="Times New Roman"/>
                      <w:color w:val="000000" w:themeColor="text1"/>
                      <w:szCs w:val="21"/>
                      <w:lang w:val="en-US" w:eastAsia="zh-CN"/>
                      <w14:textFill>
                        <w14:solidFill>
                          <w14:schemeClr w14:val="tx1"/>
                        </w14:solidFill>
                      </w14:textFill>
                    </w:rPr>
                    <w:t>01</w:t>
                  </w:r>
                </w:p>
              </w:tc>
            </w:tr>
            <w:tr w14:paraId="44E02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329AC4C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6F3C988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w:t>
                  </w:r>
                </w:p>
              </w:tc>
              <w:tc>
                <w:tcPr>
                  <w:tcW w:w="947" w:type="pct"/>
                  <w:vAlign w:val="center"/>
                </w:tcPr>
                <w:p w14:paraId="56E7B85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打磨</w:t>
                  </w:r>
                </w:p>
              </w:tc>
              <w:tc>
                <w:tcPr>
                  <w:tcW w:w="1115" w:type="pct"/>
                  <w:vAlign w:val="center"/>
                </w:tcPr>
                <w:p w14:paraId="5BF4984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颗粒物</w:t>
                  </w:r>
                </w:p>
              </w:tc>
              <w:tc>
                <w:tcPr>
                  <w:tcW w:w="1700" w:type="pct"/>
                  <w:vMerge w:val="continue"/>
                  <w:vAlign w:val="center"/>
                </w:tcPr>
                <w:p w14:paraId="63ED3F5F">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43AD0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6110230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4815954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G3</w:t>
                  </w:r>
                </w:p>
              </w:tc>
              <w:tc>
                <w:tcPr>
                  <w:tcW w:w="947" w:type="pct"/>
                  <w:vAlign w:val="center"/>
                </w:tcPr>
                <w:p w14:paraId="3BFD95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喷砂</w:t>
                  </w:r>
                </w:p>
              </w:tc>
              <w:tc>
                <w:tcPr>
                  <w:tcW w:w="1115" w:type="pct"/>
                  <w:vAlign w:val="center"/>
                </w:tcPr>
                <w:p w14:paraId="7BAABFD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颗粒物</w:t>
                  </w:r>
                </w:p>
              </w:tc>
              <w:tc>
                <w:tcPr>
                  <w:tcW w:w="1700" w:type="pct"/>
                  <w:vMerge w:val="continue"/>
                  <w:vAlign w:val="center"/>
                </w:tcPr>
                <w:p w14:paraId="3018278A">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1D8A7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5C911CF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3528E81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G4</w:t>
                  </w:r>
                </w:p>
              </w:tc>
              <w:tc>
                <w:tcPr>
                  <w:tcW w:w="947" w:type="pct"/>
                  <w:vAlign w:val="center"/>
                </w:tcPr>
                <w:p w14:paraId="5DE2BA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抛丸</w:t>
                  </w:r>
                </w:p>
              </w:tc>
              <w:tc>
                <w:tcPr>
                  <w:tcW w:w="1115" w:type="pct"/>
                  <w:vAlign w:val="center"/>
                </w:tcPr>
                <w:p w14:paraId="6AFAE64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颗粒物</w:t>
                  </w:r>
                </w:p>
              </w:tc>
              <w:tc>
                <w:tcPr>
                  <w:tcW w:w="1700" w:type="pct"/>
                  <w:vMerge w:val="continue"/>
                  <w:vAlign w:val="center"/>
                </w:tcPr>
                <w:p w14:paraId="080A87A9">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0B473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26D185B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128EC9C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G5</w:t>
                  </w:r>
                </w:p>
              </w:tc>
              <w:tc>
                <w:tcPr>
                  <w:tcW w:w="947" w:type="pct"/>
                  <w:vAlign w:val="center"/>
                </w:tcPr>
                <w:p w14:paraId="4E606D1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抛光</w:t>
                  </w:r>
                </w:p>
              </w:tc>
              <w:tc>
                <w:tcPr>
                  <w:tcW w:w="1115" w:type="pct"/>
                  <w:vAlign w:val="center"/>
                </w:tcPr>
                <w:p w14:paraId="00CA45B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颗粒物</w:t>
                  </w:r>
                </w:p>
              </w:tc>
              <w:tc>
                <w:tcPr>
                  <w:tcW w:w="1700" w:type="pct"/>
                  <w:vMerge w:val="continue"/>
                  <w:vAlign w:val="center"/>
                </w:tcPr>
                <w:p w14:paraId="005C1F18">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5F83C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0368DB4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Merge w:val="restart"/>
                  <w:shd w:val="clear" w:color="auto" w:fill="auto"/>
                  <w:vAlign w:val="center"/>
                </w:tcPr>
                <w:p w14:paraId="3525D0B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6</w:t>
                  </w:r>
                </w:p>
              </w:tc>
              <w:tc>
                <w:tcPr>
                  <w:tcW w:w="947" w:type="pct"/>
                  <w:vAlign w:val="center"/>
                </w:tcPr>
                <w:p w14:paraId="6440AA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前处理烘干天然气燃烧</w:t>
                  </w:r>
                </w:p>
              </w:tc>
              <w:tc>
                <w:tcPr>
                  <w:tcW w:w="1115" w:type="pct"/>
                  <w:vMerge w:val="restart"/>
                  <w:vAlign w:val="center"/>
                </w:tcPr>
                <w:p w14:paraId="3A0EF2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颗粒物、SO</w:t>
                  </w:r>
                  <w:r>
                    <w:rPr>
                      <w:rFonts w:hint="eastAsia" w:cs="Times New Roman"/>
                      <w:bCs/>
                      <w:color w:val="000000" w:themeColor="text1"/>
                      <w:szCs w:val="21"/>
                      <w:highlight w:val="none"/>
                      <w:vertAlign w:val="subscript"/>
                      <w:lang w:val="en-US" w:eastAsia="zh-CN"/>
                      <w14:textFill>
                        <w14:solidFill>
                          <w14:schemeClr w14:val="tx1"/>
                        </w14:solidFill>
                      </w14:textFill>
                    </w:rPr>
                    <w:t>2</w:t>
                  </w:r>
                  <w:r>
                    <w:rPr>
                      <w:rFonts w:hint="eastAsia" w:cs="Times New Roman"/>
                      <w:bCs/>
                      <w:color w:val="000000" w:themeColor="text1"/>
                      <w:szCs w:val="21"/>
                      <w:highlight w:val="none"/>
                      <w:lang w:val="en-US" w:eastAsia="zh-CN"/>
                      <w14:textFill>
                        <w14:solidFill>
                          <w14:schemeClr w14:val="tx1"/>
                        </w14:solidFill>
                      </w14:textFill>
                    </w:rPr>
                    <w:t>、NOx</w:t>
                  </w:r>
                </w:p>
              </w:tc>
              <w:tc>
                <w:tcPr>
                  <w:tcW w:w="1700" w:type="pct"/>
                  <w:vMerge w:val="restart"/>
                  <w:vAlign w:val="center"/>
                </w:tcPr>
                <w:p w14:paraId="6AAABF9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①</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喷粉固化工序：喷粉</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粉末固化通道密闭+进出口处设置集气罩收集</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1002305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②</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喷漆烘干工序：喷漆烘干通道密闭</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+进出口处设置集气罩收集</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639E96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③</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前处理烘干工序：前处理烘干通道密闭</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+进出口处设置集气罩收集</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131B8890">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天然气燃烧设置低氮燃烧，以上废气分别收集后经</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过滤棉+两级活性炭吸附装置处理后</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一并</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通过1根</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15</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m高的排气筒DA00</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排放</w:t>
                  </w:r>
                </w:p>
              </w:tc>
            </w:tr>
            <w:tr w14:paraId="762EA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663" w:type="pct"/>
                  <w:vMerge w:val="continue"/>
                  <w:vAlign w:val="center"/>
                </w:tcPr>
                <w:p w14:paraId="3642AA3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Merge w:val="continue"/>
                  <w:shd w:val="clear" w:color="auto" w:fill="auto"/>
                  <w:vAlign w:val="center"/>
                </w:tcPr>
                <w:p w14:paraId="116644E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947" w:type="pct"/>
                  <w:vAlign w:val="center"/>
                </w:tcPr>
                <w:p w14:paraId="3BB2462B">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喷漆烘干天然气燃烧</w:t>
                  </w:r>
                </w:p>
              </w:tc>
              <w:tc>
                <w:tcPr>
                  <w:tcW w:w="1115" w:type="pct"/>
                  <w:vMerge w:val="continue"/>
                  <w:vAlign w:val="center"/>
                </w:tcPr>
                <w:p w14:paraId="5985E700">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c>
                <w:tcPr>
                  <w:tcW w:w="1700" w:type="pct"/>
                  <w:vMerge w:val="continue"/>
                  <w:vAlign w:val="center"/>
                </w:tcPr>
                <w:p w14:paraId="0B3C064F">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0A120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3" w:type="pct"/>
                  <w:vMerge w:val="continue"/>
                  <w:vAlign w:val="center"/>
                </w:tcPr>
                <w:p w14:paraId="43573AD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Merge w:val="continue"/>
                  <w:shd w:val="clear" w:color="auto" w:fill="auto"/>
                  <w:vAlign w:val="center"/>
                </w:tcPr>
                <w:p w14:paraId="0EAD85E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947" w:type="pct"/>
                  <w:vAlign w:val="center"/>
                </w:tcPr>
                <w:p w14:paraId="6D82D7E8">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喷粉固化天然气燃烧</w:t>
                  </w:r>
                </w:p>
              </w:tc>
              <w:tc>
                <w:tcPr>
                  <w:tcW w:w="1115" w:type="pct"/>
                  <w:vMerge w:val="continue"/>
                  <w:vAlign w:val="center"/>
                </w:tcPr>
                <w:p w14:paraId="206BB1CF">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c>
                <w:tcPr>
                  <w:tcW w:w="1700" w:type="pct"/>
                  <w:vMerge w:val="continue"/>
                  <w:vAlign w:val="center"/>
                </w:tcPr>
                <w:p w14:paraId="66F1ECFC">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776D6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663" w:type="pct"/>
                  <w:vMerge w:val="continue"/>
                  <w:vAlign w:val="center"/>
                </w:tcPr>
                <w:p w14:paraId="6B38DBB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405716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9</w:t>
                  </w:r>
                </w:p>
              </w:tc>
              <w:tc>
                <w:tcPr>
                  <w:tcW w:w="947" w:type="pct"/>
                  <w:shd w:val="clear" w:color="auto" w:fill="auto"/>
                  <w:vAlign w:val="center"/>
                </w:tcPr>
                <w:p w14:paraId="49170F1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喷漆烘干</w:t>
                  </w:r>
                </w:p>
              </w:tc>
              <w:tc>
                <w:tcPr>
                  <w:tcW w:w="1115" w:type="pct"/>
                  <w:shd w:val="clear" w:color="auto" w:fill="auto"/>
                  <w:vAlign w:val="center"/>
                </w:tcPr>
                <w:p w14:paraId="58D16CE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700" w:type="pct"/>
                  <w:vMerge w:val="continue"/>
                  <w:vAlign w:val="center"/>
                </w:tcPr>
                <w:p w14:paraId="6199F1AC">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524B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663" w:type="pct"/>
                  <w:vMerge w:val="continue"/>
                  <w:vAlign w:val="center"/>
                </w:tcPr>
                <w:p w14:paraId="72070F7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181C80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11</w:t>
                  </w:r>
                </w:p>
              </w:tc>
              <w:tc>
                <w:tcPr>
                  <w:tcW w:w="947" w:type="pct"/>
                  <w:shd w:val="clear" w:color="auto" w:fill="auto"/>
                  <w:vAlign w:val="center"/>
                </w:tcPr>
                <w:p w14:paraId="6D0B5AE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喷粉固化</w:t>
                  </w:r>
                </w:p>
              </w:tc>
              <w:tc>
                <w:tcPr>
                  <w:tcW w:w="1115" w:type="pct"/>
                  <w:shd w:val="clear" w:color="auto" w:fill="auto"/>
                  <w:vAlign w:val="center"/>
                </w:tcPr>
                <w:p w14:paraId="691F409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700" w:type="pct"/>
                  <w:vMerge w:val="continue"/>
                  <w:vAlign w:val="center"/>
                </w:tcPr>
                <w:p w14:paraId="52AC6F1A">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p>
              </w:tc>
            </w:tr>
            <w:tr w14:paraId="0D67A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708668E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6939569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7</w:t>
                  </w:r>
                </w:p>
              </w:tc>
              <w:tc>
                <w:tcPr>
                  <w:tcW w:w="947" w:type="pct"/>
                  <w:vAlign w:val="center"/>
                </w:tcPr>
                <w:p w14:paraId="51250B4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调漆</w:t>
                  </w:r>
                </w:p>
              </w:tc>
              <w:tc>
                <w:tcPr>
                  <w:tcW w:w="1115" w:type="pct"/>
                  <w:vAlign w:val="center"/>
                </w:tcPr>
                <w:p w14:paraId="29CA616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700" w:type="pct"/>
                  <w:vMerge w:val="restart"/>
                  <w:vAlign w:val="center"/>
                </w:tcPr>
                <w:p w14:paraId="05369E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color w:val="000000" w:themeColor="text1"/>
                      <w:szCs w:val="21"/>
                      <w:highlight w:val="none"/>
                      <w14:textFill>
                        <w14:solidFill>
                          <w14:schemeClr w14:val="tx1"/>
                        </w14:solidFill>
                      </w14:textFill>
                    </w:rPr>
                    <w:t>调漆间、喷漆房密闭，负压抽风收集</w:t>
                  </w:r>
                  <w:r>
                    <w:rPr>
                      <w:rFonts w:hint="eastAsia"/>
                      <w:color w:val="000000" w:themeColor="text1"/>
                      <w:szCs w:val="21"/>
                      <w:highlight w:val="none"/>
                      <w:lang w:val="en-US" w:eastAsia="zh-CN"/>
                      <w14:textFill>
                        <w14:solidFill>
                          <w14:schemeClr w14:val="tx1"/>
                        </w14:solidFill>
                      </w14:textFill>
                    </w:rPr>
                    <w:t>+水帘柜+干式过滤+</w:t>
                  </w:r>
                  <w:r>
                    <w:rPr>
                      <w:rFonts w:hint="default" w:ascii="Times New Roman" w:hAnsi="Times New Roman" w:cs="Times New Roman"/>
                      <w:color w:val="000000" w:themeColor="text1"/>
                      <w:szCs w:val="21"/>
                      <w14:textFill>
                        <w14:solidFill>
                          <w14:schemeClr w14:val="tx1"/>
                        </w14:solidFill>
                      </w14:textFill>
                    </w:rPr>
                    <w:t>两级活性炭吸附装置处理后通过1根</w:t>
                  </w:r>
                  <w:r>
                    <w:rPr>
                      <w:rFonts w:hint="eastAsia" w:ascii="Times New Roman" w:hAnsi="Times New Roman" w:cs="Times New Roman"/>
                      <w:color w:val="000000" w:themeColor="text1"/>
                      <w:szCs w:val="21"/>
                      <w14:textFill>
                        <w14:solidFill>
                          <w14:schemeClr w14:val="tx1"/>
                        </w14:solidFill>
                      </w14:textFill>
                    </w:rPr>
                    <w:t>15</w:t>
                  </w:r>
                  <w:r>
                    <w:rPr>
                      <w:rFonts w:hint="default" w:ascii="Times New Roman" w:hAnsi="Times New Roman" w:cs="Times New Roman"/>
                      <w:color w:val="000000" w:themeColor="text1"/>
                      <w:szCs w:val="21"/>
                      <w14:textFill>
                        <w14:solidFill>
                          <w14:schemeClr w14:val="tx1"/>
                        </w14:solidFill>
                      </w14:textFill>
                    </w:rPr>
                    <w:t>m高的排气筒DA00</w:t>
                  </w:r>
                  <w:r>
                    <w:rPr>
                      <w:rFonts w:hint="eastAsia" w:ascii="Times New Roman" w:hAnsi="Times New Roman" w:cs="Times New Roman"/>
                      <w:color w:val="000000" w:themeColor="text1"/>
                      <w:szCs w:val="21"/>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排放</w:t>
                  </w:r>
                </w:p>
              </w:tc>
            </w:tr>
            <w:tr w14:paraId="4E424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663" w:type="pct"/>
                  <w:vMerge w:val="continue"/>
                  <w:vAlign w:val="center"/>
                </w:tcPr>
                <w:p w14:paraId="2DE9B72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6A95409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8</w:t>
                  </w:r>
                </w:p>
              </w:tc>
              <w:tc>
                <w:tcPr>
                  <w:tcW w:w="947" w:type="pct"/>
                  <w:vAlign w:val="center"/>
                </w:tcPr>
                <w:p w14:paraId="0DA8D2A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喷漆</w:t>
                  </w:r>
                </w:p>
              </w:tc>
              <w:tc>
                <w:tcPr>
                  <w:tcW w:w="1115" w:type="pct"/>
                  <w:vAlign w:val="center"/>
                </w:tcPr>
                <w:p w14:paraId="4B8B29D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r>
                    <w:rPr>
                      <w:rFonts w:hint="default" w:ascii="Times New Roman" w:hAnsi="Times New Roman" w:cs="Times New Roman"/>
                      <w:bCs/>
                      <w:color w:val="000000" w:themeColor="text1"/>
                      <w:szCs w:val="21"/>
                      <w:lang w:eastAsia="zh-CN"/>
                      <w14:textFill>
                        <w14:solidFill>
                          <w14:schemeClr w14:val="tx1"/>
                        </w14:solidFill>
                      </w14:textFill>
                    </w:rPr>
                    <w:t>、</w:t>
                  </w:r>
                </w:p>
                <w:p w14:paraId="30D136D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颗粒物</w:t>
                  </w:r>
                </w:p>
              </w:tc>
              <w:tc>
                <w:tcPr>
                  <w:tcW w:w="1700" w:type="pct"/>
                  <w:vMerge w:val="continue"/>
                  <w:vAlign w:val="center"/>
                </w:tcPr>
                <w:p w14:paraId="39D1859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p>
              </w:tc>
            </w:tr>
            <w:tr w14:paraId="4477A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663" w:type="pct"/>
                  <w:vMerge w:val="continue"/>
                  <w:vAlign w:val="center"/>
                </w:tcPr>
                <w:p w14:paraId="46997B8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34CC46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12</w:t>
                  </w:r>
                </w:p>
              </w:tc>
              <w:tc>
                <w:tcPr>
                  <w:tcW w:w="947" w:type="pct"/>
                  <w:shd w:val="clear" w:color="auto" w:fill="auto"/>
                  <w:vAlign w:val="center"/>
                </w:tcPr>
                <w:p w14:paraId="08444A3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喷</w:t>
                  </w:r>
                  <w:r>
                    <w:rPr>
                      <w:rFonts w:hint="eastAsia"/>
                      <w:bCs/>
                      <w:color w:val="000000" w:themeColor="text1"/>
                      <w:szCs w:val="21"/>
                      <w:lang w:val="en-US" w:eastAsia="zh-CN"/>
                      <w14:textFill>
                        <w14:solidFill>
                          <w14:schemeClr w14:val="tx1"/>
                        </w14:solidFill>
                      </w14:textFill>
                    </w:rPr>
                    <w:t>枪</w:t>
                  </w:r>
                  <w:r>
                    <w:rPr>
                      <w:rFonts w:hint="default"/>
                      <w:bCs/>
                      <w:color w:val="000000" w:themeColor="text1"/>
                      <w:szCs w:val="21"/>
                      <w14:textFill>
                        <w14:solidFill>
                          <w14:schemeClr w14:val="tx1"/>
                        </w14:solidFill>
                      </w14:textFill>
                    </w:rPr>
                    <w:t>清洗</w:t>
                  </w:r>
                </w:p>
              </w:tc>
              <w:tc>
                <w:tcPr>
                  <w:tcW w:w="1115" w:type="pct"/>
                  <w:shd w:val="clear" w:color="auto" w:fill="auto"/>
                  <w:vAlign w:val="center"/>
                </w:tcPr>
                <w:p w14:paraId="49E1BF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非甲烷总烃</w:t>
                  </w:r>
                </w:p>
              </w:tc>
              <w:tc>
                <w:tcPr>
                  <w:tcW w:w="1700" w:type="pct"/>
                  <w:vMerge w:val="continue"/>
                  <w:vAlign w:val="center"/>
                </w:tcPr>
                <w:p w14:paraId="21F807A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p>
              </w:tc>
            </w:tr>
            <w:tr w14:paraId="52311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1EC4F65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740037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10</w:t>
                  </w:r>
                </w:p>
              </w:tc>
              <w:tc>
                <w:tcPr>
                  <w:tcW w:w="947" w:type="pct"/>
                  <w:vAlign w:val="center"/>
                </w:tcPr>
                <w:p w14:paraId="71779FD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喷粉</w:t>
                  </w:r>
                </w:p>
              </w:tc>
              <w:tc>
                <w:tcPr>
                  <w:tcW w:w="1115" w:type="pct"/>
                  <w:vAlign w:val="center"/>
                </w:tcPr>
                <w:p w14:paraId="28A77CE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颗粒物</w:t>
                  </w:r>
                </w:p>
              </w:tc>
              <w:tc>
                <w:tcPr>
                  <w:tcW w:w="1700" w:type="pct"/>
                  <w:vAlign w:val="center"/>
                </w:tcPr>
                <w:p w14:paraId="4863AF1D">
                  <w:pPr>
                    <w:keepNext w:val="0"/>
                    <w:keepLines w:val="0"/>
                    <w:suppressLineNumbers w:val="0"/>
                    <w:adjustRightInd w:val="0"/>
                    <w:snapToGrid w:val="0"/>
                    <w:spacing w:before="0" w:beforeAutospacing="0" w:after="0" w:afterAutospacing="0"/>
                    <w:ind w:left="0" w:right="0"/>
                    <w:jc w:val="center"/>
                    <w:rPr>
                      <w:rFonts w:hint="eastAsia"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喷粉房密闭负压收集后+滤筒+脉冲布袋除尘器处理后通过1根</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15</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m高的排气筒DA00</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排放</w:t>
                  </w:r>
                </w:p>
              </w:tc>
            </w:tr>
            <w:tr w14:paraId="48E9A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restart"/>
                  <w:vAlign w:val="center"/>
                </w:tcPr>
                <w:p w14:paraId="71631C0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废水</w:t>
                  </w:r>
                </w:p>
              </w:tc>
              <w:tc>
                <w:tcPr>
                  <w:tcW w:w="573" w:type="pct"/>
                  <w:vAlign w:val="center"/>
                </w:tcPr>
                <w:p w14:paraId="055CCC4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p>
              </w:tc>
              <w:tc>
                <w:tcPr>
                  <w:tcW w:w="947" w:type="pct"/>
                  <w:vAlign w:val="center"/>
                </w:tcPr>
                <w:p w14:paraId="0BBEF74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生活污水</w:t>
                  </w:r>
                </w:p>
              </w:tc>
              <w:tc>
                <w:tcPr>
                  <w:tcW w:w="1115" w:type="pct"/>
                  <w:vAlign w:val="center"/>
                </w:tcPr>
                <w:p w14:paraId="3B2669C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pH、COD、氨氮、SS、BOD</w:t>
                  </w:r>
                  <w:r>
                    <w:rPr>
                      <w:rFonts w:hint="default" w:ascii="Times New Roman" w:hAnsi="Times New Roman" w:cs="Times New Roman"/>
                      <w:bCs/>
                      <w:color w:val="000000" w:themeColor="text1"/>
                      <w:szCs w:val="21"/>
                      <w:highlight w:val="none"/>
                      <w:vertAlign w:val="subscript"/>
                      <w14:textFill>
                        <w14:solidFill>
                          <w14:schemeClr w14:val="tx1"/>
                        </w14:solidFill>
                      </w14:textFill>
                    </w:rPr>
                    <w:t>5</w:t>
                  </w:r>
                  <w:r>
                    <w:rPr>
                      <w:rFonts w:hint="default" w:ascii="Times New Roman" w:hAnsi="Times New Roman" w:cs="Times New Roman"/>
                      <w:bCs/>
                      <w:color w:val="000000" w:themeColor="text1"/>
                      <w:szCs w:val="21"/>
                      <w:highlight w:val="none"/>
                      <w14:textFill>
                        <w14:solidFill>
                          <w14:schemeClr w14:val="tx1"/>
                        </w14:solidFill>
                      </w14:textFill>
                    </w:rPr>
                    <w:t>、TP、TN</w:t>
                  </w:r>
                </w:p>
              </w:tc>
              <w:tc>
                <w:tcPr>
                  <w:tcW w:w="1700" w:type="pct"/>
                  <w:vAlign w:val="center"/>
                </w:tcPr>
                <w:p w14:paraId="5728B0C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color w:val="000000" w:themeColor="text1"/>
                      <w:szCs w:val="21"/>
                      <w14:textFill>
                        <w14:solidFill>
                          <w14:schemeClr w14:val="tx1"/>
                        </w14:solidFill>
                      </w14:textFill>
                    </w:rPr>
                    <w:t>经化粪池处理后经市政污水管网排入芜湖县新芜开发区城东污水处理厂，达标后排入汪溪坝撇洪沟后汇入裘公河</w:t>
                  </w:r>
                </w:p>
              </w:tc>
            </w:tr>
            <w:tr w14:paraId="44D2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00E1974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Align w:val="center"/>
                </w:tcPr>
                <w:p w14:paraId="7552168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r>
                    <w:rPr>
                      <w:rFonts w:hint="eastAsia" w:cs="Times New Roman"/>
                      <w:bCs/>
                      <w:color w:val="000000" w:themeColor="text1"/>
                      <w:szCs w:val="21"/>
                      <w:highlight w:val="none"/>
                      <w:lang w:val="en-US" w:eastAsia="zh-CN"/>
                      <w14:textFill>
                        <w14:solidFill>
                          <w14:schemeClr w14:val="tx1"/>
                        </w14:solidFill>
                      </w14:textFill>
                    </w:rPr>
                    <w:t>1</w:t>
                  </w:r>
                </w:p>
              </w:tc>
              <w:tc>
                <w:tcPr>
                  <w:tcW w:w="947" w:type="pct"/>
                  <w:vAlign w:val="center"/>
                </w:tcPr>
                <w:p w14:paraId="255C5D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磁力研磨</w:t>
                  </w:r>
                </w:p>
              </w:tc>
              <w:tc>
                <w:tcPr>
                  <w:tcW w:w="1115" w:type="pct"/>
                  <w:vMerge w:val="restart"/>
                  <w:vAlign w:val="center"/>
                </w:tcPr>
                <w:p w14:paraId="42E332E7">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pH、COD、氨氮、SS、BOD</w:t>
                  </w:r>
                  <w:r>
                    <w:rPr>
                      <w:rFonts w:hint="default"/>
                      <w:bCs/>
                      <w:color w:val="000000" w:themeColor="text1"/>
                      <w:szCs w:val="21"/>
                      <w:vertAlign w:val="subscript"/>
                      <w14:textFill>
                        <w14:solidFill>
                          <w14:schemeClr w14:val="tx1"/>
                        </w14:solidFill>
                      </w14:textFill>
                    </w:rPr>
                    <w:t>5</w:t>
                  </w:r>
                  <w:r>
                    <w:rPr>
                      <w:rFonts w:hint="default"/>
                      <w:bCs/>
                      <w:color w:val="000000" w:themeColor="text1"/>
                      <w:szCs w:val="21"/>
                      <w14:textFill>
                        <w14:solidFill>
                          <w14:schemeClr w14:val="tx1"/>
                        </w14:solidFill>
                      </w14:textFill>
                    </w:rPr>
                    <w:t>、TP、TN、</w:t>
                  </w:r>
                  <w:r>
                    <w:rPr>
                      <w:rFonts w:hint="default"/>
                      <w:color w:val="000000" w:themeColor="text1"/>
                      <w:szCs w:val="21"/>
                      <w:lang w:bidi="ar"/>
                      <w14:textFill>
                        <w14:solidFill>
                          <w14:schemeClr w14:val="tx1"/>
                        </w14:solidFill>
                      </w14:textFill>
                    </w:rPr>
                    <w:t>LAS、石油类</w:t>
                  </w:r>
                </w:p>
              </w:tc>
              <w:tc>
                <w:tcPr>
                  <w:tcW w:w="1700" w:type="pct"/>
                  <w:vMerge w:val="restart"/>
                  <w:vAlign w:val="center"/>
                </w:tcPr>
                <w:p w14:paraId="2BD86E8D">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经</w:t>
                  </w:r>
                  <w:r>
                    <w:rPr>
                      <w:rFonts w:hint="eastAsia"/>
                      <w:color w:val="000000" w:themeColor="text1"/>
                      <w:szCs w:val="21"/>
                      <w:lang w:val="en-US" w:eastAsia="zh-CN"/>
                      <w14:textFill>
                        <w14:solidFill>
                          <w14:schemeClr w14:val="tx1"/>
                        </w14:solidFill>
                      </w14:textFill>
                    </w:rPr>
                    <w:t>自建污水处理站</w:t>
                  </w:r>
                  <w:r>
                    <w:rPr>
                      <w:rFonts w:hint="default"/>
                      <w:color w:val="000000" w:themeColor="text1"/>
                      <w:szCs w:val="21"/>
                      <w14:textFill>
                        <w14:solidFill>
                          <w14:schemeClr w14:val="tx1"/>
                        </w14:solidFill>
                      </w14:textFill>
                    </w:rPr>
                    <w:t>处理后经市政污水管网排入排入安徽芜湖县新芜开发区城东污水处理厂，达标后排入汪溪坝撇洪沟后汇入裘公河</w:t>
                  </w:r>
                </w:p>
              </w:tc>
            </w:tr>
            <w:tr w14:paraId="26606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54C16E5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Align w:val="center"/>
                </w:tcPr>
                <w:p w14:paraId="13A4630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2</w:t>
                  </w:r>
                </w:p>
              </w:tc>
              <w:tc>
                <w:tcPr>
                  <w:tcW w:w="947" w:type="pct"/>
                  <w:vAlign w:val="center"/>
                </w:tcPr>
                <w:p w14:paraId="5E9D83BE">
                  <w:pPr>
                    <w:keepNext w:val="0"/>
                    <w:keepLines w:val="0"/>
                    <w:suppressLineNumbers w:val="0"/>
                    <w:adjustRightInd w:val="0"/>
                    <w:snapToGrid w:val="0"/>
                    <w:spacing w:before="0" w:beforeAutospacing="0" w:after="0" w:afterAutospacing="0"/>
                    <w:ind w:left="0" w:right="0"/>
                    <w:jc w:val="center"/>
                    <w:rPr>
                      <w:rFonts w:hint="default"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超声波清洗</w:t>
                  </w:r>
                </w:p>
              </w:tc>
              <w:tc>
                <w:tcPr>
                  <w:tcW w:w="1115" w:type="pct"/>
                  <w:vMerge w:val="continue"/>
                  <w:vAlign w:val="center"/>
                </w:tcPr>
                <w:p w14:paraId="6A8173CF">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1700" w:type="pct"/>
                  <w:vMerge w:val="continue"/>
                  <w:vAlign w:val="center"/>
                </w:tcPr>
                <w:p w14:paraId="535B9338">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r>
            <w:tr w14:paraId="1FC2A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285D3BC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Align w:val="center"/>
                </w:tcPr>
                <w:p w14:paraId="548BA87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3</w:t>
                  </w:r>
                </w:p>
              </w:tc>
              <w:tc>
                <w:tcPr>
                  <w:tcW w:w="947" w:type="pct"/>
                  <w:shd w:val="clear" w:color="auto" w:fill="auto"/>
                  <w:vAlign w:val="center"/>
                </w:tcPr>
                <w:p w14:paraId="2B795C7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预脱脂、主脱脂</w:t>
                  </w:r>
                </w:p>
              </w:tc>
              <w:tc>
                <w:tcPr>
                  <w:tcW w:w="1115" w:type="pct"/>
                  <w:vMerge w:val="continue"/>
                  <w:vAlign w:val="center"/>
                </w:tcPr>
                <w:p w14:paraId="42A8CC13">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1700" w:type="pct"/>
                  <w:vMerge w:val="continue"/>
                  <w:vAlign w:val="center"/>
                </w:tcPr>
                <w:p w14:paraId="7A2D8AC0">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r>
            <w:tr w14:paraId="77D61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7B46883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Align w:val="center"/>
                </w:tcPr>
                <w:p w14:paraId="25E2BE1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4</w:t>
                  </w:r>
                </w:p>
              </w:tc>
              <w:tc>
                <w:tcPr>
                  <w:tcW w:w="947" w:type="pct"/>
                  <w:shd w:val="clear" w:color="auto" w:fill="auto"/>
                  <w:vAlign w:val="center"/>
                </w:tcPr>
                <w:p w14:paraId="73C1B16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脱脂后水洗</w:t>
                  </w:r>
                </w:p>
              </w:tc>
              <w:tc>
                <w:tcPr>
                  <w:tcW w:w="1115" w:type="pct"/>
                  <w:vMerge w:val="continue"/>
                  <w:vAlign w:val="center"/>
                </w:tcPr>
                <w:p w14:paraId="4D193236">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1700" w:type="pct"/>
                  <w:vMerge w:val="continue"/>
                  <w:vAlign w:val="center"/>
                </w:tcPr>
                <w:p w14:paraId="1261736F">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r>
            <w:tr w14:paraId="19A4A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307AE36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Align w:val="center"/>
                </w:tcPr>
                <w:p w14:paraId="11EDFEE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5</w:t>
                  </w:r>
                </w:p>
              </w:tc>
              <w:tc>
                <w:tcPr>
                  <w:tcW w:w="947" w:type="pct"/>
                  <w:shd w:val="clear" w:color="auto" w:fill="auto"/>
                  <w:vAlign w:val="center"/>
                </w:tcPr>
                <w:p w14:paraId="5F4CB1F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硅烷化</w:t>
                  </w:r>
                </w:p>
              </w:tc>
              <w:tc>
                <w:tcPr>
                  <w:tcW w:w="1115" w:type="pct"/>
                  <w:vMerge w:val="continue"/>
                  <w:vAlign w:val="center"/>
                </w:tcPr>
                <w:p w14:paraId="64238F3E">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1700" w:type="pct"/>
                  <w:vMerge w:val="continue"/>
                  <w:vAlign w:val="center"/>
                </w:tcPr>
                <w:p w14:paraId="60E900AD">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r>
            <w:tr w14:paraId="3BDB1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1705A85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28B79C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6</w:t>
                  </w:r>
                </w:p>
              </w:tc>
              <w:tc>
                <w:tcPr>
                  <w:tcW w:w="947" w:type="pct"/>
                  <w:shd w:val="clear" w:color="auto" w:fill="auto"/>
                  <w:vAlign w:val="center"/>
                </w:tcPr>
                <w:p w14:paraId="3814A592">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Style w:val="75"/>
                      <w:rFonts w:hint="eastAsia"/>
                      <w:color w:val="000000" w:themeColor="text1"/>
                      <w:kern w:val="0"/>
                      <w:szCs w:val="20"/>
                      <w:lang w:val="en-US" w:eastAsia="zh-CN"/>
                      <w14:textFill>
                        <w14:solidFill>
                          <w14:schemeClr w14:val="tx1"/>
                        </w14:solidFill>
                      </w14:textFill>
                    </w:rPr>
                    <w:t>喷枪清洗</w:t>
                  </w:r>
                </w:p>
              </w:tc>
              <w:tc>
                <w:tcPr>
                  <w:tcW w:w="1115" w:type="pct"/>
                  <w:vMerge w:val="continue"/>
                  <w:vAlign w:val="center"/>
                </w:tcPr>
                <w:p w14:paraId="17602651">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1700" w:type="pct"/>
                  <w:vMerge w:val="continue"/>
                  <w:vAlign w:val="center"/>
                </w:tcPr>
                <w:p w14:paraId="76643E69">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r>
            <w:tr w14:paraId="41B12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15C10FB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738AE68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lang w:val="en-US" w:eastAsia="zh-CN"/>
                      <w14:textFill>
                        <w14:solidFill>
                          <w14:schemeClr w14:val="tx1"/>
                        </w14:solidFill>
                      </w14:textFill>
                    </w:rPr>
                    <w:t>W7</w:t>
                  </w:r>
                </w:p>
              </w:tc>
              <w:tc>
                <w:tcPr>
                  <w:tcW w:w="947" w:type="pct"/>
                  <w:shd w:val="clear" w:color="auto" w:fill="auto"/>
                  <w:vAlign w:val="center"/>
                </w:tcPr>
                <w:p w14:paraId="28704051">
                  <w:pPr>
                    <w:keepNext w:val="0"/>
                    <w:keepLines w:val="0"/>
                    <w:suppressLineNumbers w:val="0"/>
                    <w:adjustRightInd w:val="0"/>
                    <w:snapToGrid w:val="0"/>
                    <w:spacing w:before="0" w:beforeAutospacing="0" w:after="0" w:afterAutospacing="0"/>
                    <w:ind w:left="0" w:right="0"/>
                    <w:jc w:val="center"/>
                    <w:rPr>
                      <w:rStyle w:val="75"/>
                      <w:rFonts w:hint="default"/>
                      <w:color w:val="000000" w:themeColor="text1"/>
                      <w:kern w:val="0"/>
                      <w:szCs w:val="20"/>
                      <w:lang w:val="en-US" w:eastAsia="zh-CN"/>
                      <w14:textFill>
                        <w14:solidFill>
                          <w14:schemeClr w14:val="tx1"/>
                        </w14:solidFill>
                      </w14:textFill>
                    </w:rPr>
                  </w:pPr>
                  <w:r>
                    <w:rPr>
                      <w:rStyle w:val="75"/>
                      <w:rFonts w:hint="eastAsia"/>
                      <w:color w:val="000000" w:themeColor="text1"/>
                      <w:kern w:val="0"/>
                      <w:szCs w:val="20"/>
                      <w:lang w:val="en-US" w:eastAsia="zh-CN"/>
                      <w14:textFill>
                        <w14:solidFill>
                          <w14:schemeClr w14:val="tx1"/>
                        </w14:solidFill>
                      </w14:textFill>
                    </w:rPr>
                    <w:t>水帘柜</w:t>
                  </w:r>
                </w:p>
              </w:tc>
              <w:tc>
                <w:tcPr>
                  <w:tcW w:w="1115" w:type="pct"/>
                  <w:vMerge w:val="continue"/>
                  <w:vAlign w:val="center"/>
                </w:tcPr>
                <w:p w14:paraId="79AB9490">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1700" w:type="pct"/>
                  <w:vMerge w:val="continue"/>
                  <w:vAlign w:val="center"/>
                </w:tcPr>
                <w:p w14:paraId="6DAEAB62">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r>
            <w:tr w14:paraId="07F3E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3" w:type="pct"/>
                  <w:vMerge w:val="continue"/>
                  <w:vAlign w:val="center"/>
                </w:tcPr>
                <w:p w14:paraId="2EEEAC5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265B54B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Cs/>
                      <w:color w:val="000000" w:themeColor="text1"/>
                      <w:szCs w:val="21"/>
                      <w:highlight w:val="none"/>
                      <w:lang w:val="en-US" w:eastAsia="zh-CN"/>
                      <w14:textFill>
                        <w14:solidFill>
                          <w14:schemeClr w14:val="tx1"/>
                        </w14:solidFill>
                      </w14:textFill>
                    </w:rPr>
                    <w:t>W8</w:t>
                  </w:r>
                </w:p>
              </w:tc>
              <w:tc>
                <w:tcPr>
                  <w:tcW w:w="947" w:type="pct"/>
                  <w:shd w:val="clear" w:color="auto" w:fill="auto"/>
                  <w:vAlign w:val="center"/>
                </w:tcPr>
                <w:p w14:paraId="1CD7B39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Style w:val="75"/>
                      <w:rFonts w:hint="default"/>
                      <w:color w:val="000000" w:themeColor="text1"/>
                      <w:kern w:val="0"/>
                      <w:szCs w:val="20"/>
                      <w14:textFill>
                        <w14:solidFill>
                          <w14:schemeClr w14:val="tx1"/>
                        </w14:solidFill>
                      </w14:textFill>
                    </w:rPr>
                    <w:t>纯水</w:t>
                  </w:r>
                  <w:r>
                    <w:rPr>
                      <w:rFonts w:hint="default"/>
                      <w:bCs/>
                      <w:color w:val="000000" w:themeColor="text1"/>
                      <w:szCs w:val="21"/>
                      <w14:textFill>
                        <w14:solidFill>
                          <w14:schemeClr w14:val="tx1"/>
                        </w14:solidFill>
                      </w14:textFill>
                    </w:rPr>
                    <w:t>制备浓水</w:t>
                  </w:r>
                </w:p>
              </w:tc>
              <w:tc>
                <w:tcPr>
                  <w:tcW w:w="1115" w:type="pct"/>
                  <w:shd w:val="clear" w:color="auto" w:fill="auto"/>
                  <w:vAlign w:val="center"/>
                </w:tcPr>
                <w:p w14:paraId="6EE3D8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pH、COD、SS</w:t>
                  </w:r>
                </w:p>
              </w:tc>
              <w:tc>
                <w:tcPr>
                  <w:tcW w:w="1700" w:type="pct"/>
                  <w:shd w:val="clear" w:color="auto" w:fill="auto"/>
                  <w:vAlign w:val="center"/>
                </w:tcPr>
                <w:p w14:paraId="5796A7AF">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直排</w:t>
                  </w:r>
                  <w:r>
                    <w:rPr>
                      <w:rFonts w:hint="default"/>
                      <w:color w:val="000000" w:themeColor="text1"/>
                      <w:szCs w:val="21"/>
                      <w14:textFill>
                        <w14:solidFill>
                          <w14:schemeClr w14:val="tx1"/>
                        </w14:solidFill>
                      </w14:textFill>
                    </w:rPr>
                    <w:t>市政污水管网</w:t>
                  </w:r>
                </w:p>
              </w:tc>
            </w:tr>
            <w:tr w14:paraId="23BE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63" w:type="pct"/>
                  <w:vAlign w:val="center"/>
                </w:tcPr>
                <w:p w14:paraId="5EE1283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噪声</w:t>
                  </w:r>
                </w:p>
              </w:tc>
              <w:tc>
                <w:tcPr>
                  <w:tcW w:w="573" w:type="pct"/>
                  <w:vAlign w:val="center"/>
                </w:tcPr>
                <w:p w14:paraId="2CB3F51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N</w:t>
                  </w:r>
                </w:p>
              </w:tc>
              <w:tc>
                <w:tcPr>
                  <w:tcW w:w="947" w:type="pct"/>
                  <w:vAlign w:val="center"/>
                </w:tcPr>
                <w:p w14:paraId="6DE67E1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设备运行</w:t>
                  </w:r>
                </w:p>
              </w:tc>
              <w:tc>
                <w:tcPr>
                  <w:tcW w:w="1115" w:type="pct"/>
                  <w:vAlign w:val="center"/>
                </w:tcPr>
                <w:p w14:paraId="4423F07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机械噪声</w:t>
                  </w:r>
                </w:p>
              </w:tc>
              <w:tc>
                <w:tcPr>
                  <w:tcW w:w="1700" w:type="pct"/>
                  <w:shd w:val="clear" w:color="auto" w:fill="auto"/>
                  <w:vAlign w:val="center"/>
                </w:tcPr>
                <w:p w14:paraId="3F688E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选用低噪声设备、隔声减振、绿化吸声</w:t>
                  </w:r>
                </w:p>
              </w:tc>
            </w:tr>
            <w:tr w14:paraId="7BDB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restart"/>
                  <w:vAlign w:val="center"/>
                </w:tcPr>
                <w:p w14:paraId="5997F27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固废</w:t>
                  </w:r>
                </w:p>
              </w:tc>
              <w:tc>
                <w:tcPr>
                  <w:tcW w:w="573" w:type="pct"/>
                  <w:shd w:val="clear" w:color="auto" w:fill="auto"/>
                  <w:vAlign w:val="center"/>
                </w:tcPr>
                <w:p w14:paraId="150538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w:t>
                  </w:r>
                </w:p>
              </w:tc>
              <w:tc>
                <w:tcPr>
                  <w:tcW w:w="947" w:type="pct"/>
                  <w:vMerge w:val="restart"/>
                  <w:shd w:val="clear" w:color="auto" w:fill="auto"/>
                  <w:vAlign w:val="center"/>
                </w:tcPr>
                <w:p w14:paraId="0B44530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机加工</w:t>
                  </w:r>
                </w:p>
              </w:tc>
              <w:tc>
                <w:tcPr>
                  <w:tcW w:w="1115" w:type="pct"/>
                  <w:shd w:val="clear" w:color="auto" w:fill="auto"/>
                  <w:vAlign w:val="center"/>
                </w:tcPr>
                <w:p w14:paraId="0834B6E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1700" w:type="pct"/>
                  <w:shd w:val="clear" w:color="auto" w:fill="auto"/>
                  <w:vAlign w:val="center"/>
                </w:tcPr>
                <w:p w14:paraId="26AD7C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p>
              </w:tc>
            </w:tr>
            <w:tr w14:paraId="3C495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1079740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5C3252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S2</w:t>
                  </w:r>
                </w:p>
              </w:tc>
              <w:tc>
                <w:tcPr>
                  <w:tcW w:w="947" w:type="pct"/>
                  <w:vMerge w:val="continue"/>
                  <w:shd w:val="clear" w:color="auto" w:fill="auto"/>
                  <w:vAlign w:val="center"/>
                </w:tcPr>
                <w:p w14:paraId="20480BD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115" w:type="pct"/>
                  <w:shd w:val="clear" w:color="auto" w:fill="auto"/>
                  <w:vAlign w:val="center"/>
                </w:tcPr>
                <w:p w14:paraId="05B649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1700" w:type="pct"/>
                  <w:vMerge w:val="restart"/>
                  <w:shd w:val="clear" w:color="auto" w:fill="auto"/>
                  <w:vAlign w:val="center"/>
                </w:tcPr>
                <w:p w14:paraId="7E6916B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危废暂存间分类暂存，定期委托有资质单位处置</w:t>
                  </w:r>
                </w:p>
              </w:tc>
            </w:tr>
            <w:tr w14:paraId="280A7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604F21F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5DBE84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S3</w:t>
                  </w:r>
                </w:p>
              </w:tc>
              <w:tc>
                <w:tcPr>
                  <w:tcW w:w="947" w:type="pct"/>
                  <w:shd w:val="clear" w:color="auto" w:fill="auto"/>
                  <w:vAlign w:val="center"/>
                </w:tcPr>
                <w:p w14:paraId="04C3F3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原料使用</w:t>
                  </w:r>
                </w:p>
              </w:tc>
              <w:tc>
                <w:tcPr>
                  <w:tcW w:w="1115" w:type="pct"/>
                  <w:shd w:val="clear" w:color="auto" w:fill="auto"/>
                  <w:vAlign w:val="center"/>
                </w:tcPr>
                <w:p w14:paraId="649FCD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1700" w:type="pct"/>
                  <w:vMerge w:val="continue"/>
                  <w:shd w:val="clear" w:color="auto" w:fill="auto"/>
                  <w:vAlign w:val="center"/>
                </w:tcPr>
                <w:p w14:paraId="27AADC5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04025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1CD147A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686F0A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S4</w:t>
                  </w:r>
                </w:p>
              </w:tc>
              <w:tc>
                <w:tcPr>
                  <w:tcW w:w="947" w:type="pct"/>
                  <w:shd w:val="clear" w:color="auto" w:fill="auto"/>
                  <w:vAlign w:val="center"/>
                </w:tcPr>
                <w:p w14:paraId="567183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机加工</w:t>
                  </w:r>
                </w:p>
              </w:tc>
              <w:tc>
                <w:tcPr>
                  <w:tcW w:w="1115" w:type="pct"/>
                  <w:shd w:val="clear" w:color="auto" w:fill="auto"/>
                  <w:vAlign w:val="center"/>
                </w:tcPr>
                <w:p w14:paraId="3C8AC8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含油金属屑</w:t>
                  </w:r>
                </w:p>
              </w:tc>
              <w:tc>
                <w:tcPr>
                  <w:tcW w:w="1700" w:type="pct"/>
                  <w:shd w:val="clear" w:color="auto" w:fill="auto"/>
                  <w:vAlign w:val="center"/>
                </w:tcPr>
                <w:p w14:paraId="789859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p>
              </w:tc>
            </w:tr>
            <w:tr w14:paraId="3DDDA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5C1F7E7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7BB6C8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S5</w:t>
                  </w:r>
                </w:p>
              </w:tc>
              <w:tc>
                <w:tcPr>
                  <w:tcW w:w="947" w:type="pct"/>
                  <w:shd w:val="clear" w:color="auto" w:fill="auto"/>
                  <w:vAlign w:val="center"/>
                </w:tcPr>
                <w:p w14:paraId="528F12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磁力研磨</w:t>
                  </w:r>
                </w:p>
              </w:tc>
              <w:tc>
                <w:tcPr>
                  <w:tcW w:w="1115" w:type="pct"/>
                  <w:shd w:val="clear" w:color="auto" w:fill="auto"/>
                  <w:vAlign w:val="center"/>
                </w:tcPr>
                <w:p w14:paraId="68D63A3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lang w:val="en-US"/>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磁力研磨废渣</w:t>
                  </w:r>
                </w:p>
              </w:tc>
              <w:tc>
                <w:tcPr>
                  <w:tcW w:w="1700" w:type="pct"/>
                  <w:shd w:val="clear" w:color="auto" w:fill="auto"/>
                  <w:vAlign w:val="center"/>
                </w:tcPr>
                <w:p w14:paraId="267511A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危废暂存间分类暂存，定期委托有资质单位处置</w:t>
                  </w:r>
                </w:p>
              </w:tc>
            </w:tr>
            <w:tr w14:paraId="7B99E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663" w:type="pct"/>
                  <w:vMerge w:val="continue"/>
                  <w:vAlign w:val="center"/>
                </w:tcPr>
                <w:p w14:paraId="19B104B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076A6E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S6</w:t>
                  </w:r>
                </w:p>
              </w:tc>
              <w:tc>
                <w:tcPr>
                  <w:tcW w:w="947" w:type="pct"/>
                  <w:shd w:val="clear" w:color="auto" w:fill="auto"/>
                  <w:vAlign w:val="center"/>
                </w:tcPr>
                <w:p w14:paraId="7558D00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喷砂</w:t>
                  </w:r>
                </w:p>
              </w:tc>
              <w:tc>
                <w:tcPr>
                  <w:tcW w:w="1115" w:type="pct"/>
                  <w:shd w:val="clear" w:color="auto" w:fill="auto"/>
                  <w:vAlign w:val="center"/>
                </w:tcPr>
                <w:p w14:paraId="58B969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废钢丸</w:t>
                  </w:r>
                </w:p>
              </w:tc>
              <w:tc>
                <w:tcPr>
                  <w:tcW w:w="1700" w:type="pct"/>
                  <w:vMerge w:val="restart"/>
                  <w:shd w:val="clear" w:color="auto" w:fill="auto"/>
                  <w:vAlign w:val="center"/>
                </w:tcPr>
                <w:p w14:paraId="768CDFF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p>
              </w:tc>
            </w:tr>
            <w:tr w14:paraId="2BAB0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663" w:type="pct"/>
                  <w:vMerge w:val="continue"/>
                  <w:vAlign w:val="center"/>
                </w:tcPr>
                <w:p w14:paraId="4CFACDF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725A3E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S7</w:t>
                  </w:r>
                </w:p>
              </w:tc>
              <w:tc>
                <w:tcPr>
                  <w:tcW w:w="947" w:type="pct"/>
                  <w:shd w:val="clear" w:color="auto" w:fill="auto"/>
                  <w:vAlign w:val="center"/>
                </w:tcPr>
                <w:p w14:paraId="32BDF41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抛丸</w:t>
                  </w:r>
                </w:p>
              </w:tc>
              <w:tc>
                <w:tcPr>
                  <w:tcW w:w="1115" w:type="pct"/>
                  <w:shd w:val="clear" w:color="auto" w:fill="auto"/>
                  <w:vAlign w:val="center"/>
                </w:tcPr>
                <w:p w14:paraId="09EFA2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废钢砂</w:t>
                  </w:r>
                </w:p>
              </w:tc>
              <w:tc>
                <w:tcPr>
                  <w:tcW w:w="1700" w:type="pct"/>
                  <w:vMerge w:val="continue"/>
                  <w:shd w:val="clear" w:color="auto" w:fill="auto"/>
                  <w:vAlign w:val="center"/>
                </w:tcPr>
                <w:p w14:paraId="22A09D4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C164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63" w:type="pct"/>
                  <w:vMerge w:val="continue"/>
                  <w:vAlign w:val="center"/>
                </w:tcPr>
                <w:p w14:paraId="2DA0561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63E498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S8</w:t>
                  </w:r>
                </w:p>
              </w:tc>
              <w:tc>
                <w:tcPr>
                  <w:tcW w:w="947" w:type="pct"/>
                  <w:shd w:val="clear" w:color="auto" w:fill="auto"/>
                  <w:vAlign w:val="center"/>
                </w:tcPr>
                <w:p w14:paraId="618B9F7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抛光</w:t>
                  </w:r>
                </w:p>
              </w:tc>
              <w:tc>
                <w:tcPr>
                  <w:tcW w:w="1115" w:type="pct"/>
                  <w:shd w:val="clear" w:color="auto" w:fill="auto"/>
                  <w:vAlign w:val="center"/>
                </w:tcPr>
                <w:p w14:paraId="26C381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废砂带</w:t>
                  </w:r>
                </w:p>
              </w:tc>
              <w:tc>
                <w:tcPr>
                  <w:tcW w:w="1700" w:type="pct"/>
                  <w:vMerge w:val="continue"/>
                  <w:shd w:val="clear" w:color="auto" w:fill="auto"/>
                  <w:vAlign w:val="center"/>
                </w:tcPr>
                <w:p w14:paraId="17A2204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6DF86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63" w:type="pct"/>
                  <w:vMerge w:val="continue"/>
                  <w:vAlign w:val="center"/>
                </w:tcPr>
                <w:p w14:paraId="484D32E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1B1BDC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S9</w:t>
                  </w:r>
                </w:p>
              </w:tc>
              <w:tc>
                <w:tcPr>
                  <w:tcW w:w="947" w:type="pct"/>
                  <w:shd w:val="clear" w:color="auto" w:fill="auto"/>
                  <w:vAlign w:val="center"/>
                </w:tcPr>
                <w:p w14:paraId="7A66B9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超声波清洗</w:t>
                  </w:r>
                </w:p>
              </w:tc>
              <w:tc>
                <w:tcPr>
                  <w:tcW w:w="1115" w:type="pct"/>
                  <w:shd w:val="clear" w:color="auto" w:fill="auto"/>
                  <w:vAlign w:val="center"/>
                </w:tcPr>
                <w:p w14:paraId="4E52661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lang w:val="en-US"/>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超声波清洗槽渣</w:t>
                  </w:r>
                </w:p>
              </w:tc>
              <w:tc>
                <w:tcPr>
                  <w:tcW w:w="1700" w:type="pct"/>
                  <w:vMerge w:val="restart"/>
                  <w:shd w:val="clear" w:color="auto" w:fill="auto"/>
                  <w:vAlign w:val="center"/>
                </w:tcPr>
                <w:p w14:paraId="162FEA7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危废暂存间分类暂存，定期委托有资质单位处置</w:t>
                  </w:r>
                </w:p>
              </w:tc>
            </w:tr>
            <w:tr w14:paraId="727B8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0111B27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45564C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S10</w:t>
                  </w:r>
                </w:p>
              </w:tc>
              <w:tc>
                <w:tcPr>
                  <w:tcW w:w="947" w:type="pct"/>
                  <w:shd w:val="clear" w:color="auto" w:fill="auto"/>
                  <w:vAlign w:val="center"/>
                </w:tcPr>
                <w:p w14:paraId="01638E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主脱脂、预脱脂</w:t>
                  </w:r>
                </w:p>
              </w:tc>
              <w:tc>
                <w:tcPr>
                  <w:tcW w:w="1115" w:type="pct"/>
                  <w:shd w:val="clear" w:color="auto" w:fill="auto"/>
                  <w:vAlign w:val="center"/>
                </w:tcPr>
                <w:p w14:paraId="27DD89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脱脂槽槽渣</w:t>
                  </w:r>
                </w:p>
              </w:tc>
              <w:tc>
                <w:tcPr>
                  <w:tcW w:w="1700" w:type="pct"/>
                  <w:vMerge w:val="continue"/>
                  <w:shd w:val="clear" w:color="auto" w:fill="auto"/>
                  <w:vAlign w:val="center"/>
                </w:tcPr>
                <w:p w14:paraId="354B1D7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9B7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2599595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7B9F28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S11</w:t>
                  </w:r>
                </w:p>
              </w:tc>
              <w:tc>
                <w:tcPr>
                  <w:tcW w:w="947" w:type="pct"/>
                  <w:shd w:val="clear" w:color="auto" w:fill="auto"/>
                  <w:vAlign w:val="center"/>
                </w:tcPr>
                <w:p w14:paraId="793E19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kern w:val="2"/>
                      <w:sz w:val="21"/>
                      <w:szCs w:val="21"/>
                      <w:lang w:val="en-US" w:eastAsia="zh-CN" w:bidi="ar-SA"/>
                      <w14:textFill>
                        <w14:solidFill>
                          <w14:schemeClr w14:val="tx1"/>
                        </w14:solidFill>
                      </w14:textFill>
                    </w:rPr>
                    <w:t>喷淋水洗</w:t>
                  </w:r>
                </w:p>
              </w:tc>
              <w:tc>
                <w:tcPr>
                  <w:tcW w:w="1115" w:type="pct"/>
                  <w:shd w:val="clear" w:color="auto" w:fill="auto"/>
                  <w:vAlign w:val="center"/>
                </w:tcPr>
                <w:p w14:paraId="1DAE51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水洗</w:t>
                  </w:r>
                  <w:r>
                    <w:rPr>
                      <w:rFonts w:hint="default"/>
                      <w:color w:val="000000" w:themeColor="text1"/>
                      <w:szCs w:val="21"/>
                      <w14:textFill>
                        <w14:solidFill>
                          <w14:schemeClr w14:val="tx1"/>
                        </w14:solidFill>
                      </w14:textFill>
                    </w:rPr>
                    <w:t>槽槽渣</w:t>
                  </w:r>
                </w:p>
              </w:tc>
              <w:tc>
                <w:tcPr>
                  <w:tcW w:w="1700" w:type="pct"/>
                  <w:vMerge w:val="continue"/>
                  <w:shd w:val="clear" w:color="auto" w:fill="auto"/>
                  <w:vAlign w:val="center"/>
                </w:tcPr>
                <w:p w14:paraId="71B3C89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40AF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3E474E6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291C2B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S12</w:t>
                  </w:r>
                </w:p>
              </w:tc>
              <w:tc>
                <w:tcPr>
                  <w:tcW w:w="947" w:type="pct"/>
                  <w:shd w:val="clear" w:color="auto" w:fill="auto"/>
                  <w:vAlign w:val="center"/>
                </w:tcPr>
                <w:p w14:paraId="19626C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硅烷化</w:t>
                  </w:r>
                </w:p>
              </w:tc>
              <w:tc>
                <w:tcPr>
                  <w:tcW w:w="1115" w:type="pct"/>
                  <w:shd w:val="clear" w:color="auto" w:fill="auto"/>
                  <w:vAlign w:val="center"/>
                </w:tcPr>
                <w:p w14:paraId="3E58DD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硅烷化槽渣</w:t>
                  </w:r>
                </w:p>
              </w:tc>
              <w:tc>
                <w:tcPr>
                  <w:tcW w:w="1700" w:type="pct"/>
                  <w:vMerge w:val="continue"/>
                  <w:shd w:val="clear" w:color="auto" w:fill="auto"/>
                  <w:vAlign w:val="center"/>
                </w:tcPr>
                <w:p w14:paraId="12C03D0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A396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214AED6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00606B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S13</w:t>
                  </w:r>
                </w:p>
              </w:tc>
              <w:tc>
                <w:tcPr>
                  <w:tcW w:w="947" w:type="pct"/>
                  <w:shd w:val="clear" w:color="auto" w:fill="auto"/>
                  <w:vAlign w:val="center"/>
                </w:tcPr>
                <w:p w14:paraId="225669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bCs/>
                      <w:color w:val="000000" w:themeColor="text1"/>
                      <w:szCs w:val="21"/>
                      <w14:textFill>
                        <w14:solidFill>
                          <w14:schemeClr w14:val="tx1"/>
                        </w14:solidFill>
                      </w14:textFill>
                    </w:rPr>
                    <w:t>喷漆</w:t>
                  </w:r>
                </w:p>
              </w:tc>
              <w:tc>
                <w:tcPr>
                  <w:tcW w:w="1115" w:type="pct"/>
                  <w:shd w:val="clear" w:color="auto" w:fill="auto"/>
                  <w:vAlign w:val="center"/>
                </w:tcPr>
                <w:p w14:paraId="53B2A5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水性漆渣</w:t>
                  </w:r>
                </w:p>
              </w:tc>
              <w:tc>
                <w:tcPr>
                  <w:tcW w:w="1700" w:type="pct"/>
                  <w:vMerge w:val="restart"/>
                  <w:shd w:val="clear" w:color="auto" w:fill="auto"/>
                  <w:vAlign w:val="center"/>
                </w:tcPr>
                <w:p w14:paraId="343866F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p>
              </w:tc>
            </w:tr>
            <w:tr w14:paraId="67811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634BDB8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1B9C07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S14</w:t>
                  </w:r>
                </w:p>
              </w:tc>
              <w:tc>
                <w:tcPr>
                  <w:tcW w:w="947" w:type="pct"/>
                  <w:shd w:val="clear" w:color="auto" w:fill="auto"/>
                  <w:vAlign w:val="center"/>
                </w:tcPr>
                <w:p w14:paraId="4A0F69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原料使用、包装入库</w:t>
                  </w:r>
                </w:p>
              </w:tc>
              <w:tc>
                <w:tcPr>
                  <w:tcW w:w="1115" w:type="pct"/>
                  <w:shd w:val="clear" w:color="auto" w:fill="auto"/>
                  <w:vAlign w:val="center"/>
                </w:tcPr>
                <w:p w14:paraId="14A955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废包装材料</w:t>
                  </w:r>
                </w:p>
              </w:tc>
              <w:tc>
                <w:tcPr>
                  <w:tcW w:w="1700" w:type="pct"/>
                  <w:vMerge w:val="continue"/>
                  <w:shd w:val="clear" w:color="auto" w:fill="auto"/>
                  <w:vAlign w:val="center"/>
                </w:tcPr>
                <w:p w14:paraId="546C9B3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926A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663" w:type="pct"/>
                  <w:vMerge w:val="continue"/>
                  <w:vAlign w:val="center"/>
                </w:tcPr>
                <w:p w14:paraId="30F5838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731A99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S15</w:t>
                  </w:r>
                </w:p>
              </w:tc>
              <w:tc>
                <w:tcPr>
                  <w:tcW w:w="947" w:type="pct"/>
                  <w:shd w:val="clear" w:color="auto" w:fill="auto"/>
                  <w:vAlign w:val="center"/>
                </w:tcPr>
                <w:p w14:paraId="3F92BE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质检</w:t>
                  </w:r>
                </w:p>
              </w:tc>
              <w:tc>
                <w:tcPr>
                  <w:tcW w:w="1115" w:type="pct"/>
                  <w:shd w:val="clear" w:color="auto" w:fill="auto"/>
                  <w:vAlign w:val="center"/>
                </w:tcPr>
                <w:p w14:paraId="603CA1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1700" w:type="pct"/>
                  <w:vMerge w:val="continue"/>
                  <w:shd w:val="clear" w:color="auto" w:fill="auto"/>
                  <w:vAlign w:val="center"/>
                </w:tcPr>
                <w:p w14:paraId="7D1838D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A26F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663" w:type="pct"/>
                  <w:vMerge w:val="continue"/>
                  <w:vAlign w:val="center"/>
                </w:tcPr>
                <w:p w14:paraId="12CD4FA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249A0E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S16</w:t>
                  </w:r>
                </w:p>
              </w:tc>
              <w:tc>
                <w:tcPr>
                  <w:tcW w:w="947" w:type="pct"/>
                  <w:vMerge w:val="restart"/>
                  <w:shd w:val="clear" w:color="auto" w:fill="auto"/>
                  <w:vAlign w:val="center"/>
                </w:tcPr>
                <w:p w14:paraId="00DA0F0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粉尘治理</w:t>
                  </w:r>
                </w:p>
              </w:tc>
              <w:tc>
                <w:tcPr>
                  <w:tcW w:w="1115" w:type="pct"/>
                  <w:shd w:val="clear" w:color="auto" w:fill="auto"/>
                  <w:vAlign w:val="center"/>
                </w:tcPr>
                <w:p w14:paraId="605BB3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人工去毛刺、打磨、抛光、喷砂、抛丸</w:t>
                  </w:r>
                  <w:r>
                    <w:rPr>
                      <w:rFonts w:hint="default" w:ascii="Times New Roman" w:hAnsi="Times New Roman" w:cs="Times New Roman"/>
                      <w:color w:val="000000" w:themeColor="text1"/>
                      <w:szCs w:val="21"/>
                      <w14:textFill>
                        <w14:solidFill>
                          <w14:schemeClr w14:val="tx1"/>
                        </w14:solidFill>
                      </w14:textFill>
                    </w:rPr>
                    <w:t>除尘装置收集的粉尘</w:t>
                  </w:r>
                </w:p>
              </w:tc>
              <w:tc>
                <w:tcPr>
                  <w:tcW w:w="1700" w:type="pct"/>
                  <w:vMerge w:val="continue"/>
                  <w:shd w:val="clear" w:color="auto" w:fill="auto"/>
                  <w:vAlign w:val="center"/>
                </w:tcPr>
                <w:p w14:paraId="2C397AD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4FF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663" w:type="pct"/>
                  <w:vMerge w:val="continue"/>
                  <w:vAlign w:val="center"/>
                </w:tcPr>
                <w:p w14:paraId="0353E06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vAlign w:val="center"/>
                </w:tcPr>
                <w:p w14:paraId="76C0837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w:t>
                  </w:r>
                  <w:r>
                    <w:rPr>
                      <w:rFonts w:hint="eastAsia" w:ascii="Times New Roman" w:hAnsi="Times New Roman" w:cs="Times New Roman"/>
                      <w:bCs/>
                      <w:color w:val="000000" w:themeColor="text1"/>
                      <w:szCs w:val="21"/>
                      <w:lang w:val="en-US" w:eastAsia="zh-CN"/>
                      <w14:textFill>
                        <w14:solidFill>
                          <w14:schemeClr w14:val="tx1"/>
                        </w14:solidFill>
                      </w14:textFill>
                    </w:rPr>
                    <w:t>7</w:t>
                  </w:r>
                </w:p>
              </w:tc>
              <w:tc>
                <w:tcPr>
                  <w:tcW w:w="947" w:type="pct"/>
                  <w:vMerge w:val="continue"/>
                  <w:shd w:val="clear" w:color="auto" w:fill="auto"/>
                  <w:vAlign w:val="center"/>
                </w:tcPr>
                <w:p w14:paraId="343BADA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115" w:type="pct"/>
                  <w:shd w:val="clear" w:color="auto" w:fill="auto"/>
                  <w:vAlign w:val="center"/>
                </w:tcPr>
                <w:p w14:paraId="358A84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废滤筒</w:t>
                  </w:r>
                </w:p>
              </w:tc>
              <w:tc>
                <w:tcPr>
                  <w:tcW w:w="1700" w:type="pct"/>
                  <w:vMerge w:val="continue"/>
                  <w:shd w:val="clear" w:color="auto" w:fill="auto"/>
                  <w:vAlign w:val="center"/>
                </w:tcPr>
                <w:p w14:paraId="752AFAD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4641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663" w:type="pct"/>
                  <w:vMerge w:val="continue"/>
                  <w:vAlign w:val="center"/>
                </w:tcPr>
                <w:p w14:paraId="7C34381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5EC186A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w:t>
                  </w:r>
                  <w:r>
                    <w:rPr>
                      <w:rFonts w:hint="eastAsia" w:ascii="Times New Roman" w:hAnsi="Times New Roman" w:cs="Times New Roman"/>
                      <w:bCs/>
                      <w:color w:val="000000" w:themeColor="text1"/>
                      <w:szCs w:val="21"/>
                      <w:lang w:val="en-US" w:eastAsia="zh-CN"/>
                      <w14:textFill>
                        <w14:solidFill>
                          <w14:schemeClr w14:val="tx1"/>
                        </w14:solidFill>
                      </w14:textFill>
                    </w:rPr>
                    <w:t>8</w:t>
                  </w:r>
                </w:p>
              </w:tc>
              <w:tc>
                <w:tcPr>
                  <w:tcW w:w="947" w:type="pct"/>
                  <w:vMerge w:val="continue"/>
                  <w:shd w:val="clear" w:color="auto" w:fill="auto"/>
                  <w:vAlign w:val="center"/>
                </w:tcPr>
                <w:p w14:paraId="2C23415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15" w:type="pct"/>
                  <w:shd w:val="clear" w:color="auto" w:fill="auto"/>
                  <w:vAlign w:val="center"/>
                </w:tcPr>
                <w:p w14:paraId="1EA69F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废布袋</w:t>
                  </w:r>
                </w:p>
              </w:tc>
              <w:tc>
                <w:tcPr>
                  <w:tcW w:w="1700" w:type="pct"/>
                  <w:vMerge w:val="continue"/>
                  <w:shd w:val="clear" w:color="auto" w:fill="auto"/>
                  <w:vAlign w:val="center"/>
                </w:tcPr>
                <w:p w14:paraId="1341454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32BC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663" w:type="pct"/>
                  <w:vMerge w:val="continue"/>
                  <w:vAlign w:val="center"/>
                </w:tcPr>
                <w:p w14:paraId="027AA09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14027CD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w:t>
                  </w:r>
                  <w:r>
                    <w:rPr>
                      <w:rFonts w:hint="eastAsia" w:ascii="Times New Roman" w:hAnsi="Times New Roman" w:cs="Times New Roman"/>
                      <w:bCs/>
                      <w:color w:val="000000" w:themeColor="text1"/>
                      <w:szCs w:val="21"/>
                      <w:lang w:val="en-US" w:eastAsia="zh-CN"/>
                      <w14:textFill>
                        <w14:solidFill>
                          <w14:schemeClr w14:val="tx1"/>
                        </w14:solidFill>
                      </w14:textFill>
                    </w:rPr>
                    <w:t>9</w:t>
                  </w:r>
                </w:p>
              </w:tc>
              <w:tc>
                <w:tcPr>
                  <w:tcW w:w="947" w:type="pct"/>
                  <w:vMerge w:val="continue"/>
                  <w:shd w:val="clear" w:color="auto" w:fill="auto"/>
                  <w:vAlign w:val="center"/>
                </w:tcPr>
                <w:p w14:paraId="07F063D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15" w:type="pct"/>
                  <w:shd w:val="clear" w:color="auto" w:fill="auto"/>
                  <w:vAlign w:val="center"/>
                </w:tcPr>
                <w:p w14:paraId="6700AD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喷粉除尘装置收集的粉尘</w:t>
                  </w:r>
                </w:p>
              </w:tc>
              <w:tc>
                <w:tcPr>
                  <w:tcW w:w="1700" w:type="pct"/>
                  <w:shd w:val="clear" w:color="auto" w:fill="auto"/>
                  <w:vAlign w:val="center"/>
                </w:tcPr>
                <w:p w14:paraId="7F0BC9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收集后回用于生产</w:t>
                  </w:r>
                </w:p>
              </w:tc>
            </w:tr>
            <w:tr w14:paraId="295DC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663" w:type="pct"/>
                  <w:vMerge w:val="continue"/>
                  <w:vAlign w:val="center"/>
                </w:tcPr>
                <w:p w14:paraId="29F82EB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7BAADA61">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20</w:t>
                  </w:r>
                </w:p>
              </w:tc>
              <w:tc>
                <w:tcPr>
                  <w:tcW w:w="947" w:type="pct"/>
                  <w:vMerge w:val="continue"/>
                  <w:shd w:val="clear" w:color="auto" w:fill="auto"/>
                  <w:vAlign w:val="center"/>
                </w:tcPr>
                <w:p w14:paraId="3ACF8AC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115" w:type="pct"/>
                  <w:shd w:val="clear" w:color="auto" w:fill="auto"/>
                  <w:vAlign w:val="center"/>
                </w:tcPr>
                <w:p w14:paraId="7A6378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废过滤棉</w:t>
                  </w:r>
                </w:p>
              </w:tc>
              <w:tc>
                <w:tcPr>
                  <w:tcW w:w="1700" w:type="pct"/>
                  <w:vMerge w:val="restart"/>
                  <w:shd w:val="clear" w:color="auto" w:fill="auto"/>
                  <w:vAlign w:val="center"/>
                </w:tcPr>
                <w:p w14:paraId="73167A2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危废暂存间分类暂存，定期委托有资质单位处置</w:t>
                  </w:r>
                </w:p>
              </w:tc>
            </w:tr>
            <w:tr w14:paraId="6CC18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663" w:type="pct"/>
                  <w:vMerge w:val="continue"/>
                  <w:vAlign w:val="center"/>
                </w:tcPr>
                <w:p w14:paraId="50DD6F0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2D67FD7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21</w:t>
                  </w:r>
                </w:p>
              </w:tc>
              <w:tc>
                <w:tcPr>
                  <w:tcW w:w="947" w:type="pct"/>
                  <w:shd w:val="clear" w:color="auto" w:fill="auto"/>
                  <w:vAlign w:val="center"/>
                </w:tcPr>
                <w:p w14:paraId="25598A3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废气治理</w:t>
                  </w:r>
                </w:p>
              </w:tc>
              <w:tc>
                <w:tcPr>
                  <w:tcW w:w="1115" w:type="pct"/>
                  <w:shd w:val="clear" w:color="auto" w:fill="auto"/>
                  <w:vAlign w:val="center"/>
                </w:tcPr>
                <w:p w14:paraId="5770846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废活性炭</w:t>
                  </w:r>
                </w:p>
              </w:tc>
              <w:tc>
                <w:tcPr>
                  <w:tcW w:w="1700" w:type="pct"/>
                  <w:vMerge w:val="continue"/>
                  <w:shd w:val="clear" w:color="auto" w:fill="auto"/>
                  <w:vAlign w:val="center"/>
                </w:tcPr>
                <w:p w14:paraId="3804CD9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AAF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663" w:type="pct"/>
                  <w:vMerge w:val="continue"/>
                  <w:vAlign w:val="center"/>
                </w:tcPr>
                <w:p w14:paraId="423F322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3BDA1AC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22</w:t>
                  </w:r>
                </w:p>
              </w:tc>
              <w:tc>
                <w:tcPr>
                  <w:tcW w:w="947" w:type="pct"/>
                  <w:vMerge w:val="restart"/>
                  <w:shd w:val="clear" w:color="auto" w:fill="auto"/>
                  <w:vAlign w:val="center"/>
                </w:tcPr>
                <w:p w14:paraId="5092AC3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设备维修和保养</w:t>
                  </w:r>
                </w:p>
              </w:tc>
              <w:tc>
                <w:tcPr>
                  <w:tcW w:w="1115" w:type="pct"/>
                  <w:shd w:val="clear" w:color="auto" w:fill="auto"/>
                  <w:vAlign w:val="center"/>
                </w:tcPr>
                <w:p w14:paraId="269EC1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废机油（润滑油、液压油）</w:t>
                  </w:r>
                </w:p>
              </w:tc>
              <w:tc>
                <w:tcPr>
                  <w:tcW w:w="1700" w:type="pct"/>
                  <w:vMerge w:val="continue"/>
                  <w:shd w:val="clear" w:color="auto" w:fill="auto"/>
                  <w:vAlign w:val="center"/>
                </w:tcPr>
                <w:p w14:paraId="32B19D1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27F9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519F481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4B34CF7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23</w:t>
                  </w:r>
                </w:p>
              </w:tc>
              <w:tc>
                <w:tcPr>
                  <w:tcW w:w="947" w:type="pct"/>
                  <w:vMerge w:val="continue"/>
                  <w:shd w:val="clear" w:color="auto" w:fill="auto"/>
                  <w:vAlign w:val="center"/>
                </w:tcPr>
                <w:p w14:paraId="6D90BE7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15" w:type="pct"/>
                  <w:shd w:val="clear" w:color="auto" w:fill="auto"/>
                  <w:vAlign w:val="center"/>
                </w:tcPr>
                <w:p w14:paraId="47EC27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1700" w:type="pct"/>
                  <w:vMerge w:val="continue"/>
                  <w:shd w:val="clear" w:color="auto" w:fill="auto"/>
                  <w:vAlign w:val="center"/>
                </w:tcPr>
                <w:p w14:paraId="153BFA1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r>
            <w:tr w14:paraId="31F57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001277C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highlight w:val="none"/>
                      <w14:textFill>
                        <w14:solidFill>
                          <w14:schemeClr w14:val="tx1"/>
                        </w14:solidFill>
                      </w14:textFill>
                    </w:rPr>
                  </w:pPr>
                </w:p>
              </w:tc>
              <w:tc>
                <w:tcPr>
                  <w:tcW w:w="573" w:type="pct"/>
                  <w:shd w:val="clear" w:color="auto" w:fill="auto"/>
                  <w:vAlign w:val="center"/>
                </w:tcPr>
                <w:p w14:paraId="263C8CE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24</w:t>
                  </w:r>
                </w:p>
              </w:tc>
              <w:tc>
                <w:tcPr>
                  <w:tcW w:w="947" w:type="pct"/>
                  <w:shd w:val="clear" w:color="auto" w:fill="auto"/>
                  <w:vAlign w:val="center"/>
                </w:tcPr>
                <w:p w14:paraId="6A6C6E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污水处理设施</w:t>
                  </w:r>
                </w:p>
              </w:tc>
              <w:tc>
                <w:tcPr>
                  <w:tcW w:w="1115" w:type="pct"/>
                  <w:shd w:val="clear" w:color="auto" w:fill="auto"/>
                  <w:vAlign w:val="center"/>
                </w:tcPr>
                <w:p w14:paraId="4067D3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污泥</w:t>
                  </w:r>
                </w:p>
              </w:tc>
              <w:tc>
                <w:tcPr>
                  <w:tcW w:w="1700" w:type="pct"/>
                  <w:vMerge w:val="continue"/>
                  <w:shd w:val="clear" w:color="auto" w:fill="auto"/>
                  <w:vAlign w:val="center"/>
                </w:tcPr>
                <w:p w14:paraId="045FA3D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3B06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509568F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17EE1F3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25</w:t>
                  </w:r>
                </w:p>
              </w:tc>
              <w:tc>
                <w:tcPr>
                  <w:tcW w:w="947" w:type="pct"/>
                  <w:shd w:val="clear" w:color="auto" w:fill="auto"/>
                  <w:vAlign w:val="center"/>
                </w:tcPr>
                <w:p w14:paraId="69DF82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纯水制备</w:t>
                  </w:r>
                </w:p>
              </w:tc>
              <w:tc>
                <w:tcPr>
                  <w:tcW w:w="1115" w:type="pct"/>
                  <w:shd w:val="clear" w:color="auto" w:fill="auto"/>
                  <w:vAlign w:val="center"/>
                </w:tcPr>
                <w:p w14:paraId="5BFA17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废反渗透膜</w:t>
                  </w:r>
                </w:p>
              </w:tc>
              <w:tc>
                <w:tcPr>
                  <w:tcW w:w="1700" w:type="pct"/>
                  <w:shd w:val="clear" w:color="auto" w:fill="auto"/>
                  <w:vAlign w:val="center"/>
                </w:tcPr>
                <w:p w14:paraId="5D1C3A5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p>
              </w:tc>
            </w:tr>
            <w:tr w14:paraId="7A32D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663" w:type="pct"/>
                  <w:vMerge w:val="continue"/>
                  <w:vAlign w:val="center"/>
                </w:tcPr>
                <w:p w14:paraId="6085649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573" w:type="pct"/>
                  <w:shd w:val="clear" w:color="auto" w:fill="auto"/>
                  <w:vAlign w:val="center"/>
                </w:tcPr>
                <w:p w14:paraId="438F8C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26</w:t>
                  </w:r>
                </w:p>
              </w:tc>
              <w:tc>
                <w:tcPr>
                  <w:tcW w:w="947" w:type="pct"/>
                  <w:shd w:val="clear" w:color="auto" w:fill="auto"/>
                  <w:vAlign w:val="center"/>
                </w:tcPr>
                <w:p w14:paraId="11721D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员工生活</w:t>
                  </w:r>
                </w:p>
              </w:tc>
              <w:tc>
                <w:tcPr>
                  <w:tcW w:w="1115" w:type="pct"/>
                  <w:shd w:val="clear" w:color="auto" w:fill="auto"/>
                  <w:vAlign w:val="center"/>
                </w:tcPr>
                <w:p w14:paraId="2A517B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w:t>
                  </w:r>
                </w:p>
              </w:tc>
              <w:tc>
                <w:tcPr>
                  <w:tcW w:w="1700" w:type="pct"/>
                  <w:shd w:val="clear" w:color="auto" w:fill="auto"/>
                  <w:vAlign w:val="center"/>
                </w:tcPr>
                <w:p w14:paraId="3DF0D53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交由环卫部门进行处理，厂内设有垃圾桶</w:t>
                  </w:r>
                </w:p>
              </w:tc>
            </w:tr>
          </w:tbl>
          <w:p w14:paraId="53C999B6">
            <w:pPr>
              <w:keepNext w:val="0"/>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p>
        </w:tc>
      </w:tr>
    </w:tbl>
    <w:p w14:paraId="0CFE438C">
      <w:pPr>
        <w:autoSpaceDE w:val="0"/>
        <w:autoSpaceDN w:val="0"/>
        <w:adjustRightInd w:val="0"/>
        <w:snapToGrid w:val="0"/>
        <w:jc w:val="center"/>
        <w:rPr>
          <w:rFonts w:hint="default" w:ascii="Times New Roman" w:hAnsi="Times New Roman" w:cs="Times New Roman"/>
          <w:color w:val="auto"/>
          <w:kern w:val="0"/>
          <w:sz w:val="24"/>
          <w:highlight w:val="none"/>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61"/>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769"/>
      </w:tblGrid>
      <w:tr w14:paraId="2C3A70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8" w:hRule="atLeast"/>
        </w:trPr>
        <w:tc>
          <w:tcPr>
            <w:tcW w:w="172" w:type="pct"/>
            <w:shd w:val="clear" w:color="auto" w:fill="auto"/>
            <w:vAlign w:val="center"/>
          </w:tcPr>
          <w:p w14:paraId="4D6FE9A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工艺流程和产排污环节</w:t>
            </w:r>
          </w:p>
        </w:tc>
        <w:tc>
          <w:tcPr>
            <w:tcW w:w="4827" w:type="pct"/>
            <w:shd w:val="clear" w:color="auto" w:fill="auto"/>
            <w:vAlign w:val="center"/>
          </w:tcPr>
          <w:p w14:paraId="7B6C5511">
            <w:pPr>
              <w:keepNext w:val="0"/>
              <w:keepLines w:val="0"/>
              <w:suppressLineNumbers w:val="0"/>
              <w:spacing w:before="100" w:beforeAutospacing="1"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b/>
                <w:color w:val="auto"/>
                <w:kern w:val="0"/>
                <w:sz w:val="24"/>
                <w:highlight w:val="none"/>
              </w:rPr>
              <w:t>表2-1</w:t>
            </w:r>
            <w:r>
              <w:rPr>
                <w:rFonts w:hint="eastAsia" w:cs="Times New Roman"/>
                <w:b/>
                <w:color w:val="auto"/>
                <w:kern w:val="0"/>
                <w:sz w:val="24"/>
                <w:highlight w:val="none"/>
                <w:lang w:val="en-US" w:eastAsia="zh-CN"/>
              </w:rPr>
              <w:t>5</w:t>
            </w:r>
            <w:r>
              <w:rPr>
                <w:rFonts w:hint="default" w:ascii="Times New Roman" w:hAnsi="Times New Roman" w:cs="Times New Roman"/>
                <w:b/>
                <w:color w:val="auto"/>
                <w:kern w:val="0"/>
                <w:sz w:val="24"/>
                <w:highlight w:val="none"/>
              </w:rPr>
              <w:t xml:space="preserve"> </w:t>
            </w:r>
            <w:r>
              <w:rPr>
                <w:rFonts w:hint="eastAsia" w:cs="Times New Roman"/>
                <w:b/>
                <w:color w:val="auto"/>
                <w:kern w:val="0"/>
                <w:sz w:val="24"/>
                <w:highlight w:val="none"/>
                <w:lang w:val="en-US" w:eastAsia="zh-CN"/>
              </w:rPr>
              <w:t>本项目超声波清洗</w:t>
            </w:r>
            <w:r>
              <w:rPr>
                <w:rFonts w:hint="default" w:ascii="Times New Roman" w:hAnsi="Times New Roman" w:cs="Times New Roman"/>
                <w:b/>
                <w:color w:val="auto"/>
                <w:kern w:val="0"/>
                <w:sz w:val="24"/>
                <w:highlight w:val="none"/>
              </w:rPr>
              <w:t>工艺参数一览表</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659"/>
              <w:gridCol w:w="1698"/>
              <w:gridCol w:w="537"/>
              <w:gridCol w:w="659"/>
              <w:gridCol w:w="813"/>
              <w:gridCol w:w="581"/>
              <w:gridCol w:w="865"/>
              <w:gridCol w:w="659"/>
              <w:gridCol w:w="799"/>
              <w:gridCol w:w="1983"/>
              <w:gridCol w:w="888"/>
              <w:gridCol w:w="504"/>
              <w:gridCol w:w="582"/>
              <w:gridCol w:w="505"/>
            </w:tblGrid>
            <w:tr w14:paraId="734AB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0" w:type="auto"/>
                  <w:vAlign w:val="center"/>
                </w:tcPr>
                <w:p w14:paraId="7992EFE2">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设备</w:t>
                  </w:r>
                </w:p>
              </w:tc>
              <w:tc>
                <w:tcPr>
                  <w:tcW w:w="0" w:type="auto"/>
                  <w:vAlign w:val="center"/>
                </w:tcPr>
                <w:p w14:paraId="1509B68D">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槽体名称</w:t>
                  </w:r>
                </w:p>
              </w:tc>
              <w:tc>
                <w:tcPr>
                  <w:tcW w:w="0" w:type="auto"/>
                  <w:vAlign w:val="center"/>
                </w:tcPr>
                <w:p w14:paraId="30AD0608">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槽体尺寸m</w:t>
                  </w:r>
                </w:p>
              </w:tc>
              <w:tc>
                <w:tcPr>
                  <w:tcW w:w="0" w:type="auto"/>
                  <w:vAlign w:val="center"/>
                </w:tcPr>
                <w:p w14:paraId="78CD2D54">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有效</w:t>
                  </w:r>
                </w:p>
                <w:p w14:paraId="7250FA35">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容积</w:t>
                  </w:r>
                </w:p>
              </w:tc>
              <w:tc>
                <w:tcPr>
                  <w:tcW w:w="0" w:type="auto"/>
                  <w:vAlign w:val="center"/>
                </w:tcPr>
                <w:p w14:paraId="279BA57D">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设备个数</w:t>
                  </w:r>
                </w:p>
              </w:tc>
              <w:tc>
                <w:tcPr>
                  <w:tcW w:w="0" w:type="auto"/>
                  <w:vAlign w:val="center"/>
                </w:tcPr>
                <w:p w14:paraId="192864FC">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eastAsia"/>
                      <w:b/>
                      <w:color w:val="auto"/>
                      <w:kern w:val="0"/>
                      <w:szCs w:val="21"/>
                      <w:lang w:val="en-US" w:eastAsia="zh-CN"/>
                    </w:rPr>
                    <w:t>单台</w:t>
                  </w:r>
                  <w:r>
                    <w:rPr>
                      <w:rFonts w:hint="default"/>
                      <w:b/>
                      <w:color w:val="auto"/>
                      <w:kern w:val="0"/>
                      <w:szCs w:val="21"/>
                    </w:rPr>
                    <w:t>槽体个数</w:t>
                  </w:r>
                </w:p>
              </w:tc>
              <w:tc>
                <w:tcPr>
                  <w:tcW w:w="0" w:type="auto"/>
                  <w:vAlign w:val="center"/>
                </w:tcPr>
                <w:p w14:paraId="3DB6D058">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加热</w:t>
                  </w:r>
                </w:p>
                <w:p w14:paraId="29638DAC">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方式</w:t>
                  </w:r>
                </w:p>
              </w:tc>
              <w:tc>
                <w:tcPr>
                  <w:tcW w:w="0" w:type="auto"/>
                  <w:vAlign w:val="center"/>
                </w:tcPr>
                <w:p w14:paraId="6B3EC0D2">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操作</w:t>
                  </w:r>
                </w:p>
                <w:p w14:paraId="6178211D">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温度</w:t>
                  </w:r>
                </w:p>
                <w:p w14:paraId="589B33DE">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w:t>
                  </w:r>
                </w:p>
              </w:tc>
              <w:tc>
                <w:tcPr>
                  <w:tcW w:w="0" w:type="auto"/>
                  <w:vAlign w:val="center"/>
                </w:tcPr>
                <w:p w14:paraId="5521BFC9">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操作方式</w:t>
                  </w:r>
                </w:p>
              </w:tc>
              <w:tc>
                <w:tcPr>
                  <w:tcW w:w="0" w:type="auto"/>
                  <w:vAlign w:val="center"/>
                </w:tcPr>
                <w:p w14:paraId="0AC770B1">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处理时间</w:t>
                  </w:r>
                </w:p>
              </w:tc>
              <w:tc>
                <w:tcPr>
                  <w:tcW w:w="0" w:type="auto"/>
                  <w:vAlign w:val="center"/>
                </w:tcPr>
                <w:p w14:paraId="203AF4A5">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更换频次</w:t>
                  </w:r>
                </w:p>
              </w:tc>
              <w:tc>
                <w:tcPr>
                  <w:tcW w:w="0" w:type="auto"/>
                  <w:vAlign w:val="center"/>
                </w:tcPr>
                <w:p w14:paraId="10C81637">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排水去向</w:t>
                  </w:r>
                </w:p>
              </w:tc>
              <w:tc>
                <w:tcPr>
                  <w:tcW w:w="0" w:type="auto"/>
                  <w:vAlign w:val="center"/>
                </w:tcPr>
                <w:p w14:paraId="6708FF44">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用水</w:t>
                  </w:r>
                </w:p>
                <w:p w14:paraId="5F35B1E3">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类型</w:t>
                  </w:r>
                </w:p>
              </w:tc>
              <w:tc>
                <w:tcPr>
                  <w:tcW w:w="0" w:type="auto"/>
                  <w:vAlign w:val="center"/>
                </w:tcPr>
                <w:p w14:paraId="29F637AB">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化学品</w:t>
                  </w:r>
                </w:p>
              </w:tc>
              <w:tc>
                <w:tcPr>
                  <w:tcW w:w="0" w:type="auto"/>
                  <w:vAlign w:val="center"/>
                </w:tcPr>
                <w:p w14:paraId="65C26BAB">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配比</w:t>
                  </w:r>
                </w:p>
              </w:tc>
            </w:tr>
            <w:tr w14:paraId="47CEF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0" w:type="auto"/>
                  <w:vAlign w:val="center"/>
                </w:tcPr>
                <w:p w14:paraId="1424DB57">
                  <w:pPr>
                    <w:keepNext w:val="0"/>
                    <w:keepLines w:val="0"/>
                    <w:widowControl/>
                    <w:suppressLineNumbers w:val="0"/>
                    <w:snapToGrid w:val="0"/>
                    <w:spacing w:before="0" w:beforeAutospacing="0" w:after="0" w:afterAutospacing="0"/>
                    <w:ind w:left="0" w:right="0"/>
                    <w:jc w:val="center"/>
                    <w:rPr>
                      <w:rFonts w:hint="default"/>
                      <w:color w:val="auto"/>
                      <w:szCs w:val="21"/>
                    </w:rPr>
                  </w:pPr>
                  <w:r>
                    <w:rPr>
                      <w:rFonts w:hint="eastAsia"/>
                      <w:color w:val="auto"/>
                      <w:szCs w:val="21"/>
                      <w:lang w:val="en-US" w:eastAsia="zh-CN"/>
                    </w:rPr>
                    <w:t>超声波清洗机</w:t>
                  </w:r>
                </w:p>
              </w:tc>
              <w:tc>
                <w:tcPr>
                  <w:tcW w:w="0" w:type="auto"/>
                  <w:shd w:val="clear" w:color="auto" w:fill="auto"/>
                  <w:vAlign w:val="center"/>
                </w:tcPr>
                <w:p w14:paraId="64FF53B9">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color w:val="auto"/>
                      <w:kern w:val="0"/>
                      <w:szCs w:val="21"/>
                      <w:lang w:bidi="ar"/>
                    </w:rPr>
                    <w:t>清洗槽</w:t>
                  </w:r>
                </w:p>
              </w:tc>
              <w:tc>
                <w:tcPr>
                  <w:tcW w:w="0" w:type="auto"/>
                  <w:vAlign w:val="center"/>
                </w:tcPr>
                <w:p w14:paraId="25D445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Cs w:val="21"/>
                    </w:rPr>
                  </w:pPr>
                  <w:r>
                    <w:rPr>
                      <w:rFonts w:hint="default" w:ascii="Times New Roman" w:hAnsi="Times New Roman" w:eastAsia="宋体" w:cs="Times New Roman"/>
                      <w:b w:val="0"/>
                      <w:bCs w:val="0"/>
                      <w:color w:val="000000"/>
                      <w:sz w:val="21"/>
                      <w:szCs w:val="21"/>
                      <w:lang w:val="en-US" w:eastAsia="zh-CN"/>
                    </w:rPr>
                    <w:t>L</w:t>
                  </w:r>
                  <w:r>
                    <w:rPr>
                      <w:rFonts w:hint="eastAsia" w:ascii="Times New Roman" w:hAnsi="Times New Roman" w:eastAsia="宋体" w:cs="Times New Roman"/>
                      <w:b w:val="0"/>
                      <w:bCs w:val="0"/>
                      <w:color w:val="000000"/>
                      <w:sz w:val="21"/>
                      <w:szCs w:val="21"/>
                      <w:lang w:val="en-US" w:eastAsia="zh-CN"/>
                    </w:rPr>
                    <w:t>2</w:t>
                  </w:r>
                  <w:r>
                    <w:rPr>
                      <w:rFonts w:hint="default" w:ascii="Times New Roman" w:hAnsi="Times New Roman" w:eastAsia="宋体" w:cs="Times New Roman"/>
                      <w:b w:val="0"/>
                      <w:bCs w:val="0"/>
                      <w:color w:val="000000"/>
                      <w:sz w:val="21"/>
                      <w:szCs w:val="21"/>
                      <w:lang w:val="en-US" w:eastAsia="zh-CN"/>
                    </w:rPr>
                    <w:t>*W</w:t>
                  </w:r>
                  <w:r>
                    <w:rPr>
                      <w:rFonts w:hint="eastAsia" w:ascii="Times New Roman" w:hAnsi="Times New Roman" w:eastAsia="宋体" w:cs="Times New Roman"/>
                      <w:b w:val="0"/>
                      <w:bCs w:val="0"/>
                      <w:color w:val="000000"/>
                      <w:sz w:val="21"/>
                      <w:szCs w:val="21"/>
                      <w:lang w:val="en-US" w:eastAsia="zh-CN"/>
                    </w:rPr>
                    <w:t>1.5</w:t>
                  </w:r>
                  <w:r>
                    <w:rPr>
                      <w:rFonts w:hint="default" w:ascii="Times New Roman" w:hAnsi="Times New Roman" w:eastAsia="宋体" w:cs="Times New Roman"/>
                      <w:b w:val="0"/>
                      <w:bCs w:val="0"/>
                      <w:color w:val="000000"/>
                      <w:sz w:val="21"/>
                      <w:szCs w:val="21"/>
                      <w:lang w:val="en-US" w:eastAsia="zh-CN"/>
                    </w:rPr>
                    <w:t>*H</w:t>
                  </w:r>
                  <w:r>
                    <w:rPr>
                      <w:rFonts w:hint="eastAsia" w:ascii="Times New Roman" w:hAnsi="Times New Roman" w:eastAsia="宋体" w:cs="Times New Roman"/>
                      <w:b w:val="0"/>
                      <w:bCs w:val="0"/>
                      <w:color w:val="000000"/>
                      <w:sz w:val="21"/>
                      <w:szCs w:val="21"/>
                      <w:lang w:val="en-US" w:eastAsia="zh-CN"/>
                    </w:rPr>
                    <w:t>0.5</w:t>
                  </w:r>
                  <w:r>
                    <w:rPr>
                      <w:rFonts w:hint="default" w:ascii="Times New Roman" w:hAnsi="Times New Roman" w:eastAsia="宋体" w:cs="Times New Roman"/>
                      <w:b w:val="0"/>
                      <w:bCs w:val="0"/>
                      <w:color w:val="000000"/>
                      <w:sz w:val="21"/>
                      <w:szCs w:val="21"/>
                      <w:lang w:val="en-US" w:eastAsia="zh-CN"/>
                    </w:rPr>
                    <w:t>m</w:t>
                  </w:r>
                </w:p>
              </w:tc>
              <w:tc>
                <w:tcPr>
                  <w:tcW w:w="0" w:type="auto"/>
                  <w:vAlign w:val="center"/>
                </w:tcPr>
                <w:p w14:paraId="3A2BFB36">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eastAsia" w:cs="Times New Roman"/>
                      <w:b w:val="0"/>
                      <w:bCs w:val="0"/>
                      <w:color w:val="000000"/>
                      <w:sz w:val="21"/>
                      <w:szCs w:val="21"/>
                      <w:lang w:val="en-US" w:eastAsia="zh-CN"/>
                    </w:rPr>
                    <w:t>1.2</w:t>
                  </w:r>
                </w:p>
              </w:tc>
              <w:tc>
                <w:tcPr>
                  <w:tcW w:w="0" w:type="auto"/>
                  <w:vAlign w:val="center"/>
                </w:tcPr>
                <w:p w14:paraId="445114B1">
                  <w:pPr>
                    <w:keepNext w:val="0"/>
                    <w:keepLines w:val="0"/>
                    <w:widowControl/>
                    <w:suppressLineNumbers w:val="0"/>
                    <w:snapToGrid w:val="0"/>
                    <w:spacing w:before="0" w:beforeAutospacing="0" w:after="0" w:afterAutospacing="0"/>
                    <w:ind w:left="0" w:right="0"/>
                    <w:jc w:val="center"/>
                    <w:rPr>
                      <w:rFonts w:hint="eastAsia" w:eastAsia="宋体"/>
                      <w:color w:val="auto"/>
                      <w:kern w:val="0"/>
                      <w:szCs w:val="21"/>
                      <w:lang w:eastAsia="zh-CN"/>
                    </w:rPr>
                  </w:pPr>
                  <w:r>
                    <w:rPr>
                      <w:rFonts w:hint="eastAsia"/>
                      <w:color w:val="auto"/>
                      <w:kern w:val="0"/>
                      <w:szCs w:val="21"/>
                      <w:lang w:val="en-US" w:eastAsia="zh-CN"/>
                    </w:rPr>
                    <w:t>3</w:t>
                  </w:r>
                </w:p>
              </w:tc>
              <w:tc>
                <w:tcPr>
                  <w:tcW w:w="0" w:type="auto"/>
                  <w:vAlign w:val="center"/>
                </w:tcPr>
                <w:p w14:paraId="7593AE7A">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w:t>
                  </w:r>
                </w:p>
              </w:tc>
              <w:tc>
                <w:tcPr>
                  <w:tcW w:w="0" w:type="auto"/>
                  <w:vAlign w:val="center"/>
                </w:tcPr>
                <w:p w14:paraId="3D9978E7">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电加热</w:t>
                  </w:r>
                </w:p>
              </w:tc>
              <w:tc>
                <w:tcPr>
                  <w:tcW w:w="0" w:type="auto"/>
                  <w:vAlign w:val="center"/>
                </w:tcPr>
                <w:p w14:paraId="43C0160D">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40</w:t>
                  </w:r>
                </w:p>
              </w:tc>
              <w:tc>
                <w:tcPr>
                  <w:tcW w:w="0" w:type="auto"/>
                  <w:vAlign w:val="center"/>
                </w:tcPr>
                <w:p w14:paraId="3B1ACC49">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浸泡</w:t>
                  </w:r>
                </w:p>
              </w:tc>
              <w:tc>
                <w:tcPr>
                  <w:tcW w:w="0" w:type="auto"/>
                  <w:vAlign w:val="center"/>
                </w:tcPr>
                <w:p w14:paraId="0E1BE503">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5</w:t>
                  </w:r>
                  <w:r>
                    <w:rPr>
                      <w:rFonts w:hint="default"/>
                      <w:color w:val="auto"/>
                      <w:szCs w:val="21"/>
                    </w:rPr>
                    <w:t>min</w:t>
                  </w:r>
                </w:p>
              </w:tc>
              <w:tc>
                <w:tcPr>
                  <w:tcW w:w="0" w:type="auto"/>
                  <w:vAlign w:val="center"/>
                </w:tcPr>
                <w:p w14:paraId="5F2D6B6C">
                  <w:pPr>
                    <w:keepNext w:val="0"/>
                    <w:keepLines w:val="0"/>
                    <w:suppressLineNumbers w:val="0"/>
                    <w:spacing w:before="0" w:beforeAutospacing="0" w:after="0" w:afterAutospacing="0"/>
                    <w:ind w:left="0" w:right="0"/>
                    <w:jc w:val="center"/>
                    <w:rPr>
                      <w:rFonts w:hint="default"/>
                      <w:color w:val="auto"/>
                      <w:szCs w:val="21"/>
                    </w:rPr>
                  </w:pPr>
                  <w:r>
                    <w:rPr>
                      <w:rFonts w:hint="default"/>
                      <w:color w:val="auto"/>
                      <w:kern w:val="0"/>
                      <w:szCs w:val="21"/>
                    </w:rPr>
                    <w:t>每月更换一次，年更换</w:t>
                  </w:r>
                  <w:r>
                    <w:rPr>
                      <w:rFonts w:hint="eastAsia"/>
                      <w:color w:val="auto"/>
                      <w:kern w:val="0"/>
                      <w:szCs w:val="21"/>
                      <w:lang w:val="en-US" w:eastAsia="zh-CN"/>
                    </w:rPr>
                    <w:t>12</w:t>
                  </w:r>
                  <w:r>
                    <w:rPr>
                      <w:rFonts w:hint="default"/>
                      <w:color w:val="auto"/>
                      <w:kern w:val="0"/>
                      <w:szCs w:val="21"/>
                    </w:rPr>
                    <w:t>次，每次槽液全换</w:t>
                  </w:r>
                </w:p>
              </w:tc>
              <w:tc>
                <w:tcPr>
                  <w:tcW w:w="0" w:type="auto"/>
                  <w:vAlign w:val="center"/>
                </w:tcPr>
                <w:p w14:paraId="6C7EE513">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自建污水处理站</w:t>
                  </w:r>
                </w:p>
              </w:tc>
              <w:tc>
                <w:tcPr>
                  <w:tcW w:w="0" w:type="auto"/>
                  <w:vAlign w:val="center"/>
                </w:tcPr>
                <w:p w14:paraId="5B26F7BF">
                  <w:pPr>
                    <w:keepNext w:val="0"/>
                    <w:keepLines w:val="0"/>
                    <w:widowControl/>
                    <w:suppressLineNumbers w:val="0"/>
                    <w:snapToGrid w:val="0"/>
                    <w:spacing w:before="0" w:beforeAutospacing="0" w:after="0" w:afterAutospacing="0"/>
                    <w:ind w:left="0" w:right="0"/>
                    <w:jc w:val="center"/>
                    <w:rPr>
                      <w:rFonts w:hint="eastAsia" w:eastAsia="宋体"/>
                      <w:color w:val="auto"/>
                      <w:kern w:val="0"/>
                      <w:szCs w:val="21"/>
                      <w:lang w:eastAsia="zh-CN"/>
                    </w:rPr>
                  </w:pPr>
                  <w:r>
                    <w:rPr>
                      <w:rFonts w:hint="eastAsia"/>
                      <w:color w:val="auto"/>
                      <w:kern w:val="0"/>
                      <w:szCs w:val="21"/>
                      <w:lang w:val="en-US" w:eastAsia="zh-CN"/>
                    </w:rPr>
                    <w:t>纯水</w:t>
                  </w:r>
                </w:p>
              </w:tc>
              <w:tc>
                <w:tcPr>
                  <w:tcW w:w="0" w:type="auto"/>
                  <w:vAlign w:val="center"/>
                </w:tcPr>
                <w:p w14:paraId="00FB3F52">
                  <w:pPr>
                    <w:keepNext w:val="0"/>
                    <w:keepLines w:val="0"/>
                    <w:widowControl/>
                    <w:suppressLineNumbers w:val="0"/>
                    <w:snapToGrid w:val="0"/>
                    <w:spacing w:before="0" w:beforeAutospacing="0" w:after="0" w:afterAutospacing="0"/>
                    <w:ind w:left="0" w:right="0"/>
                    <w:jc w:val="center"/>
                    <w:rPr>
                      <w:rFonts w:hint="eastAsia" w:eastAsia="宋体"/>
                      <w:color w:val="auto"/>
                      <w:kern w:val="0"/>
                      <w:szCs w:val="21"/>
                      <w:lang w:eastAsia="zh-CN"/>
                    </w:rPr>
                  </w:pPr>
                  <w:r>
                    <w:rPr>
                      <w:rFonts w:hint="eastAsia"/>
                      <w:color w:val="auto"/>
                      <w:szCs w:val="21"/>
                      <w:lang w:val="en-US" w:eastAsia="zh-CN"/>
                    </w:rPr>
                    <w:t>/</w:t>
                  </w:r>
                </w:p>
              </w:tc>
              <w:tc>
                <w:tcPr>
                  <w:tcW w:w="0" w:type="auto"/>
                  <w:vAlign w:val="center"/>
                </w:tcPr>
                <w:p w14:paraId="41B8D39A">
                  <w:pPr>
                    <w:keepNext w:val="0"/>
                    <w:keepLines w:val="0"/>
                    <w:widowControl/>
                    <w:suppressLineNumbers w:val="0"/>
                    <w:snapToGrid w:val="0"/>
                    <w:spacing w:before="0" w:beforeAutospacing="0" w:after="0" w:afterAutospacing="0"/>
                    <w:ind w:left="0" w:right="0"/>
                    <w:jc w:val="center"/>
                    <w:rPr>
                      <w:rFonts w:hint="eastAsia" w:eastAsia="宋体"/>
                      <w:color w:val="auto"/>
                      <w:kern w:val="0"/>
                      <w:szCs w:val="21"/>
                      <w:lang w:eastAsia="zh-CN"/>
                    </w:rPr>
                  </w:pPr>
                  <w:r>
                    <w:rPr>
                      <w:rFonts w:hint="eastAsia"/>
                      <w:color w:val="auto"/>
                      <w:szCs w:val="21"/>
                      <w:lang w:val="en-US" w:eastAsia="zh-CN"/>
                    </w:rPr>
                    <w:t>/</w:t>
                  </w:r>
                </w:p>
              </w:tc>
            </w:tr>
          </w:tbl>
          <w:p w14:paraId="1C9BCE28">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auto"/>
                <w:highlight w:val="none"/>
              </w:rPr>
            </w:pPr>
          </w:p>
          <w:p w14:paraId="42E68704">
            <w:pPr>
              <w:keepNext w:val="0"/>
              <w:keepLines w:val="0"/>
              <w:widowControl/>
              <w:suppressLineNumbers w:val="0"/>
              <w:autoSpaceDE w:val="0"/>
              <w:autoSpaceDN w:val="0"/>
              <w:adjustRightInd w:val="0"/>
              <w:spacing w:before="0" w:beforeAutospacing="0" w:after="0" w:afterAutospacing="0"/>
              <w:ind w:left="0" w:right="0"/>
              <w:jc w:val="center"/>
              <w:rPr>
                <w:rFonts w:hint="default"/>
                <w:b/>
                <w:bCs/>
                <w:color w:val="auto"/>
                <w:kern w:val="0"/>
                <w:sz w:val="24"/>
                <w:lang w:val="zh-CN"/>
              </w:rPr>
            </w:pPr>
            <w:r>
              <w:rPr>
                <w:rFonts w:hint="default"/>
                <w:b/>
                <w:color w:val="auto"/>
                <w:kern w:val="0"/>
                <w:sz w:val="24"/>
              </w:rPr>
              <w:t>表2-1</w:t>
            </w:r>
            <w:r>
              <w:rPr>
                <w:rFonts w:hint="eastAsia"/>
                <w:b/>
                <w:color w:val="auto"/>
                <w:kern w:val="0"/>
                <w:sz w:val="24"/>
                <w:lang w:val="en-US" w:eastAsia="zh-CN"/>
              </w:rPr>
              <w:t>6</w:t>
            </w:r>
            <w:r>
              <w:rPr>
                <w:rFonts w:hint="default"/>
                <w:b/>
                <w:color w:val="auto"/>
                <w:kern w:val="0"/>
                <w:sz w:val="24"/>
              </w:rPr>
              <w:t xml:space="preserve"> </w:t>
            </w:r>
            <w:r>
              <w:rPr>
                <w:rFonts w:hint="default"/>
                <w:b/>
                <w:bCs/>
                <w:color w:val="auto"/>
                <w:kern w:val="0"/>
                <w:sz w:val="24"/>
                <w:lang w:val="zh-CN"/>
              </w:rPr>
              <w:t xml:space="preserve"> </w:t>
            </w:r>
            <w:r>
              <w:rPr>
                <w:rFonts w:hint="default"/>
                <w:b/>
                <w:bCs/>
                <w:color w:val="auto"/>
                <w:kern w:val="0"/>
                <w:sz w:val="24"/>
              </w:rPr>
              <w:t>本项目</w:t>
            </w:r>
            <w:r>
              <w:rPr>
                <w:rFonts w:hint="default"/>
                <w:b/>
                <w:bCs/>
                <w:color w:val="auto"/>
                <w:kern w:val="0"/>
                <w:sz w:val="24"/>
                <w:lang w:val="zh-CN"/>
              </w:rPr>
              <w:t>前处理线工艺用水情况一览表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291"/>
              <w:gridCol w:w="1345"/>
              <w:gridCol w:w="2249"/>
              <w:gridCol w:w="1057"/>
              <w:gridCol w:w="447"/>
              <w:gridCol w:w="929"/>
              <w:gridCol w:w="1416"/>
              <w:gridCol w:w="1320"/>
              <w:gridCol w:w="1968"/>
              <w:gridCol w:w="921"/>
              <w:gridCol w:w="595"/>
            </w:tblGrid>
            <w:tr w14:paraId="2855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08" w:hRule="atLeast"/>
                <w:jc w:val="center"/>
              </w:trPr>
              <w:tc>
                <w:tcPr>
                  <w:tcW w:w="116" w:type="pct"/>
                  <w:vAlign w:val="center"/>
                </w:tcPr>
                <w:p w14:paraId="20D66F3C">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序号</w:t>
                  </w:r>
                </w:p>
              </w:tc>
              <w:tc>
                <w:tcPr>
                  <w:tcW w:w="536" w:type="pct"/>
                  <w:vAlign w:val="center"/>
                </w:tcPr>
                <w:p w14:paraId="5D760EE9">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工艺</w:t>
                  </w:r>
                </w:p>
              </w:tc>
              <w:tc>
                <w:tcPr>
                  <w:tcW w:w="896" w:type="pct"/>
                  <w:vAlign w:val="center"/>
                </w:tcPr>
                <w:p w14:paraId="1526F0BD">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槽体尺寸m</w:t>
                  </w:r>
                </w:p>
              </w:tc>
              <w:tc>
                <w:tcPr>
                  <w:tcW w:w="421" w:type="pct"/>
                  <w:vAlign w:val="center"/>
                </w:tcPr>
                <w:p w14:paraId="11EE5250">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单个有效容积m</w:t>
                  </w:r>
                  <w:r>
                    <w:rPr>
                      <w:rFonts w:hint="default"/>
                      <w:b/>
                      <w:color w:val="auto"/>
                      <w:kern w:val="0"/>
                      <w:szCs w:val="21"/>
                      <w:vertAlign w:val="superscript"/>
                    </w:rPr>
                    <w:t>3</w:t>
                  </w:r>
                </w:p>
              </w:tc>
              <w:tc>
                <w:tcPr>
                  <w:tcW w:w="178" w:type="pct"/>
                  <w:vAlign w:val="center"/>
                </w:tcPr>
                <w:p w14:paraId="7ED87DC2">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个数</w:t>
                  </w:r>
                </w:p>
              </w:tc>
              <w:tc>
                <w:tcPr>
                  <w:tcW w:w="370" w:type="pct"/>
                  <w:vAlign w:val="center"/>
                </w:tcPr>
                <w:p w14:paraId="525D6C3E">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操作温度</w:t>
                  </w:r>
                </w:p>
                <w:p w14:paraId="650E6E99">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w:t>
                  </w:r>
                </w:p>
              </w:tc>
              <w:tc>
                <w:tcPr>
                  <w:tcW w:w="564" w:type="pct"/>
                  <w:vAlign w:val="center"/>
                </w:tcPr>
                <w:p w14:paraId="75B5C8E2">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操作方式</w:t>
                  </w:r>
                </w:p>
              </w:tc>
              <w:tc>
                <w:tcPr>
                  <w:tcW w:w="526" w:type="pct"/>
                  <w:vAlign w:val="center"/>
                </w:tcPr>
                <w:p w14:paraId="59E8761E">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时间</w:t>
                  </w:r>
                </w:p>
              </w:tc>
              <w:tc>
                <w:tcPr>
                  <w:tcW w:w="784" w:type="pct"/>
                  <w:vAlign w:val="center"/>
                </w:tcPr>
                <w:p w14:paraId="46084C04">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更换频次</w:t>
                  </w:r>
                </w:p>
              </w:tc>
              <w:tc>
                <w:tcPr>
                  <w:tcW w:w="367" w:type="pct"/>
                  <w:vAlign w:val="center"/>
                </w:tcPr>
                <w:p w14:paraId="47591D9A">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用水</w:t>
                  </w:r>
                </w:p>
                <w:p w14:paraId="40D18938">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类型</w:t>
                  </w:r>
                </w:p>
              </w:tc>
              <w:tc>
                <w:tcPr>
                  <w:tcW w:w="237" w:type="pct"/>
                  <w:shd w:val="clear" w:color="auto" w:fill="auto"/>
                  <w:vAlign w:val="center"/>
                </w:tcPr>
                <w:p w14:paraId="68B0442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color w:val="auto"/>
                      <w:kern w:val="0"/>
                      <w:sz w:val="21"/>
                      <w:szCs w:val="21"/>
                      <w:lang w:val="en-US" w:eastAsia="zh-CN" w:bidi="ar-SA"/>
                    </w:rPr>
                  </w:pPr>
                  <w:r>
                    <w:rPr>
                      <w:rFonts w:hint="default"/>
                      <w:b/>
                      <w:color w:val="auto"/>
                      <w:kern w:val="0"/>
                      <w:szCs w:val="21"/>
                    </w:rPr>
                    <w:t>排水去向</w:t>
                  </w:r>
                </w:p>
              </w:tc>
            </w:tr>
            <w:tr w14:paraId="509C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84" w:hRule="atLeast"/>
                <w:jc w:val="center"/>
              </w:trPr>
              <w:tc>
                <w:tcPr>
                  <w:tcW w:w="116" w:type="pct"/>
                  <w:vAlign w:val="center"/>
                </w:tcPr>
                <w:p w14:paraId="639DF6CB">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1</w:t>
                  </w:r>
                </w:p>
              </w:tc>
              <w:tc>
                <w:tcPr>
                  <w:tcW w:w="536" w:type="pct"/>
                  <w:vAlign w:val="center"/>
                </w:tcPr>
                <w:p w14:paraId="3E11A768">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预脱脂</w:t>
                  </w:r>
                </w:p>
              </w:tc>
              <w:tc>
                <w:tcPr>
                  <w:tcW w:w="896" w:type="pct"/>
                  <w:vAlign w:val="center"/>
                </w:tcPr>
                <w:p w14:paraId="46501C91">
                  <w:pPr>
                    <w:keepNext w:val="0"/>
                    <w:keepLines w:val="0"/>
                    <w:widowControl/>
                    <w:suppressLineNumbers w:val="0"/>
                    <w:snapToGrid w:val="0"/>
                    <w:spacing w:before="0" w:beforeAutospacing="0" w:after="0" w:afterAutospacing="0" w:line="240" w:lineRule="auto"/>
                    <w:ind w:left="0" w:right="0" w:firstLine="0" w:firstLineChars="0"/>
                    <w:jc w:val="center"/>
                    <w:textAlignment w:val="center"/>
                    <w:rPr>
                      <w:rFonts w:hint="default"/>
                      <w:color w:val="auto"/>
                      <w:kern w:val="0"/>
                      <w:szCs w:val="21"/>
                    </w:rPr>
                  </w:pPr>
                  <w:r>
                    <w:rPr>
                      <w:rFonts w:hint="default" w:ascii="Times New Roman" w:hAnsi="Times New Roman" w:eastAsia="宋体" w:cs="Times New Roman"/>
                      <w:b w:val="0"/>
                      <w:bCs w:val="0"/>
                      <w:color w:val="000000"/>
                      <w:sz w:val="21"/>
                      <w:szCs w:val="21"/>
                      <w:lang w:val="en-US" w:eastAsia="zh-CN"/>
                    </w:rPr>
                    <w:t>L</w:t>
                  </w:r>
                  <w:r>
                    <w:rPr>
                      <w:rFonts w:hint="eastAsia" w:ascii="Times New Roman" w:hAnsi="Times New Roman" w:eastAsia="宋体" w:cs="Times New Roman"/>
                      <w:b w:val="0"/>
                      <w:bCs w:val="0"/>
                      <w:color w:val="000000"/>
                      <w:sz w:val="21"/>
                      <w:szCs w:val="21"/>
                      <w:lang w:val="en-US" w:eastAsia="zh-CN"/>
                    </w:rPr>
                    <w:t>1.5</w:t>
                  </w:r>
                  <w:r>
                    <w:rPr>
                      <w:rFonts w:hint="default" w:ascii="Times New Roman" w:hAnsi="Times New Roman" w:eastAsia="宋体" w:cs="Times New Roman"/>
                      <w:b w:val="0"/>
                      <w:bCs w:val="0"/>
                      <w:color w:val="000000"/>
                      <w:sz w:val="21"/>
                      <w:szCs w:val="21"/>
                      <w:lang w:val="en-US" w:eastAsia="zh-CN"/>
                    </w:rPr>
                    <w:t>*W1.2*H1m</w:t>
                  </w:r>
                </w:p>
              </w:tc>
              <w:tc>
                <w:tcPr>
                  <w:tcW w:w="421" w:type="pct"/>
                  <w:vAlign w:val="center"/>
                </w:tcPr>
                <w:p w14:paraId="0A64D413">
                  <w:pPr>
                    <w:keepNext w:val="0"/>
                    <w:keepLines w:val="0"/>
                    <w:suppressLineNumbers w:val="0"/>
                    <w:spacing w:before="0" w:beforeAutospacing="0" w:after="0" w:afterAutospacing="0"/>
                    <w:ind w:left="0" w:right="0"/>
                    <w:jc w:val="center"/>
                    <w:rPr>
                      <w:rFonts w:hint="default"/>
                      <w:color w:val="auto"/>
                      <w:szCs w:val="21"/>
                    </w:rPr>
                  </w:pPr>
                  <w:r>
                    <w:rPr>
                      <w:rFonts w:hint="eastAsia" w:cs="Times New Roman"/>
                      <w:b w:val="0"/>
                      <w:bCs w:val="0"/>
                      <w:color w:val="000000"/>
                      <w:sz w:val="21"/>
                      <w:szCs w:val="21"/>
                      <w:lang w:val="en-US" w:eastAsia="zh-CN"/>
                    </w:rPr>
                    <w:t>1.44</w:t>
                  </w:r>
                </w:p>
              </w:tc>
              <w:tc>
                <w:tcPr>
                  <w:tcW w:w="178" w:type="pct"/>
                  <w:vAlign w:val="center"/>
                </w:tcPr>
                <w:p w14:paraId="592897DF">
                  <w:pPr>
                    <w:keepNext w:val="0"/>
                    <w:keepLines w:val="0"/>
                    <w:suppressLineNumbers w:val="0"/>
                    <w:spacing w:before="0" w:beforeAutospacing="0" w:after="0" w:afterAutospacing="0"/>
                    <w:ind w:left="0" w:right="0"/>
                    <w:jc w:val="center"/>
                    <w:rPr>
                      <w:rFonts w:hint="default"/>
                      <w:color w:val="auto"/>
                      <w:kern w:val="0"/>
                      <w:szCs w:val="21"/>
                    </w:rPr>
                  </w:pPr>
                  <w:r>
                    <w:rPr>
                      <w:rFonts w:hint="default"/>
                      <w:color w:val="auto"/>
                      <w:szCs w:val="21"/>
                    </w:rPr>
                    <w:t>1</w:t>
                  </w:r>
                </w:p>
              </w:tc>
              <w:tc>
                <w:tcPr>
                  <w:tcW w:w="370" w:type="pct"/>
                  <w:vAlign w:val="center"/>
                </w:tcPr>
                <w:p w14:paraId="05571DFB">
                  <w:pPr>
                    <w:keepNext w:val="0"/>
                    <w:keepLines w:val="0"/>
                    <w:widowControl/>
                    <w:suppressLineNumbers w:val="0"/>
                    <w:spacing w:before="0" w:beforeAutospacing="0" w:after="0" w:afterAutospacing="0" w:line="260" w:lineRule="exact"/>
                    <w:ind w:left="0" w:right="0"/>
                    <w:jc w:val="center"/>
                    <w:rPr>
                      <w:rFonts w:hint="default" w:eastAsia="宋体"/>
                      <w:color w:val="auto"/>
                      <w:kern w:val="0"/>
                      <w:szCs w:val="21"/>
                      <w:lang w:val="en-US" w:eastAsia="zh-CN"/>
                    </w:rPr>
                  </w:pPr>
                  <w:r>
                    <w:rPr>
                      <w:rFonts w:hint="default"/>
                      <w:color w:val="auto"/>
                      <w:kern w:val="0"/>
                      <w:szCs w:val="21"/>
                    </w:rPr>
                    <w:t>40-</w:t>
                  </w:r>
                  <w:r>
                    <w:rPr>
                      <w:rFonts w:hint="eastAsia"/>
                      <w:color w:val="auto"/>
                      <w:kern w:val="0"/>
                      <w:szCs w:val="21"/>
                      <w:lang w:val="en-US" w:eastAsia="zh-CN"/>
                    </w:rPr>
                    <w:t>60</w:t>
                  </w:r>
                </w:p>
              </w:tc>
              <w:tc>
                <w:tcPr>
                  <w:tcW w:w="564" w:type="pct"/>
                  <w:vAlign w:val="center"/>
                </w:tcPr>
                <w:p w14:paraId="7A25E319">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default"/>
                      <w:color w:val="auto"/>
                      <w:kern w:val="0"/>
                      <w:szCs w:val="21"/>
                    </w:rPr>
                    <w:t>喷淋</w:t>
                  </w:r>
                </w:p>
              </w:tc>
              <w:tc>
                <w:tcPr>
                  <w:tcW w:w="526" w:type="pct"/>
                  <w:vAlign w:val="center"/>
                </w:tcPr>
                <w:p w14:paraId="1A8629C6">
                  <w:pPr>
                    <w:keepNext w:val="0"/>
                    <w:keepLines w:val="0"/>
                    <w:widowControl/>
                    <w:suppressLineNumbers w:val="0"/>
                    <w:spacing w:before="0" w:beforeAutospacing="0" w:after="0" w:afterAutospacing="0" w:line="260" w:lineRule="exact"/>
                    <w:ind w:left="0" w:right="0"/>
                    <w:jc w:val="center"/>
                    <w:rPr>
                      <w:rFonts w:hint="default" w:eastAsia="宋体"/>
                      <w:color w:val="auto"/>
                      <w:kern w:val="0"/>
                      <w:szCs w:val="21"/>
                      <w:lang w:val="en-US" w:eastAsia="zh-CN"/>
                    </w:rPr>
                  </w:pPr>
                  <w:r>
                    <w:rPr>
                      <w:rFonts w:hint="eastAsia"/>
                      <w:color w:val="auto"/>
                      <w:kern w:val="0"/>
                      <w:szCs w:val="21"/>
                      <w:lang w:val="en-US" w:eastAsia="zh-CN"/>
                    </w:rPr>
                    <w:t>40s</w:t>
                  </w:r>
                </w:p>
              </w:tc>
              <w:tc>
                <w:tcPr>
                  <w:tcW w:w="784" w:type="pct"/>
                  <w:vAlign w:val="center"/>
                </w:tcPr>
                <w:p w14:paraId="27FD55CA">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default"/>
                      <w:color w:val="auto"/>
                      <w:kern w:val="0"/>
                      <w:szCs w:val="21"/>
                    </w:rPr>
                    <w:t>每</w:t>
                  </w:r>
                  <w:r>
                    <w:rPr>
                      <w:rFonts w:hint="eastAsia"/>
                      <w:color w:val="auto"/>
                      <w:kern w:val="0"/>
                      <w:szCs w:val="21"/>
                      <w:lang w:val="en-US" w:eastAsia="zh-CN"/>
                    </w:rPr>
                    <w:t>6</w:t>
                  </w:r>
                  <w:r>
                    <w:rPr>
                      <w:rFonts w:hint="default"/>
                      <w:color w:val="auto"/>
                      <w:kern w:val="0"/>
                      <w:szCs w:val="21"/>
                    </w:rPr>
                    <w:t>个月更换一次，年更换</w:t>
                  </w:r>
                  <w:r>
                    <w:rPr>
                      <w:rFonts w:hint="eastAsia"/>
                      <w:color w:val="auto"/>
                      <w:kern w:val="0"/>
                      <w:szCs w:val="21"/>
                      <w:lang w:val="en-US" w:eastAsia="zh-CN"/>
                    </w:rPr>
                    <w:t>2</w:t>
                  </w:r>
                  <w:r>
                    <w:rPr>
                      <w:rFonts w:hint="default"/>
                      <w:color w:val="auto"/>
                      <w:kern w:val="0"/>
                      <w:szCs w:val="21"/>
                    </w:rPr>
                    <w:t>次，每次槽液全换</w:t>
                  </w:r>
                </w:p>
              </w:tc>
              <w:tc>
                <w:tcPr>
                  <w:tcW w:w="367" w:type="pct"/>
                  <w:vAlign w:val="center"/>
                </w:tcPr>
                <w:p w14:paraId="3CD0FD73">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自来水</w:t>
                  </w:r>
                </w:p>
              </w:tc>
              <w:tc>
                <w:tcPr>
                  <w:tcW w:w="237" w:type="pct"/>
                  <w:vMerge w:val="restart"/>
                  <w:shd w:val="clear" w:color="auto" w:fill="auto"/>
                  <w:vAlign w:val="center"/>
                </w:tcPr>
                <w:p w14:paraId="73F24BD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自建污水处理站</w:t>
                  </w:r>
                </w:p>
              </w:tc>
            </w:tr>
            <w:tr w14:paraId="3058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84" w:hRule="atLeast"/>
                <w:jc w:val="center"/>
              </w:trPr>
              <w:tc>
                <w:tcPr>
                  <w:tcW w:w="116" w:type="pct"/>
                  <w:vAlign w:val="center"/>
                </w:tcPr>
                <w:p w14:paraId="3A7180AD">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2</w:t>
                  </w:r>
                </w:p>
              </w:tc>
              <w:tc>
                <w:tcPr>
                  <w:tcW w:w="536" w:type="pct"/>
                  <w:vAlign w:val="center"/>
                </w:tcPr>
                <w:p w14:paraId="2F622D36">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主脱脂槽</w:t>
                  </w:r>
                </w:p>
              </w:tc>
              <w:tc>
                <w:tcPr>
                  <w:tcW w:w="896" w:type="pct"/>
                  <w:shd w:val="clear" w:color="auto" w:fill="auto"/>
                  <w:vAlign w:val="center"/>
                </w:tcPr>
                <w:p w14:paraId="7A690C68">
                  <w:pPr>
                    <w:keepNext w:val="0"/>
                    <w:keepLines w:val="0"/>
                    <w:suppressLineNumbers w:val="0"/>
                    <w:spacing w:before="0" w:beforeAutospacing="0" w:after="0" w:afterAutospacing="0" w:line="240" w:lineRule="auto"/>
                    <w:ind w:left="0" w:right="0" w:firstLine="0" w:firstLineChars="0"/>
                    <w:jc w:val="center"/>
                    <w:rPr>
                      <w:rFonts w:hint="default"/>
                      <w:color w:val="auto"/>
                      <w:kern w:val="0"/>
                      <w:szCs w:val="21"/>
                    </w:rPr>
                  </w:pPr>
                  <w:r>
                    <w:rPr>
                      <w:rFonts w:hint="default" w:ascii="Times New Roman" w:hAnsi="Times New Roman" w:eastAsia="宋体" w:cs="Times New Roman"/>
                      <w:b w:val="0"/>
                      <w:bCs w:val="0"/>
                      <w:color w:val="000000"/>
                      <w:sz w:val="21"/>
                      <w:szCs w:val="21"/>
                      <w:lang w:val="en-US" w:eastAsia="zh-CN"/>
                    </w:rPr>
                    <w:t>L</w:t>
                  </w:r>
                  <w:r>
                    <w:rPr>
                      <w:rFonts w:hint="eastAsia" w:cs="Times New Roman"/>
                      <w:b w:val="0"/>
                      <w:bCs w:val="0"/>
                      <w:color w:val="000000"/>
                      <w:sz w:val="21"/>
                      <w:szCs w:val="21"/>
                      <w:lang w:val="en-US" w:eastAsia="zh-CN"/>
                    </w:rPr>
                    <w:t>3</w:t>
                  </w:r>
                  <w:r>
                    <w:rPr>
                      <w:rFonts w:hint="default" w:ascii="Times New Roman" w:hAnsi="Times New Roman" w:eastAsia="宋体" w:cs="Times New Roman"/>
                      <w:b w:val="0"/>
                      <w:bCs w:val="0"/>
                      <w:color w:val="000000"/>
                      <w:sz w:val="21"/>
                      <w:szCs w:val="21"/>
                      <w:lang w:val="en-US" w:eastAsia="zh-CN"/>
                    </w:rPr>
                    <w:t>*W1.2*H1m</w:t>
                  </w:r>
                </w:p>
              </w:tc>
              <w:tc>
                <w:tcPr>
                  <w:tcW w:w="421" w:type="pct"/>
                  <w:vAlign w:val="center"/>
                </w:tcPr>
                <w:p w14:paraId="4FF95A3C">
                  <w:pPr>
                    <w:keepNext w:val="0"/>
                    <w:keepLines w:val="0"/>
                    <w:suppressLineNumbers w:val="0"/>
                    <w:spacing w:before="0" w:beforeAutospacing="0" w:after="0" w:afterAutospacing="0"/>
                    <w:ind w:left="0" w:right="0"/>
                    <w:jc w:val="center"/>
                    <w:rPr>
                      <w:rFonts w:hint="default"/>
                      <w:color w:val="auto"/>
                      <w:szCs w:val="21"/>
                    </w:rPr>
                  </w:pPr>
                  <w:r>
                    <w:rPr>
                      <w:rFonts w:hint="eastAsia" w:cs="Times New Roman"/>
                      <w:b w:val="0"/>
                      <w:bCs w:val="0"/>
                      <w:color w:val="000000"/>
                      <w:sz w:val="21"/>
                      <w:szCs w:val="21"/>
                      <w:lang w:val="en-US" w:eastAsia="zh-CN"/>
                    </w:rPr>
                    <w:t>2.88</w:t>
                  </w:r>
                </w:p>
              </w:tc>
              <w:tc>
                <w:tcPr>
                  <w:tcW w:w="178" w:type="pct"/>
                  <w:vAlign w:val="center"/>
                </w:tcPr>
                <w:p w14:paraId="2C079819">
                  <w:pPr>
                    <w:keepNext w:val="0"/>
                    <w:keepLines w:val="0"/>
                    <w:suppressLineNumbers w:val="0"/>
                    <w:spacing w:before="0" w:beforeAutospacing="0" w:after="0" w:afterAutospacing="0"/>
                    <w:ind w:left="0" w:right="0"/>
                    <w:jc w:val="center"/>
                    <w:rPr>
                      <w:rFonts w:hint="default"/>
                      <w:color w:val="auto"/>
                      <w:kern w:val="0"/>
                      <w:szCs w:val="21"/>
                    </w:rPr>
                  </w:pPr>
                  <w:r>
                    <w:rPr>
                      <w:rFonts w:hint="default"/>
                      <w:color w:val="auto"/>
                      <w:szCs w:val="21"/>
                    </w:rPr>
                    <w:t>1</w:t>
                  </w:r>
                </w:p>
              </w:tc>
              <w:tc>
                <w:tcPr>
                  <w:tcW w:w="370" w:type="pct"/>
                  <w:vAlign w:val="center"/>
                </w:tcPr>
                <w:p w14:paraId="3A62CAED">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default"/>
                      <w:color w:val="auto"/>
                      <w:kern w:val="0"/>
                      <w:szCs w:val="21"/>
                    </w:rPr>
                    <w:t>40-</w:t>
                  </w:r>
                  <w:r>
                    <w:rPr>
                      <w:rFonts w:hint="eastAsia"/>
                      <w:color w:val="auto"/>
                      <w:kern w:val="0"/>
                      <w:szCs w:val="21"/>
                      <w:lang w:val="en-US" w:eastAsia="zh-CN"/>
                    </w:rPr>
                    <w:t>60</w:t>
                  </w:r>
                </w:p>
              </w:tc>
              <w:tc>
                <w:tcPr>
                  <w:tcW w:w="564" w:type="pct"/>
                  <w:vAlign w:val="center"/>
                </w:tcPr>
                <w:p w14:paraId="7B0FC9C0">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default"/>
                      <w:color w:val="auto"/>
                      <w:kern w:val="0"/>
                      <w:szCs w:val="21"/>
                    </w:rPr>
                    <w:t>喷淋</w:t>
                  </w:r>
                </w:p>
              </w:tc>
              <w:tc>
                <w:tcPr>
                  <w:tcW w:w="526" w:type="pct"/>
                  <w:vAlign w:val="center"/>
                </w:tcPr>
                <w:p w14:paraId="27BBBAEB">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eastAsia"/>
                      <w:color w:val="auto"/>
                      <w:kern w:val="0"/>
                      <w:szCs w:val="21"/>
                      <w:lang w:val="en-US" w:eastAsia="zh-CN"/>
                    </w:rPr>
                    <w:t>1</w:t>
                  </w:r>
                  <w:r>
                    <w:rPr>
                      <w:rFonts w:hint="default"/>
                      <w:color w:val="auto"/>
                      <w:kern w:val="0"/>
                      <w:szCs w:val="21"/>
                    </w:rPr>
                    <w:t>min</w:t>
                  </w:r>
                </w:p>
              </w:tc>
              <w:tc>
                <w:tcPr>
                  <w:tcW w:w="784" w:type="pct"/>
                  <w:vAlign w:val="center"/>
                </w:tcPr>
                <w:p w14:paraId="67FEA010">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default"/>
                      <w:color w:val="auto"/>
                      <w:kern w:val="0"/>
                      <w:szCs w:val="21"/>
                    </w:rPr>
                    <w:t>每</w:t>
                  </w:r>
                  <w:r>
                    <w:rPr>
                      <w:rFonts w:hint="eastAsia"/>
                      <w:color w:val="auto"/>
                      <w:kern w:val="0"/>
                      <w:szCs w:val="21"/>
                      <w:lang w:val="en-US" w:eastAsia="zh-CN"/>
                    </w:rPr>
                    <w:t>3</w:t>
                  </w:r>
                  <w:r>
                    <w:rPr>
                      <w:rFonts w:hint="default"/>
                      <w:color w:val="auto"/>
                      <w:kern w:val="0"/>
                      <w:szCs w:val="21"/>
                    </w:rPr>
                    <w:t>个月更换一次，年更换</w:t>
                  </w:r>
                  <w:r>
                    <w:rPr>
                      <w:rFonts w:hint="eastAsia"/>
                      <w:color w:val="auto"/>
                      <w:kern w:val="0"/>
                      <w:szCs w:val="21"/>
                      <w:lang w:val="en-US" w:eastAsia="zh-CN"/>
                    </w:rPr>
                    <w:t>4</w:t>
                  </w:r>
                  <w:r>
                    <w:rPr>
                      <w:rFonts w:hint="default"/>
                      <w:color w:val="auto"/>
                      <w:kern w:val="0"/>
                      <w:szCs w:val="21"/>
                    </w:rPr>
                    <w:t>次，每次槽液全换</w:t>
                  </w:r>
                </w:p>
              </w:tc>
              <w:tc>
                <w:tcPr>
                  <w:tcW w:w="367" w:type="pct"/>
                  <w:vAlign w:val="center"/>
                </w:tcPr>
                <w:p w14:paraId="2E4F65B9">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自来水</w:t>
                  </w:r>
                </w:p>
              </w:tc>
              <w:tc>
                <w:tcPr>
                  <w:tcW w:w="237" w:type="pct"/>
                  <w:vMerge w:val="continue"/>
                  <w:shd w:val="clear" w:color="auto" w:fill="auto"/>
                  <w:vAlign w:val="top"/>
                </w:tcPr>
                <w:p w14:paraId="144DA3CF">
                  <w:pPr>
                    <w:keepNext w:val="0"/>
                    <w:keepLines w:val="0"/>
                    <w:suppressLineNumbers w:val="0"/>
                    <w:spacing w:before="0" w:beforeAutospacing="0" w:after="0" w:afterAutospacing="0"/>
                    <w:ind w:left="0" w:right="0"/>
                    <w:rPr>
                      <w:rFonts w:hint="default"/>
                      <w:color w:val="auto"/>
                      <w:kern w:val="0"/>
                      <w:szCs w:val="21"/>
                    </w:rPr>
                  </w:pPr>
                </w:p>
              </w:tc>
            </w:tr>
            <w:tr w14:paraId="74B7C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08" w:hRule="atLeast"/>
                <w:jc w:val="center"/>
              </w:trPr>
              <w:tc>
                <w:tcPr>
                  <w:tcW w:w="116" w:type="pct"/>
                  <w:vAlign w:val="center"/>
                </w:tcPr>
                <w:p w14:paraId="50A57323">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3</w:t>
                  </w:r>
                </w:p>
              </w:tc>
              <w:tc>
                <w:tcPr>
                  <w:tcW w:w="536" w:type="pct"/>
                  <w:vAlign w:val="center"/>
                </w:tcPr>
                <w:p w14:paraId="763EF248">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水洗槽1</w:t>
                  </w:r>
                </w:p>
              </w:tc>
              <w:tc>
                <w:tcPr>
                  <w:tcW w:w="896" w:type="pct"/>
                  <w:vAlign w:val="center"/>
                </w:tcPr>
                <w:p w14:paraId="67E1BBED">
                  <w:pPr>
                    <w:keepNext w:val="0"/>
                    <w:keepLines w:val="0"/>
                    <w:widowControl/>
                    <w:suppressLineNumbers w:val="0"/>
                    <w:snapToGrid w:val="0"/>
                    <w:spacing w:before="0" w:beforeAutospacing="0" w:after="0" w:afterAutospacing="0" w:line="240" w:lineRule="auto"/>
                    <w:ind w:left="0" w:right="0" w:firstLine="0" w:firstLineChars="0"/>
                    <w:jc w:val="center"/>
                    <w:rPr>
                      <w:rFonts w:hint="default"/>
                      <w:color w:val="auto"/>
                      <w:kern w:val="0"/>
                      <w:szCs w:val="21"/>
                    </w:rPr>
                  </w:pPr>
                  <w:r>
                    <w:rPr>
                      <w:rFonts w:hint="default" w:ascii="Times New Roman" w:hAnsi="Times New Roman" w:eastAsia="宋体" w:cs="Times New Roman"/>
                      <w:b w:val="0"/>
                      <w:bCs w:val="0"/>
                      <w:color w:val="000000"/>
                      <w:sz w:val="21"/>
                      <w:szCs w:val="21"/>
                      <w:lang w:val="en-US" w:eastAsia="zh-CN"/>
                    </w:rPr>
                    <w:t>L</w:t>
                  </w:r>
                  <w:r>
                    <w:rPr>
                      <w:rFonts w:hint="eastAsia" w:ascii="Times New Roman" w:hAnsi="Times New Roman" w:eastAsia="宋体" w:cs="Times New Roman"/>
                      <w:b w:val="0"/>
                      <w:bCs w:val="0"/>
                      <w:color w:val="000000"/>
                      <w:sz w:val="21"/>
                      <w:szCs w:val="21"/>
                      <w:lang w:val="en-US" w:eastAsia="zh-CN"/>
                    </w:rPr>
                    <w:t>1.5</w:t>
                  </w:r>
                  <w:r>
                    <w:rPr>
                      <w:rFonts w:hint="default" w:ascii="Times New Roman" w:hAnsi="Times New Roman" w:eastAsia="宋体" w:cs="Times New Roman"/>
                      <w:b w:val="0"/>
                      <w:bCs w:val="0"/>
                      <w:color w:val="000000"/>
                      <w:sz w:val="21"/>
                      <w:szCs w:val="21"/>
                      <w:lang w:val="en-US" w:eastAsia="zh-CN"/>
                    </w:rPr>
                    <w:t>*W1.2*H1m</w:t>
                  </w:r>
                </w:p>
              </w:tc>
              <w:tc>
                <w:tcPr>
                  <w:tcW w:w="421" w:type="pct"/>
                  <w:vAlign w:val="center"/>
                </w:tcPr>
                <w:p w14:paraId="59F35208">
                  <w:pPr>
                    <w:keepNext w:val="0"/>
                    <w:keepLines w:val="0"/>
                    <w:suppressLineNumbers w:val="0"/>
                    <w:spacing w:before="0" w:beforeAutospacing="0" w:after="0" w:afterAutospacing="0"/>
                    <w:ind w:left="0" w:right="0"/>
                    <w:jc w:val="center"/>
                    <w:rPr>
                      <w:rFonts w:hint="default"/>
                      <w:color w:val="auto"/>
                      <w:szCs w:val="21"/>
                    </w:rPr>
                  </w:pPr>
                  <w:r>
                    <w:rPr>
                      <w:rFonts w:hint="eastAsia" w:cs="Times New Roman"/>
                      <w:b w:val="0"/>
                      <w:bCs w:val="0"/>
                      <w:color w:val="000000"/>
                      <w:sz w:val="21"/>
                      <w:szCs w:val="21"/>
                      <w:lang w:val="en-US" w:eastAsia="zh-CN"/>
                    </w:rPr>
                    <w:t>1.44</w:t>
                  </w:r>
                </w:p>
              </w:tc>
              <w:tc>
                <w:tcPr>
                  <w:tcW w:w="178" w:type="pct"/>
                  <w:vAlign w:val="center"/>
                </w:tcPr>
                <w:p w14:paraId="669EDC10">
                  <w:pPr>
                    <w:keepNext w:val="0"/>
                    <w:keepLines w:val="0"/>
                    <w:suppressLineNumbers w:val="0"/>
                    <w:spacing w:before="0" w:beforeAutospacing="0" w:after="0" w:afterAutospacing="0"/>
                    <w:ind w:left="0" w:right="0"/>
                    <w:jc w:val="center"/>
                    <w:rPr>
                      <w:rFonts w:hint="default"/>
                      <w:color w:val="auto"/>
                      <w:kern w:val="0"/>
                      <w:szCs w:val="21"/>
                    </w:rPr>
                  </w:pPr>
                  <w:r>
                    <w:rPr>
                      <w:rFonts w:hint="default"/>
                      <w:color w:val="auto"/>
                      <w:szCs w:val="21"/>
                    </w:rPr>
                    <w:t>1</w:t>
                  </w:r>
                </w:p>
              </w:tc>
              <w:tc>
                <w:tcPr>
                  <w:tcW w:w="370" w:type="pct"/>
                  <w:vAlign w:val="center"/>
                </w:tcPr>
                <w:p w14:paraId="776D45E0">
                  <w:pPr>
                    <w:keepNext w:val="0"/>
                    <w:keepLines w:val="0"/>
                    <w:widowControl/>
                    <w:suppressLineNumbers w:val="0"/>
                    <w:spacing w:before="0" w:beforeAutospacing="0" w:after="0" w:afterAutospacing="0"/>
                    <w:ind w:left="0" w:right="0"/>
                    <w:jc w:val="center"/>
                    <w:rPr>
                      <w:rFonts w:hint="default"/>
                      <w:color w:val="auto"/>
                      <w:kern w:val="0"/>
                      <w:szCs w:val="21"/>
                    </w:rPr>
                  </w:pPr>
                  <w:r>
                    <w:rPr>
                      <w:rFonts w:hint="default"/>
                      <w:color w:val="auto"/>
                      <w:kern w:val="0"/>
                      <w:szCs w:val="21"/>
                    </w:rPr>
                    <w:t>常温</w:t>
                  </w:r>
                </w:p>
              </w:tc>
              <w:tc>
                <w:tcPr>
                  <w:tcW w:w="564" w:type="pct"/>
                  <w:vMerge w:val="restart"/>
                  <w:vAlign w:val="center"/>
                </w:tcPr>
                <w:p w14:paraId="361E8A14">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eastAsia"/>
                      <w:color w:val="auto"/>
                      <w:kern w:val="0"/>
                      <w:szCs w:val="21"/>
                      <w:lang w:val="en-US" w:eastAsia="zh-CN"/>
                    </w:rPr>
                    <w:t>喷淋+</w:t>
                  </w:r>
                  <w:r>
                    <w:rPr>
                      <w:rFonts w:hint="default"/>
                      <w:color w:val="auto"/>
                      <w:kern w:val="0"/>
                      <w:szCs w:val="21"/>
                    </w:rPr>
                    <w:t>逆流漂洗，连续排放，0.</w:t>
                  </w:r>
                  <w:r>
                    <w:rPr>
                      <w:rFonts w:hint="eastAsia"/>
                      <w:color w:val="auto"/>
                      <w:kern w:val="0"/>
                      <w:szCs w:val="21"/>
                      <w:lang w:val="en-US" w:eastAsia="zh-CN"/>
                    </w:rPr>
                    <w:t>1</w:t>
                  </w:r>
                  <w:r>
                    <w:rPr>
                      <w:rFonts w:hint="default"/>
                      <w:color w:val="auto"/>
                      <w:kern w:val="0"/>
                      <w:szCs w:val="21"/>
                    </w:rPr>
                    <w:t>m</w:t>
                  </w:r>
                  <w:r>
                    <w:rPr>
                      <w:rFonts w:hint="default"/>
                      <w:color w:val="auto"/>
                      <w:kern w:val="0"/>
                      <w:sz w:val="24"/>
                      <w:vertAlign w:val="superscript"/>
                    </w:rPr>
                    <w:t>3</w:t>
                  </w:r>
                  <w:r>
                    <w:rPr>
                      <w:rFonts w:hint="default"/>
                      <w:color w:val="auto"/>
                      <w:kern w:val="0"/>
                      <w:sz w:val="24"/>
                    </w:rPr>
                    <w:t>/h</w:t>
                  </w:r>
                </w:p>
              </w:tc>
              <w:tc>
                <w:tcPr>
                  <w:tcW w:w="526" w:type="pct"/>
                  <w:vAlign w:val="center"/>
                </w:tcPr>
                <w:p w14:paraId="4CA3E3BA">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eastAsia"/>
                      <w:color w:val="auto"/>
                      <w:kern w:val="0"/>
                      <w:szCs w:val="21"/>
                      <w:lang w:val="en-US" w:eastAsia="zh-CN"/>
                    </w:rPr>
                    <w:t>40s</w:t>
                  </w:r>
                </w:p>
              </w:tc>
              <w:tc>
                <w:tcPr>
                  <w:tcW w:w="784" w:type="pct"/>
                  <w:vMerge w:val="restart"/>
                  <w:vAlign w:val="center"/>
                </w:tcPr>
                <w:p w14:paraId="466434D4">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溢流排放0.</w:t>
                  </w:r>
                  <w:r>
                    <w:rPr>
                      <w:rFonts w:hint="eastAsia"/>
                      <w:color w:val="auto"/>
                      <w:kern w:val="0"/>
                      <w:szCs w:val="21"/>
                      <w:lang w:val="en-US" w:eastAsia="zh-CN"/>
                    </w:rPr>
                    <w:t>1</w:t>
                  </w:r>
                  <w:r>
                    <w:rPr>
                      <w:rFonts w:hint="default"/>
                      <w:color w:val="auto"/>
                      <w:kern w:val="0"/>
                      <w:szCs w:val="21"/>
                    </w:rPr>
                    <w:t>m</w:t>
                  </w:r>
                  <w:r>
                    <w:rPr>
                      <w:rFonts w:hint="default"/>
                      <w:color w:val="auto"/>
                      <w:kern w:val="0"/>
                      <w:sz w:val="24"/>
                      <w:vertAlign w:val="superscript"/>
                    </w:rPr>
                    <w:t>3</w:t>
                  </w:r>
                  <w:r>
                    <w:rPr>
                      <w:rFonts w:hint="default"/>
                      <w:color w:val="auto"/>
                      <w:kern w:val="0"/>
                      <w:sz w:val="24"/>
                    </w:rPr>
                    <w:t>/h</w:t>
                  </w:r>
                </w:p>
              </w:tc>
              <w:tc>
                <w:tcPr>
                  <w:tcW w:w="367" w:type="pct"/>
                  <w:vAlign w:val="center"/>
                </w:tcPr>
                <w:p w14:paraId="0D4B9631">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自来水</w:t>
                  </w:r>
                </w:p>
              </w:tc>
              <w:tc>
                <w:tcPr>
                  <w:tcW w:w="237" w:type="pct"/>
                  <w:vMerge w:val="continue"/>
                  <w:shd w:val="clear" w:color="auto" w:fill="auto"/>
                  <w:vAlign w:val="top"/>
                </w:tcPr>
                <w:p w14:paraId="2A3FE32C">
                  <w:pPr>
                    <w:keepNext w:val="0"/>
                    <w:keepLines w:val="0"/>
                    <w:suppressLineNumbers w:val="0"/>
                    <w:spacing w:before="0" w:beforeAutospacing="0" w:after="0" w:afterAutospacing="0"/>
                    <w:ind w:left="0" w:right="0"/>
                    <w:rPr>
                      <w:rFonts w:hint="default"/>
                      <w:color w:val="auto"/>
                      <w:kern w:val="0"/>
                      <w:szCs w:val="21"/>
                    </w:rPr>
                  </w:pPr>
                </w:p>
              </w:tc>
            </w:tr>
            <w:tr w14:paraId="5C357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8" w:hRule="atLeast"/>
                <w:jc w:val="center"/>
              </w:trPr>
              <w:tc>
                <w:tcPr>
                  <w:tcW w:w="116" w:type="pct"/>
                  <w:vAlign w:val="center"/>
                </w:tcPr>
                <w:p w14:paraId="1115B19E">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4</w:t>
                  </w:r>
                </w:p>
              </w:tc>
              <w:tc>
                <w:tcPr>
                  <w:tcW w:w="536" w:type="pct"/>
                  <w:vAlign w:val="center"/>
                </w:tcPr>
                <w:p w14:paraId="084BB632">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水洗槽2</w:t>
                  </w:r>
                </w:p>
              </w:tc>
              <w:tc>
                <w:tcPr>
                  <w:tcW w:w="896" w:type="pct"/>
                  <w:vAlign w:val="center"/>
                </w:tcPr>
                <w:p w14:paraId="5B994DB1">
                  <w:pPr>
                    <w:keepNext w:val="0"/>
                    <w:keepLines w:val="0"/>
                    <w:widowControl/>
                    <w:suppressLineNumbers w:val="0"/>
                    <w:snapToGrid w:val="0"/>
                    <w:spacing w:before="0" w:beforeAutospacing="0" w:after="0" w:afterAutospacing="0" w:line="240" w:lineRule="auto"/>
                    <w:ind w:left="0" w:right="0" w:firstLine="0" w:firstLineChars="0"/>
                    <w:jc w:val="center"/>
                    <w:rPr>
                      <w:rFonts w:hint="default"/>
                      <w:color w:val="auto"/>
                      <w:kern w:val="0"/>
                      <w:szCs w:val="21"/>
                    </w:rPr>
                  </w:pPr>
                  <w:r>
                    <w:rPr>
                      <w:rFonts w:hint="default" w:ascii="Times New Roman" w:hAnsi="Times New Roman" w:eastAsia="宋体" w:cs="Times New Roman"/>
                      <w:b w:val="0"/>
                      <w:bCs w:val="0"/>
                      <w:color w:val="000000"/>
                      <w:sz w:val="21"/>
                      <w:szCs w:val="21"/>
                      <w:lang w:val="en-US" w:eastAsia="zh-CN"/>
                    </w:rPr>
                    <w:t>L</w:t>
                  </w:r>
                  <w:r>
                    <w:rPr>
                      <w:rFonts w:hint="eastAsia" w:ascii="Times New Roman" w:hAnsi="Times New Roman" w:eastAsia="宋体" w:cs="Times New Roman"/>
                      <w:b w:val="0"/>
                      <w:bCs w:val="0"/>
                      <w:color w:val="000000"/>
                      <w:sz w:val="21"/>
                      <w:szCs w:val="21"/>
                      <w:lang w:val="en-US" w:eastAsia="zh-CN"/>
                    </w:rPr>
                    <w:t>1.5</w:t>
                  </w:r>
                  <w:r>
                    <w:rPr>
                      <w:rFonts w:hint="default" w:ascii="Times New Roman" w:hAnsi="Times New Roman" w:eastAsia="宋体" w:cs="Times New Roman"/>
                      <w:b w:val="0"/>
                      <w:bCs w:val="0"/>
                      <w:color w:val="000000"/>
                      <w:sz w:val="21"/>
                      <w:szCs w:val="21"/>
                      <w:lang w:val="en-US" w:eastAsia="zh-CN"/>
                    </w:rPr>
                    <w:t>*W1.2*H1m</w:t>
                  </w:r>
                </w:p>
              </w:tc>
              <w:tc>
                <w:tcPr>
                  <w:tcW w:w="421" w:type="pct"/>
                  <w:vAlign w:val="center"/>
                </w:tcPr>
                <w:p w14:paraId="23465B9D">
                  <w:pPr>
                    <w:keepNext w:val="0"/>
                    <w:keepLines w:val="0"/>
                    <w:suppressLineNumbers w:val="0"/>
                    <w:spacing w:before="0" w:beforeAutospacing="0" w:after="0" w:afterAutospacing="0"/>
                    <w:ind w:left="0" w:right="0"/>
                    <w:jc w:val="center"/>
                    <w:rPr>
                      <w:rFonts w:hint="default"/>
                      <w:color w:val="auto"/>
                      <w:szCs w:val="21"/>
                    </w:rPr>
                  </w:pPr>
                  <w:r>
                    <w:rPr>
                      <w:rFonts w:hint="eastAsia" w:cs="Times New Roman"/>
                      <w:b w:val="0"/>
                      <w:bCs w:val="0"/>
                      <w:color w:val="000000"/>
                      <w:sz w:val="21"/>
                      <w:szCs w:val="21"/>
                      <w:lang w:val="en-US" w:eastAsia="zh-CN"/>
                    </w:rPr>
                    <w:t>1.44</w:t>
                  </w:r>
                </w:p>
              </w:tc>
              <w:tc>
                <w:tcPr>
                  <w:tcW w:w="178" w:type="pct"/>
                  <w:vAlign w:val="center"/>
                </w:tcPr>
                <w:p w14:paraId="5D35677B">
                  <w:pPr>
                    <w:keepNext w:val="0"/>
                    <w:keepLines w:val="0"/>
                    <w:suppressLineNumbers w:val="0"/>
                    <w:spacing w:before="0" w:beforeAutospacing="0" w:after="0" w:afterAutospacing="0"/>
                    <w:ind w:left="0" w:right="0"/>
                    <w:jc w:val="center"/>
                    <w:rPr>
                      <w:rFonts w:hint="default"/>
                      <w:color w:val="auto"/>
                      <w:kern w:val="0"/>
                      <w:szCs w:val="21"/>
                    </w:rPr>
                  </w:pPr>
                  <w:r>
                    <w:rPr>
                      <w:rFonts w:hint="default"/>
                      <w:color w:val="auto"/>
                      <w:szCs w:val="21"/>
                    </w:rPr>
                    <w:t>1</w:t>
                  </w:r>
                </w:p>
              </w:tc>
              <w:tc>
                <w:tcPr>
                  <w:tcW w:w="370" w:type="pct"/>
                  <w:vAlign w:val="center"/>
                </w:tcPr>
                <w:p w14:paraId="64CFC488">
                  <w:pPr>
                    <w:keepNext w:val="0"/>
                    <w:keepLines w:val="0"/>
                    <w:widowControl/>
                    <w:suppressLineNumbers w:val="0"/>
                    <w:spacing w:before="0" w:beforeAutospacing="0" w:after="0" w:afterAutospacing="0"/>
                    <w:ind w:left="0" w:right="0"/>
                    <w:jc w:val="center"/>
                    <w:rPr>
                      <w:rFonts w:hint="default"/>
                      <w:color w:val="auto"/>
                      <w:kern w:val="0"/>
                      <w:szCs w:val="21"/>
                    </w:rPr>
                  </w:pPr>
                  <w:r>
                    <w:rPr>
                      <w:rFonts w:hint="default"/>
                      <w:color w:val="auto"/>
                      <w:kern w:val="0"/>
                      <w:szCs w:val="21"/>
                    </w:rPr>
                    <w:t>常温</w:t>
                  </w:r>
                </w:p>
              </w:tc>
              <w:tc>
                <w:tcPr>
                  <w:tcW w:w="564" w:type="pct"/>
                  <w:vMerge w:val="continue"/>
                  <w:vAlign w:val="center"/>
                </w:tcPr>
                <w:p w14:paraId="11B36FFF">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p>
              </w:tc>
              <w:tc>
                <w:tcPr>
                  <w:tcW w:w="526" w:type="pct"/>
                  <w:vAlign w:val="center"/>
                </w:tcPr>
                <w:p w14:paraId="2BDC5444">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eastAsia"/>
                      <w:color w:val="auto"/>
                      <w:kern w:val="0"/>
                      <w:szCs w:val="21"/>
                      <w:lang w:val="en-US" w:eastAsia="zh-CN"/>
                    </w:rPr>
                    <w:t>40s</w:t>
                  </w:r>
                </w:p>
              </w:tc>
              <w:tc>
                <w:tcPr>
                  <w:tcW w:w="784" w:type="pct"/>
                  <w:vMerge w:val="continue"/>
                  <w:vAlign w:val="center"/>
                </w:tcPr>
                <w:p w14:paraId="3E998B3F">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c>
                <w:tcPr>
                  <w:tcW w:w="367" w:type="pct"/>
                  <w:vAlign w:val="center"/>
                </w:tcPr>
                <w:p w14:paraId="237FC1DC">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自来水</w:t>
                  </w:r>
                </w:p>
              </w:tc>
              <w:tc>
                <w:tcPr>
                  <w:tcW w:w="237" w:type="pct"/>
                  <w:vMerge w:val="continue"/>
                  <w:shd w:val="clear" w:color="auto" w:fill="auto"/>
                  <w:vAlign w:val="top"/>
                </w:tcPr>
                <w:p w14:paraId="7192D03F">
                  <w:pPr>
                    <w:keepNext w:val="0"/>
                    <w:keepLines w:val="0"/>
                    <w:suppressLineNumbers w:val="0"/>
                    <w:spacing w:before="0" w:beforeAutospacing="0" w:after="0" w:afterAutospacing="0"/>
                    <w:ind w:left="0" w:right="0"/>
                    <w:rPr>
                      <w:rFonts w:hint="default"/>
                      <w:color w:val="auto"/>
                      <w:kern w:val="0"/>
                      <w:szCs w:val="21"/>
                    </w:rPr>
                  </w:pPr>
                </w:p>
              </w:tc>
            </w:tr>
            <w:tr w14:paraId="2664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04" w:hRule="atLeast"/>
                <w:jc w:val="center"/>
              </w:trPr>
              <w:tc>
                <w:tcPr>
                  <w:tcW w:w="116" w:type="pct"/>
                  <w:vAlign w:val="center"/>
                </w:tcPr>
                <w:p w14:paraId="75FCD364">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5</w:t>
                  </w:r>
                </w:p>
              </w:tc>
              <w:tc>
                <w:tcPr>
                  <w:tcW w:w="536" w:type="pct"/>
                  <w:vAlign w:val="center"/>
                </w:tcPr>
                <w:p w14:paraId="7F4696F0">
                  <w:pPr>
                    <w:keepNext w:val="0"/>
                    <w:keepLines w:val="0"/>
                    <w:suppressLineNumbers w:val="0"/>
                    <w:spacing w:before="0" w:beforeAutospacing="0" w:after="0" w:afterAutospacing="0"/>
                    <w:ind w:left="0" w:right="0"/>
                    <w:jc w:val="center"/>
                    <w:rPr>
                      <w:rFonts w:hint="default"/>
                      <w:color w:val="auto"/>
                      <w:kern w:val="0"/>
                      <w:szCs w:val="21"/>
                    </w:rPr>
                  </w:pPr>
                  <w:r>
                    <w:rPr>
                      <w:rFonts w:hint="default"/>
                      <w:color w:val="auto"/>
                      <w:szCs w:val="21"/>
                    </w:rPr>
                    <w:t>硅烷槽</w:t>
                  </w:r>
                </w:p>
              </w:tc>
              <w:tc>
                <w:tcPr>
                  <w:tcW w:w="896" w:type="pct"/>
                  <w:vAlign w:val="center"/>
                </w:tcPr>
                <w:p w14:paraId="52197FE1">
                  <w:pPr>
                    <w:keepNext w:val="0"/>
                    <w:keepLines w:val="0"/>
                    <w:widowControl/>
                    <w:suppressLineNumbers w:val="0"/>
                    <w:snapToGrid w:val="0"/>
                    <w:spacing w:before="0" w:beforeAutospacing="0" w:after="0" w:afterAutospacing="0" w:line="240" w:lineRule="auto"/>
                    <w:ind w:left="0" w:right="0" w:firstLine="0" w:firstLineChars="0"/>
                    <w:jc w:val="center"/>
                    <w:rPr>
                      <w:rFonts w:hint="default"/>
                      <w:color w:val="auto"/>
                      <w:kern w:val="0"/>
                      <w:szCs w:val="21"/>
                    </w:rPr>
                  </w:pPr>
                  <w:r>
                    <w:rPr>
                      <w:rFonts w:hint="default" w:ascii="Times New Roman" w:hAnsi="Times New Roman" w:eastAsia="宋体" w:cs="Times New Roman"/>
                      <w:b w:val="0"/>
                      <w:bCs w:val="0"/>
                      <w:color w:val="000000"/>
                      <w:sz w:val="21"/>
                      <w:szCs w:val="21"/>
                      <w:lang w:val="en-US" w:eastAsia="zh-CN"/>
                    </w:rPr>
                    <w:t>L</w:t>
                  </w:r>
                  <w:r>
                    <w:rPr>
                      <w:rFonts w:hint="eastAsia" w:ascii="Times New Roman" w:hAnsi="Times New Roman" w:eastAsia="宋体" w:cs="Times New Roman"/>
                      <w:b w:val="0"/>
                      <w:bCs w:val="0"/>
                      <w:color w:val="000000"/>
                      <w:sz w:val="21"/>
                      <w:szCs w:val="21"/>
                      <w:lang w:val="en-US" w:eastAsia="zh-CN"/>
                    </w:rPr>
                    <w:t>1.5</w:t>
                  </w:r>
                  <w:r>
                    <w:rPr>
                      <w:rFonts w:hint="default" w:ascii="Times New Roman" w:hAnsi="Times New Roman" w:eastAsia="宋体" w:cs="Times New Roman"/>
                      <w:b w:val="0"/>
                      <w:bCs w:val="0"/>
                      <w:color w:val="000000"/>
                      <w:sz w:val="21"/>
                      <w:szCs w:val="21"/>
                      <w:lang w:val="en-US" w:eastAsia="zh-CN"/>
                    </w:rPr>
                    <w:t>*W1.2*H1m</w:t>
                  </w:r>
                </w:p>
              </w:tc>
              <w:tc>
                <w:tcPr>
                  <w:tcW w:w="421" w:type="pct"/>
                  <w:vAlign w:val="center"/>
                </w:tcPr>
                <w:p w14:paraId="374BBCF8">
                  <w:pPr>
                    <w:keepNext w:val="0"/>
                    <w:keepLines w:val="0"/>
                    <w:suppressLineNumbers w:val="0"/>
                    <w:spacing w:before="0" w:beforeAutospacing="0" w:after="0" w:afterAutospacing="0"/>
                    <w:ind w:left="0" w:right="0"/>
                    <w:jc w:val="center"/>
                    <w:rPr>
                      <w:rFonts w:hint="default"/>
                      <w:color w:val="auto"/>
                      <w:szCs w:val="21"/>
                    </w:rPr>
                  </w:pPr>
                  <w:r>
                    <w:rPr>
                      <w:rFonts w:hint="eastAsia" w:cs="Times New Roman"/>
                      <w:b w:val="0"/>
                      <w:bCs w:val="0"/>
                      <w:color w:val="000000"/>
                      <w:sz w:val="21"/>
                      <w:szCs w:val="21"/>
                      <w:lang w:val="en-US" w:eastAsia="zh-CN"/>
                    </w:rPr>
                    <w:t>1.44</w:t>
                  </w:r>
                </w:p>
              </w:tc>
              <w:tc>
                <w:tcPr>
                  <w:tcW w:w="178" w:type="pct"/>
                  <w:vAlign w:val="center"/>
                </w:tcPr>
                <w:p w14:paraId="6F9D54F3">
                  <w:pPr>
                    <w:keepNext w:val="0"/>
                    <w:keepLines w:val="0"/>
                    <w:suppressLineNumbers w:val="0"/>
                    <w:spacing w:before="0" w:beforeAutospacing="0" w:after="0" w:afterAutospacing="0"/>
                    <w:ind w:left="0" w:right="0"/>
                    <w:jc w:val="center"/>
                    <w:rPr>
                      <w:rFonts w:hint="default"/>
                      <w:color w:val="auto"/>
                      <w:kern w:val="0"/>
                      <w:szCs w:val="21"/>
                    </w:rPr>
                  </w:pPr>
                  <w:r>
                    <w:rPr>
                      <w:rFonts w:hint="default"/>
                      <w:color w:val="auto"/>
                      <w:szCs w:val="21"/>
                    </w:rPr>
                    <w:t>1</w:t>
                  </w:r>
                </w:p>
              </w:tc>
              <w:tc>
                <w:tcPr>
                  <w:tcW w:w="370" w:type="pct"/>
                  <w:shd w:val="clear" w:color="auto" w:fill="auto"/>
                  <w:vAlign w:val="center"/>
                </w:tcPr>
                <w:p w14:paraId="01D0ECD6">
                  <w:pPr>
                    <w:keepNext w:val="0"/>
                    <w:keepLines w:val="0"/>
                    <w:widowControl/>
                    <w:suppressLineNumbers w:val="0"/>
                    <w:snapToGrid w:val="0"/>
                    <w:spacing w:before="0" w:beforeAutospacing="0" w:after="0" w:afterAutospacing="0"/>
                    <w:ind w:left="0" w:right="0"/>
                    <w:jc w:val="center"/>
                    <w:rPr>
                      <w:rFonts w:hint="default" w:eastAsia="宋体"/>
                      <w:color w:val="auto"/>
                      <w:kern w:val="0"/>
                      <w:szCs w:val="21"/>
                      <w:lang w:val="en-US" w:eastAsia="zh-CN"/>
                    </w:rPr>
                  </w:pPr>
                  <w:r>
                    <w:rPr>
                      <w:rFonts w:hint="eastAsia"/>
                      <w:color w:val="auto"/>
                      <w:kern w:val="0"/>
                      <w:szCs w:val="21"/>
                      <w:lang w:val="en-US" w:eastAsia="zh-CN"/>
                    </w:rPr>
                    <w:t>25-45</w:t>
                  </w:r>
                </w:p>
              </w:tc>
              <w:tc>
                <w:tcPr>
                  <w:tcW w:w="564" w:type="pct"/>
                  <w:shd w:val="clear" w:color="auto" w:fill="auto"/>
                  <w:vAlign w:val="center"/>
                </w:tcPr>
                <w:p w14:paraId="471A7947">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喷淋</w:t>
                  </w:r>
                </w:p>
              </w:tc>
              <w:tc>
                <w:tcPr>
                  <w:tcW w:w="526" w:type="pct"/>
                  <w:vAlign w:val="center"/>
                </w:tcPr>
                <w:p w14:paraId="5DAB60BA">
                  <w:pPr>
                    <w:keepNext w:val="0"/>
                    <w:keepLines w:val="0"/>
                    <w:widowControl/>
                    <w:suppressLineNumbers w:val="0"/>
                    <w:snapToGrid w:val="0"/>
                    <w:spacing w:before="0" w:beforeAutospacing="0" w:after="0" w:afterAutospacing="0"/>
                    <w:ind w:left="0" w:right="0"/>
                    <w:jc w:val="center"/>
                    <w:rPr>
                      <w:rFonts w:hint="default" w:eastAsia="宋体"/>
                      <w:color w:val="auto"/>
                      <w:kern w:val="0"/>
                      <w:szCs w:val="21"/>
                      <w:lang w:val="en-US" w:eastAsia="zh-CN"/>
                    </w:rPr>
                  </w:pPr>
                  <w:r>
                    <w:rPr>
                      <w:rFonts w:hint="eastAsia"/>
                      <w:color w:val="auto"/>
                      <w:kern w:val="0"/>
                      <w:szCs w:val="21"/>
                      <w:lang w:val="en-US" w:eastAsia="zh-CN"/>
                    </w:rPr>
                    <w:t>90s</w:t>
                  </w:r>
                </w:p>
              </w:tc>
              <w:tc>
                <w:tcPr>
                  <w:tcW w:w="784" w:type="pct"/>
                  <w:vAlign w:val="center"/>
                </w:tcPr>
                <w:p w14:paraId="12AA9870">
                  <w:pPr>
                    <w:keepNext w:val="0"/>
                    <w:keepLines w:val="0"/>
                    <w:widowControl/>
                    <w:suppressLineNumbers w:val="0"/>
                    <w:spacing w:before="0" w:beforeAutospacing="0" w:after="0" w:afterAutospacing="0" w:line="260" w:lineRule="exact"/>
                    <w:ind w:left="0" w:right="0"/>
                    <w:jc w:val="center"/>
                    <w:rPr>
                      <w:rFonts w:hint="default"/>
                      <w:color w:val="auto"/>
                      <w:kern w:val="0"/>
                      <w:szCs w:val="21"/>
                    </w:rPr>
                  </w:pPr>
                  <w:r>
                    <w:rPr>
                      <w:rFonts w:hint="default"/>
                      <w:color w:val="auto"/>
                      <w:kern w:val="0"/>
                      <w:szCs w:val="21"/>
                    </w:rPr>
                    <w:t>每</w:t>
                  </w:r>
                  <w:r>
                    <w:rPr>
                      <w:rFonts w:hint="eastAsia"/>
                      <w:color w:val="auto"/>
                      <w:kern w:val="0"/>
                      <w:szCs w:val="21"/>
                      <w:lang w:val="en-US" w:eastAsia="zh-CN"/>
                    </w:rPr>
                    <w:t>6</w:t>
                  </w:r>
                  <w:r>
                    <w:rPr>
                      <w:rFonts w:hint="default"/>
                      <w:color w:val="auto"/>
                      <w:kern w:val="0"/>
                      <w:szCs w:val="21"/>
                    </w:rPr>
                    <w:t>个月更换一次，年更换</w:t>
                  </w:r>
                  <w:r>
                    <w:rPr>
                      <w:rFonts w:hint="eastAsia"/>
                      <w:color w:val="auto"/>
                      <w:kern w:val="0"/>
                      <w:szCs w:val="21"/>
                      <w:lang w:val="en-US" w:eastAsia="zh-CN"/>
                    </w:rPr>
                    <w:t>2</w:t>
                  </w:r>
                  <w:r>
                    <w:rPr>
                      <w:rFonts w:hint="default"/>
                      <w:color w:val="auto"/>
                      <w:kern w:val="0"/>
                      <w:szCs w:val="21"/>
                    </w:rPr>
                    <w:t>次，每次槽液全换</w:t>
                  </w:r>
                </w:p>
              </w:tc>
              <w:tc>
                <w:tcPr>
                  <w:tcW w:w="367" w:type="pct"/>
                  <w:vAlign w:val="center"/>
                </w:tcPr>
                <w:p w14:paraId="35A6C480">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自来水</w:t>
                  </w:r>
                </w:p>
              </w:tc>
              <w:tc>
                <w:tcPr>
                  <w:tcW w:w="237" w:type="pct"/>
                  <w:vMerge w:val="continue"/>
                  <w:shd w:val="clear" w:color="auto" w:fill="auto"/>
                  <w:vAlign w:val="top"/>
                </w:tcPr>
                <w:p w14:paraId="4AF465EB">
                  <w:pPr>
                    <w:keepNext w:val="0"/>
                    <w:keepLines w:val="0"/>
                    <w:suppressLineNumbers w:val="0"/>
                    <w:spacing w:before="0" w:beforeAutospacing="0" w:after="0" w:afterAutospacing="0"/>
                    <w:ind w:left="0" w:right="0"/>
                    <w:rPr>
                      <w:rFonts w:hint="default"/>
                      <w:color w:val="auto"/>
                      <w:kern w:val="0"/>
                      <w:szCs w:val="21"/>
                    </w:rPr>
                  </w:pPr>
                </w:p>
              </w:tc>
            </w:tr>
          </w:tbl>
          <w:p w14:paraId="79E6C117">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tc>
      </w:tr>
    </w:tbl>
    <w:p w14:paraId="5CE8391A">
      <w:pPr>
        <w:rPr>
          <w:rFonts w:hint="default" w:ascii="Times New Roman" w:hAnsi="Times New Roman" w:cs="Times New Roman"/>
          <w:color w:val="auto"/>
          <w:highlight w:val="none"/>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61"/>
        <w:tblW w:w="905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606"/>
      </w:tblGrid>
      <w:tr w14:paraId="2A4010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07" w:hRule="atLeast"/>
        </w:trPr>
        <w:tc>
          <w:tcPr>
            <w:tcW w:w="453" w:type="dxa"/>
            <w:shd w:val="clear" w:color="auto" w:fill="auto"/>
            <w:vAlign w:val="center"/>
          </w:tcPr>
          <w:p w14:paraId="3F71B67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与项目有关的原有环境污染问题</w:t>
            </w:r>
          </w:p>
        </w:tc>
        <w:tc>
          <w:tcPr>
            <w:tcW w:w="8606" w:type="dxa"/>
            <w:shd w:val="clear" w:color="auto" w:fill="auto"/>
            <w:vAlign w:val="center"/>
          </w:tcPr>
          <w:p w14:paraId="73173DA8">
            <w:pPr>
              <w:keepNext w:val="0"/>
              <w:keepLines w:val="0"/>
              <w:numPr>
                <w:ilvl w:val="0"/>
                <w:numId w:val="13"/>
              </w:numPr>
              <w:suppressLineNumbers w:val="0"/>
              <w:autoSpaceDE w:val="0"/>
              <w:autoSpaceDN w:val="0"/>
              <w:adjustRightInd w:val="0"/>
              <w:snapToGrid w:val="0"/>
              <w:spacing w:before="120" w:beforeLines="50" w:beforeAutospacing="0" w:after="0" w:afterAutospacing="0" w:line="360" w:lineRule="auto"/>
              <w:ind w:left="600" w:leftChars="0" w:right="0" w:firstLine="0" w:firstLineChars="0"/>
              <w:rPr>
                <w:rFonts w:hint="default" w:ascii="Times New Roman" w:hAnsi="Times New Roman" w:eastAsia="宋体" w:cs="Times New Roman"/>
                <w:b/>
                <w:color w:val="auto"/>
                <w:kern w:val="0"/>
                <w:sz w:val="24"/>
                <w:highlight w:val="none"/>
                <w:lang w:val="en-US" w:eastAsia="zh-CN"/>
              </w:rPr>
            </w:pPr>
            <w:r>
              <w:rPr>
                <w:rFonts w:hint="default" w:ascii="Times New Roman" w:hAnsi="Times New Roman" w:cs="Times New Roman"/>
                <w:b/>
                <w:color w:val="auto"/>
                <w:kern w:val="0"/>
                <w:sz w:val="24"/>
                <w:highlight w:val="none"/>
              </w:rPr>
              <w:t>现有项目环保手续执行情况</w:t>
            </w:r>
          </w:p>
          <w:p w14:paraId="4959495E">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kern w:val="0"/>
                <w:sz w:val="24"/>
                <w:highlight w:val="none"/>
                <w:lang w:val="en-US" w:eastAsia="zh-CN"/>
              </w:rPr>
            </w:pPr>
            <w:r>
              <w:rPr>
                <w:rFonts w:hint="eastAsia" w:cs="Times New Roman"/>
                <w:b/>
                <w:color w:val="auto"/>
                <w:kern w:val="0"/>
                <w:sz w:val="24"/>
                <w:highlight w:val="none"/>
                <w:lang w:eastAsia="zh-CN"/>
              </w:rPr>
              <w:t>（</w:t>
            </w:r>
            <w:r>
              <w:rPr>
                <w:rFonts w:hint="eastAsia" w:cs="Times New Roman"/>
                <w:b/>
                <w:color w:val="auto"/>
                <w:kern w:val="0"/>
                <w:sz w:val="24"/>
                <w:highlight w:val="none"/>
                <w:lang w:val="en-US" w:eastAsia="zh-CN"/>
              </w:rPr>
              <w:t>1</w:t>
            </w:r>
            <w:r>
              <w:rPr>
                <w:rFonts w:hint="eastAsia" w:cs="Times New Roman"/>
                <w:b/>
                <w:color w:val="auto"/>
                <w:kern w:val="0"/>
                <w:sz w:val="24"/>
                <w:highlight w:val="none"/>
                <w:lang w:eastAsia="zh-CN"/>
              </w:rPr>
              <w:t>）</w:t>
            </w:r>
            <w:r>
              <w:rPr>
                <w:rFonts w:hint="eastAsia" w:cs="Times New Roman"/>
                <w:b/>
                <w:color w:val="auto"/>
                <w:kern w:val="0"/>
                <w:sz w:val="24"/>
                <w:highlight w:val="none"/>
                <w:lang w:val="en-US" w:eastAsia="zh-CN"/>
              </w:rPr>
              <w:t>环评及验收情况</w:t>
            </w:r>
          </w:p>
          <w:p w14:paraId="42BAA219">
            <w:pPr>
              <w:keepNext w:val="0"/>
              <w:keepLines w:val="0"/>
              <w:suppressLineNumbers w:val="0"/>
              <w:tabs>
                <w:tab w:val="left" w:pos="4620"/>
              </w:tabs>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eastAsia" w:cs="Times New Roman"/>
                <w:color w:val="auto"/>
                <w:kern w:val="0"/>
                <w:sz w:val="24"/>
                <w:highlight w:val="none"/>
                <w:lang w:eastAsia="zh-CN"/>
              </w:rPr>
              <w:t>芜湖研历光电科技有限公司</w:t>
            </w:r>
            <w:r>
              <w:rPr>
                <w:rFonts w:hint="default" w:ascii="Times New Roman" w:hAnsi="Times New Roman" w:cs="Times New Roman"/>
                <w:color w:val="auto"/>
                <w:sz w:val="24"/>
                <w:highlight w:val="none"/>
              </w:rPr>
              <w:t>现有项目环保手续执行情况见下表。</w:t>
            </w:r>
          </w:p>
          <w:p w14:paraId="3486EA2E">
            <w:pPr>
              <w:keepNext w:val="0"/>
              <w:keepLines w:val="0"/>
              <w:widowControl/>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b/>
                <w:bCs/>
                <w:color w:val="auto"/>
                <w:kern w:val="0"/>
                <w:sz w:val="24"/>
                <w:szCs w:val="20"/>
                <w:highlight w:val="none"/>
                <w:lang w:val="zh-CN"/>
              </w:rPr>
            </w:pPr>
            <w:r>
              <w:rPr>
                <w:rFonts w:hint="default" w:ascii="Times New Roman" w:hAnsi="Times New Roman" w:cs="Times New Roman" w:eastAsiaTheme="minorEastAsia"/>
                <w:b/>
                <w:bCs/>
                <w:color w:val="auto"/>
                <w:kern w:val="0"/>
                <w:sz w:val="24"/>
                <w:szCs w:val="20"/>
                <w:highlight w:val="none"/>
                <w:lang w:val="zh-CN"/>
              </w:rPr>
              <w:t>表2-</w:t>
            </w:r>
            <w:r>
              <w:rPr>
                <w:rFonts w:hint="default" w:ascii="Times New Roman" w:hAnsi="Times New Roman" w:cs="Times New Roman" w:eastAsiaTheme="minorEastAsia"/>
                <w:b/>
                <w:bCs/>
                <w:color w:val="auto"/>
                <w:kern w:val="0"/>
                <w:sz w:val="24"/>
                <w:szCs w:val="20"/>
                <w:highlight w:val="none"/>
              </w:rPr>
              <w:t>1</w:t>
            </w:r>
            <w:r>
              <w:rPr>
                <w:rFonts w:hint="eastAsia" w:cs="Times New Roman" w:eastAsiaTheme="minorEastAsia"/>
                <w:b/>
                <w:bCs/>
                <w:color w:val="auto"/>
                <w:kern w:val="0"/>
                <w:sz w:val="24"/>
                <w:szCs w:val="20"/>
                <w:highlight w:val="none"/>
                <w:lang w:val="en-US" w:eastAsia="zh-CN"/>
              </w:rPr>
              <w:t>7</w:t>
            </w:r>
            <w:r>
              <w:rPr>
                <w:rFonts w:hint="default" w:ascii="Times New Roman" w:hAnsi="Times New Roman" w:cs="Times New Roman" w:eastAsiaTheme="minorEastAsia"/>
                <w:b/>
                <w:bCs/>
                <w:color w:val="auto"/>
                <w:kern w:val="0"/>
                <w:sz w:val="24"/>
                <w:szCs w:val="20"/>
                <w:highlight w:val="none"/>
                <w:lang w:val="zh-CN"/>
              </w:rPr>
              <w:t xml:space="preserve">  现有项目环评手续执行情况</w:t>
            </w:r>
          </w:p>
          <w:tbl>
            <w:tblPr>
              <w:tblStyle w:val="61"/>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59"/>
              <w:gridCol w:w="1170"/>
              <w:gridCol w:w="1140"/>
              <w:gridCol w:w="1049"/>
              <w:gridCol w:w="1110"/>
              <w:gridCol w:w="989"/>
              <w:gridCol w:w="1063"/>
            </w:tblGrid>
            <w:tr w14:paraId="6FB29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3" w:hRule="atLeast"/>
                <w:jc w:val="center"/>
              </w:trPr>
              <w:tc>
                <w:tcPr>
                  <w:tcW w:w="1859" w:type="dxa"/>
                  <w:vMerge w:val="restart"/>
                  <w:vAlign w:val="center"/>
                </w:tcPr>
                <w:p w14:paraId="35B067F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项目名称</w:t>
                  </w:r>
                </w:p>
              </w:tc>
              <w:tc>
                <w:tcPr>
                  <w:tcW w:w="3359" w:type="dxa"/>
                  <w:gridSpan w:val="3"/>
                  <w:vAlign w:val="center"/>
                </w:tcPr>
                <w:p w14:paraId="7339522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环评情况</w:t>
                  </w:r>
                </w:p>
              </w:tc>
              <w:tc>
                <w:tcPr>
                  <w:tcW w:w="3162" w:type="dxa"/>
                  <w:gridSpan w:val="3"/>
                  <w:vAlign w:val="center"/>
                </w:tcPr>
                <w:p w14:paraId="142C4FE6">
                  <w:pPr>
                    <w:keepNext w:val="0"/>
                    <w:keepLines w:val="0"/>
                    <w:widowControl/>
                    <w:suppressLineNumbers w:val="0"/>
                    <w:tabs>
                      <w:tab w:val="left" w:pos="1100"/>
                    </w:tabs>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验收情况</w:t>
                  </w:r>
                </w:p>
              </w:tc>
            </w:tr>
            <w:tr w14:paraId="652E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1859" w:type="dxa"/>
                  <w:vMerge w:val="continue"/>
                  <w:vAlign w:val="center"/>
                </w:tcPr>
                <w:p w14:paraId="1F9CDC6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p>
              </w:tc>
              <w:tc>
                <w:tcPr>
                  <w:tcW w:w="1170" w:type="dxa"/>
                  <w:vAlign w:val="center"/>
                </w:tcPr>
                <w:p w14:paraId="1E874A0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审批时间</w:t>
                  </w:r>
                </w:p>
              </w:tc>
              <w:tc>
                <w:tcPr>
                  <w:tcW w:w="1140" w:type="dxa"/>
                  <w:vAlign w:val="center"/>
                </w:tcPr>
                <w:p w14:paraId="2B2223C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审批部门</w:t>
                  </w:r>
                </w:p>
              </w:tc>
              <w:tc>
                <w:tcPr>
                  <w:tcW w:w="1049" w:type="dxa"/>
                  <w:vAlign w:val="center"/>
                </w:tcPr>
                <w:p w14:paraId="45150C6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审批文号</w:t>
                  </w:r>
                </w:p>
              </w:tc>
              <w:tc>
                <w:tcPr>
                  <w:tcW w:w="1110" w:type="dxa"/>
                  <w:vAlign w:val="center"/>
                </w:tcPr>
                <w:p w14:paraId="5D234C6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验收时间</w:t>
                  </w:r>
                </w:p>
              </w:tc>
              <w:tc>
                <w:tcPr>
                  <w:tcW w:w="989" w:type="dxa"/>
                  <w:vAlign w:val="center"/>
                </w:tcPr>
                <w:p w14:paraId="5DCA5AB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验收部门</w:t>
                  </w:r>
                </w:p>
              </w:tc>
              <w:tc>
                <w:tcPr>
                  <w:tcW w:w="1063" w:type="dxa"/>
                  <w:vAlign w:val="center"/>
                </w:tcPr>
                <w:p w14:paraId="0B73987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验收文号</w:t>
                  </w:r>
                </w:p>
              </w:tc>
            </w:tr>
            <w:tr w14:paraId="634FB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1859" w:type="dxa"/>
                  <w:vAlign w:val="center"/>
                </w:tcPr>
                <w:p w14:paraId="7DCCCDA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zh-CN"/>
                    </w:rPr>
                  </w:pPr>
                  <w:r>
                    <w:rPr>
                      <w:rFonts w:hint="default" w:ascii="Times New Roman" w:hAnsi="Times New Roman" w:eastAsia="宋体" w:cs="Times New Roman"/>
                      <w:color w:val="auto"/>
                      <w:kern w:val="0"/>
                      <w:szCs w:val="21"/>
                      <w:highlight w:val="none"/>
                    </w:rPr>
                    <w:t>《</w:t>
                  </w:r>
                  <w:r>
                    <w:rPr>
                      <w:rFonts w:hint="eastAsia" w:ascii="Times New Roman" w:hAnsi="Times New Roman" w:eastAsia="宋体" w:cs="Times New Roman"/>
                      <w:color w:val="auto"/>
                      <w:kern w:val="0"/>
                      <w:szCs w:val="21"/>
                      <w:highlight w:val="none"/>
                      <w:lang w:val="en-US" w:eastAsia="zh-CN"/>
                    </w:rPr>
                    <w:t>芜湖研历光电科技有限公司</w:t>
                  </w:r>
                  <w:r>
                    <w:rPr>
                      <w:rFonts w:hint="default" w:ascii="Times New Roman" w:hAnsi="Times New Roman" w:eastAsia="宋体" w:cs="Times New Roman"/>
                      <w:color w:val="auto"/>
                      <w:kern w:val="0"/>
                      <w:szCs w:val="21"/>
                      <w:highlight w:val="none"/>
                      <w:lang w:val="en-US" w:eastAsia="zh-CN"/>
                    </w:rPr>
                    <w:t>光电设备配件生产项目环境影响报告表</w:t>
                  </w:r>
                  <w:r>
                    <w:rPr>
                      <w:rFonts w:hint="default" w:ascii="Times New Roman" w:hAnsi="Times New Roman" w:eastAsia="宋体" w:cs="Times New Roman"/>
                      <w:color w:val="auto"/>
                      <w:kern w:val="0"/>
                      <w:szCs w:val="21"/>
                      <w:highlight w:val="none"/>
                    </w:rPr>
                    <w:t>》</w:t>
                  </w:r>
                </w:p>
              </w:tc>
              <w:tc>
                <w:tcPr>
                  <w:tcW w:w="1170" w:type="dxa"/>
                  <w:vAlign w:val="center"/>
                </w:tcPr>
                <w:p w14:paraId="1E9C76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20</w:t>
                  </w:r>
                  <w:r>
                    <w:rPr>
                      <w:rFonts w:hint="eastAsia" w:ascii="Times New Roman" w:hAnsi="Times New Roman" w:eastAsia="宋体" w:cs="Times New Roman"/>
                      <w:color w:val="auto"/>
                      <w:kern w:val="0"/>
                      <w:szCs w:val="21"/>
                      <w:highlight w:val="none"/>
                      <w:lang w:val="en-US" w:eastAsia="zh-CN"/>
                    </w:rPr>
                    <w:t>19</w:t>
                  </w:r>
                  <w:r>
                    <w:rPr>
                      <w:rFonts w:hint="default" w:ascii="Times New Roman" w:hAnsi="Times New Roman" w:eastAsia="宋体" w:cs="Times New Roman"/>
                      <w:color w:val="auto"/>
                      <w:kern w:val="0"/>
                      <w:szCs w:val="21"/>
                      <w:highlight w:val="none"/>
                      <w:lang w:val="en-US" w:eastAsia="zh-CN"/>
                    </w:rPr>
                    <w:t>年</w:t>
                  </w:r>
                  <w:r>
                    <w:rPr>
                      <w:rFonts w:hint="eastAsia" w:ascii="Times New Roman" w:hAnsi="Times New Roman" w:eastAsia="宋体" w:cs="Times New Roman"/>
                      <w:color w:val="auto"/>
                      <w:kern w:val="0"/>
                      <w:szCs w:val="21"/>
                      <w:highlight w:val="none"/>
                      <w:lang w:val="en-US" w:eastAsia="zh-CN"/>
                    </w:rPr>
                    <w:t>4</w:t>
                  </w:r>
                  <w:r>
                    <w:rPr>
                      <w:rFonts w:hint="default" w:ascii="Times New Roman" w:hAnsi="Times New Roman" w:eastAsia="宋体" w:cs="Times New Roman"/>
                      <w:color w:val="auto"/>
                      <w:kern w:val="0"/>
                      <w:szCs w:val="21"/>
                      <w:highlight w:val="none"/>
                      <w:lang w:val="en-US" w:eastAsia="zh-CN"/>
                    </w:rPr>
                    <w:t>月</w:t>
                  </w:r>
                  <w:r>
                    <w:rPr>
                      <w:rFonts w:hint="eastAsia" w:ascii="Times New Roman" w:hAnsi="Times New Roman" w:eastAsia="宋体" w:cs="Times New Roman"/>
                      <w:color w:val="auto"/>
                      <w:kern w:val="0"/>
                      <w:szCs w:val="21"/>
                      <w:highlight w:val="none"/>
                      <w:lang w:val="en-US" w:eastAsia="zh-CN"/>
                    </w:rPr>
                    <w:t>11</w:t>
                  </w:r>
                  <w:r>
                    <w:rPr>
                      <w:rFonts w:hint="default" w:ascii="Times New Roman" w:hAnsi="Times New Roman" w:eastAsia="宋体" w:cs="Times New Roman"/>
                      <w:color w:val="auto"/>
                      <w:kern w:val="0"/>
                      <w:szCs w:val="21"/>
                      <w:highlight w:val="none"/>
                      <w:lang w:val="en-US" w:eastAsia="zh-CN"/>
                    </w:rPr>
                    <w:t>日</w:t>
                  </w:r>
                </w:p>
              </w:tc>
              <w:tc>
                <w:tcPr>
                  <w:tcW w:w="1140" w:type="dxa"/>
                  <w:vAlign w:val="center"/>
                </w:tcPr>
                <w:p w14:paraId="666DB57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芜湖县环保局</w:t>
                  </w:r>
                </w:p>
              </w:tc>
              <w:tc>
                <w:tcPr>
                  <w:tcW w:w="1049" w:type="dxa"/>
                  <w:vAlign w:val="center"/>
                </w:tcPr>
                <w:p w14:paraId="7B3FFD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环行审[2019]47号</w:t>
                  </w:r>
                </w:p>
              </w:tc>
              <w:tc>
                <w:tcPr>
                  <w:tcW w:w="1110" w:type="dxa"/>
                  <w:vAlign w:val="center"/>
                </w:tcPr>
                <w:p w14:paraId="1D4B2C0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202</w:t>
                  </w:r>
                  <w:r>
                    <w:rPr>
                      <w:rFonts w:hint="eastAsia" w:cs="Times New Roman"/>
                      <w:color w:val="auto"/>
                      <w:kern w:val="0"/>
                      <w:szCs w:val="21"/>
                      <w:highlight w:val="none"/>
                      <w:lang w:val="en-US" w:eastAsia="zh-CN"/>
                    </w:rPr>
                    <w:t>0</w:t>
                  </w:r>
                  <w:r>
                    <w:rPr>
                      <w:rFonts w:hint="default" w:ascii="Times New Roman" w:hAnsi="Times New Roman" w:cs="Times New Roman"/>
                      <w:color w:val="auto"/>
                      <w:kern w:val="0"/>
                      <w:szCs w:val="21"/>
                      <w:highlight w:val="none"/>
                    </w:rPr>
                    <w:t>年</w:t>
                  </w:r>
                  <w:r>
                    <w:rPr>
                      <w:rFonts w:hint="eastAsia" w:cs="Times New Roman"/>
                      <w:color w:val="auto"/>
                      <w:kern w:val="0"/>
                      <w:szCs w:val="21"/>
                      <w:highlight w:val="none"/>
                      <w:lang w:val="en-US" w:eastAsia="zh-CN"/>
                    </w:rPr>
                    <w:t>7</w:t>
                  </w:r>
                  <w:r>
                    <w:rPr>
                      <w:rFonts w:hint="default" w:ascii="Times New Roman" w:hAnsi="Times New Roman" w:cs="Times New Roman"/>
                      <w:color w:val="auto"/>
                      <w:kern w:val="0"/>
                      <w:szCs w:val="21"/>
                      <w:highlight w:val="none"/>
                    </w:rPr>
                    <w:t>月</w:t>
                  </w:r>
                  <w:r>
                    <w:rPr>
                      <w:rFonts w:hint="eastAsia" w:cs="Times New Roman"/>
                      <w:color w:val="auto"/>
                      <w:kern w:val="0"/>
                      <w:szCs w:val="21"/>
                      <w:highlight w:val="none"/>
                      <w:lang w:val="en-US" w:eastAsia="zh-CN"/>
                    </w:rPr>
                    <w:t>11</w:t>
                  </w:r>
                  <w:r>
                    <w:rPr>
                      <w:rFonts w:hint="default" w:ascii="Times New Roman" w:hAnsi="Times New Roman" w:cs="Times New Roman"/>
                      <w:color w:val="auto"/>
                      <w:kern w:val="0"/>
                      <w:szCs w:val="21"/>
                      <w:highlight w:val="none"/>
                    </w:rPr>
                    <w:t>日完成阶段性自主验收</w:t>
                  </w:r>
                </w:p>
              </w:tc>
              <w:tc>
                <w:tcPr>
                  <w:tcW w:w="989" w:type="dxa"/>
                  <w:vAlign w:val="center"/>
                </w:tcPr>
                <w:p w14:paraId="71A0FC2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Cs/>
                      <w:color w:val="auto"/>
                      <w:szCs w:val="21"/>
                      <w:highlight w:val="none"/>
                    </w:rPr>
                    <w:t>/</w:t>
                  </w:r>
                </w:p>
              </w:tc>
              <w:tc>
                <w:tcPr>
                  <w:tcW w:w="1063" w:type="dxa"/>
                  <w:vAlign w:val="center"/>
                </w:tcPr>
                <w:p w14:paraId="1EE3C9B2">
                  <w:pPr>
                    <w:keepNext w:val="0"/>
                    <w:keepLines w:val="0"/>
                    <w:suppressLineNumbers w:val="0"/>
                    <w:shd w:val="clear" w:color="auto" w:fill="FFFFFF"/>
                    <w:adjustRightInd w:val="0"/>
                    <w:spacing w:before="0" w:beforeAutospacing="0" w:after="0" w:afterAutospacing="0"/>
                    <w:ind w:left="42" w:leftChars="20" w:right="42" w:rightChars="2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w:t>
                  </w:r>
                </w:p>
              </w:tc>
            </w:tr>
          </w:tbl>
          <w:p w14:paraId="01A6B5B7">
            <w:pPr>
              <w:keepNext w:val="0"/>
              <w:keepLines w:val="0"/>
              <w:suppressLineNumbers w:val="0"/>
              <w:autoSpaceDE w:val="0"/>
              <w:autoSpaceDN w:val="0"/>
              <w:adjustRightInd w:val="0"/>
              <w:snapToGrid w:val="0"/>
              <w:spacing w:before="120" w:beforeLines="50" w:beforeAutospacing="0" w:after="0" w:afterAutospacing="0" w:line="360" w:lineRule="auto"/>
              <w:ind w:left="0" w:right="0" w:firstLine="420" w:firstLineChars="200"/>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注：</w:t>
            </w:r>
            <w:r>
              <w:rPr>
                <w:rFonts w:hint="eastAsia" w:ascii="Times New Roman" w:hAnsi="Times New Roman" w:eastAsia="宋体" w:cs="Times New Roman"/>
                <w:color w:val="auto"/>
                <w:sz w:val="21"/>
                <w:szCs w:val="21"/>
                <w:highlight w:val="none"/>
                <w:lang w:val="en-US" w:eastAsia="zh-CN"/>
              </w:rPr>
              <w:t>2020年7月完成的阶段性自主验收内容中涉及喷粉、固化工序均已委外，现有厂区内仅剩机加工设备</w:t>
            </w:r>
            <w:r>
              <w:rPr>
                <w:rFonts w:hint="default" w:ascii="Times New Roman" w:hAnsi="Times New Roman" w:eastAsia="宋体" w:cs="Times New Roman"/>
                <w:color w:val="auto"/>
                <w:sz w:val="21"/>
                <w:szCs w:val="21"/>
                <w:highlight w:val="none"/>
                <w:lang w:val="en-US" w:eastAsia="zh-CN"/>
              </w:rPr>
              <w:t>。</w:t>
            </w:r>
          </w:p>
          <w:p w14:paraId="4D488ACB">
            <w:pPr>
              <w:keepNext w:val="0"/>
              <w:keepLines w:val="0"/>
              <w:pageBreakBefore w:val="0"/>
              <w:widowControl w:val="0"/>
              <w:numPr>
                <w:ilvl w:val="0"/>
                <w:numId w:val="14"/>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2" w:firstLineChars="200"/>
              <w:textAlignment w:val="auto"/>
              <w:rPr>
                <w:rFonts w:hint="eastAsia" w:ascii="Times New Roman" w:hAnsi="Times New Roman" w:eastAsia="宋体" w:cs="Times New Roman"/>
                <w:b/>
                <w:color w:val="auto"/>
                <w:kern w:val="0"/>
                <w:sz w:val="24"/>
                <w:highlight w:val="none"/>
                <w:lang w:val="en-US" w:eastAsia="zh-CN"/>
              </w:rPr>
            </w:pPr>
            <w:r>
              <w:rPr>
                <w:rFonts w:hint="eastAsia" w:ascii="Times New Roman" w:hAnsi="Times New Roman" w:eastAsia="宋体" w:cs="Times New Roman"/>
                <w:b/>
                <w:color w:val="auto"/>
                <w:kern w:val="0"/>
                <w:sz w:val="24"/>
                <w:highlight w:val="none"/>
                <w:lang w:val="en-US" w:eastAsia="zh-CN"/>
              </w:rPr>
              <w:t>排污许可申报情况</w:t>
            </w:r>
          </w:p>
          <w:p w14:paraId="7BE0A8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企业于202</w:t>
            </w:r>
            <w:r>
              <w:rPr>
                <w:rFonts w:hint="eastAsia" w:cs="Times New Roman"/>
                <w:color w:val="auto"/>
                <w:sz w:val="24"/>
                <w:szCs w:val="24"/>
                <w:lang w:val="en-US" w:eastAsia="zh-CN"/>
              </w:rPr>
              <w:t>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0</w:t>
            </w:r>
            <w:r>
              <w:rPr>
                <w:rFonts w:hint="eastAsia" w:cs="Times New Roman"/>
                <w:color w:val="auto"/>
                <w:sz w:val="24"/>
                <w:szCs w:val="24"/>
                <w:lang w:val="en-US" w:eastAsia="zh-CN"/>
              </w:rPr>
              <w:t>5</w:t>
            </w:r>
            <w:r>
              <w:rPr>
                <w:rFonts w:hint="default" w:ascii="Times New Roman" w:hAnsi="Times New Roman" w:cs="Times New Roman"/>
                <w:color w:val="auto"/>
                <w:sz w:val="24"/>
                <w:szCs w:val="24"/>
                <w:lang w:val="en-US" w:eastAsia="zh-CN"/>
              </w:rPr>
              <w:t>月</w:t>
            </w:r>
            <w:r>
              <w:rPr>
                <w:rFonts w:hint="eastAsia" w:cs="Times New Roman"/>
                <w:color w:val="auto"/>
                <w:sz w:val="24"/>
                <w:szCs w:val="24"/>
                <w:lang w:val="en-US" w:eastAsia="zh-CN"/>
              </w:rPr>
              <w:t>27</w:t>
            </w:r>
            <w:r>
              <w:rPr>
                <w:rFonts w:hint="default" w:ascii="Times New Roman" w:hAnsi="Times New Roman" w:cs="Times New Roman"/>
                <w:color w:val="auto"/>
                <w:sz w:val="24"/>
                <w:szCs w:val="24"/>
                <w:lang w:val="en-US" w:eastAsia="zh-CN"/>
              </w:rPr>
              <w:t>日在全国排污许可证管理信息平台进行首次排污登记，登记编号为</w:t>
            </w:r>
            <w:r>
              <w:rPr>
                <w:rFonts w:hint="eastAsia" w:cs="Times New Roman"/>
                <w:color w:val="auto"/>
                <w:sz w:val="24"/>
                <w:szCs w:val="24"/>
                <w:lang w:val="en-US" w:eastAsia="zh-CN"/>
              </w:rPr>
              <w:t>91340221MA2NUQJM78002X</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有效期限为</w:t>
            </w:r>
            <w:r>
              <w:rPr>
                <w:rFonts w:hint="eastAsia" w:ascii="Times New Roman" w:hAnsi="Times New Roman" w:cs="Times New Roman"/>
                <w:color w:val="auto"/>
                <w:sz w:val="24"/>
                <w:szCs w:val="24"/>
                <w:lang w:val="en-US" w:eastAsia="zh-CN"/>
              </w:rPr>
              <w:t>202</w:t>
            </w:r>
            <w:r>
              <w:rPr>
                <w:rFonts w:hint="eastAsia" w:cs="Times New Roman"/>
                <w:color w:val="auto"/>
                <w:sz w:val="24"/>
                <w:szCs w:val="24"/>
                <w:lang w:val="en-US" w:eastAsia="zh-CN"/>
              </w:rPr>
              <w:t>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0</w:t>
            </w:r>
            <w:r>
              <w:rPr>
                <w:rFonts w:hint="eastAsia" w:cs="Times New Roman"/>
                <w:color w:val="auto"/>
                <w:sz w:val="24"/>
                <w:szCs w:val="24"/>
                <w:lang w:val="en-US" w:eastAsia="zh-CN"/>
              </w:rPr>
              <w:t>5</w:t>
            </w:r>
            <w:r>
              <w:rPr>
                <w:rFonts w:hint="default" w:ascii="Times New Roman" w:hAnsi="Times New Roman" w:cs="Times New Roman"/>
                <w:color w:val="auto"/>
                <w:sz w:val="24"/>
                <w:szCs w:val="24"/>
                <w:lang w:val="en-US" w:eastAsia="zh-CN"/>
              </w:rPr>
              <w:t>月</w:t>
            </w:r>
            <w:r>
              <w:rPr>
                <w:rFonts w:hint="eastAsia" w:cs="Times New Roman"/>
                <w:color w:val="auto"/>
                <w:sz w:val="24"/>
                <w:szCs w:val="24"/>
                <w:lang w:val="en-US" w:eastAsia="zh-CN"/>
              </w:rPr>
              <w:t>27</w:t>
            </w:r>
            <w:r>
              <w:rPr>
                <w:rFonts w:hint="default" w:ascii="Times New Roman" w:hAnsi="Times New Roman" w:cs="Times New Roman"/>
                <w:color w:val="auto"/>
                <w:sz w:val="24"/>
                <w:szCs w:val="24"/>
                <w:lang w:val="en-US" w:eastAsia="zh-CN"/>
              </w:rPr>
              <w:t>日至202</w:t>
            </w:r>
            <w:r>
              <w:rPr>
                <w:rFonts w:hint="eastAsia" w:cs="Times New Roman"/>
                <w:color w:val="auto"/>
                <w:sz w:val="24"/>
                <w:szCs w:val="24"/>
                <w:lang w:val="en-US" w:eastAsia="zh-CN"/>
              </w:rPr>
              <w:t>5</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0</w:t>
            </w:r>
            <w:r>
              <w:rPr>
                <w:rFonts w:hint="eastAsia" w:cs="Times New Roman"/>
                <w:color w:val="auto"/>
                <w:sz w:val="24"/>
                <w:szCs w:val="24"/>
                <w:lang w:val="en-US" w:eastAsia="zh-CN"/>
              </w:rPr>
              <w:t>5</w:t>
            </w:r>
            <w:r>
              <w:rPr>
                <w:rFonts w:hint="default" w:ascii="Times New Roman" w:hAnsi="Times New Roman" w:cs="Times New Roman"/>
                <w:color w:val="auto"/>
                <w:sz w:val="24"/>
                <w:szCs w:val="24"/>
                <w:lang w:val="en-US" w:eastAsia="zh-CN"/>
              </w:rPr>
              <w:t>月</w:t>
            </w:r>
            <w:r>
              <w:rPr>
                <w:rFonts w:hint="eastAsia" w:cs="Times New Roman"/>
                <w:color w:val="auto"/>
                <w:sz w:val="24"/>
                <w:szCs w:val="24"/>
                <w:lang w:val="en-US" w:eastAsia="zh-CN"/>
              </w:rPr>
              <w:t>26</w:t>
            </w:r>
            <w:r>
              <w:rPr>
                <w:rFonts w:hint="default" w:ascii="Times New Roman" w:hAnsi="Times New Roman" w:cs="Times New Roman"/>
                <w:color w:val="auto"/>
                <w:sz w:val="24"/>
                <w:szCs w:val="24"/>
                <w:lang w:val="en-US" w:eastAsia="zh-CN"/>
              </w:rPr>
              <w:t>日。</w:t>
            </w:r>
          </w:p>
          <w:p w14:paraId="76E6245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2、现有项目主要生产工艺</w:t>
            </w:r>
          </w:p>
          <w:p w14:paraId="47B8BD8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8"/>
                <w:szCs w:val="28"/>
                <w:highlight w:val="none"/>
              </w:rPr>
            </w:pPr>
            <w:r>
              <w:rPr>
                <w:rFonts w:hint="default" w:ascii="Times New Roman" w:hAnsi="Times New Roman" w:cs="Times New Roman"/>
                <w:color w:val="auto"/>
                <w:sz w:val="24"/>
                <w:highlight w:val="none"/>
              </w:rPr>
              <w:t>根据现有项目环评报告及验收报告，现有项目具体工艺流程如下：</w:t>
            </w:r>
          </w:p>
          <w:p w14:paraId="327F4C2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object>
                <v:shape id="_x0000_i1029" o:spt="75" type="#_x0000_t75" style="height:488.25pt;width:330pt;" o:ole="t" filled="f" o:preferrelative="t" stroked="f" coordsize="21600,21600">
                  <v:path/>
                  <v:fill on="f" focussize="0,0"/>
                  <v:stroke on="f"/>
                  <v:imagedata r:id="rId20" o:title=""/>
                  <o:lock v:ext="edit" aspectratio="f"/>
                  <w10:wrap type="none"/>
                  <w10:anchorlock/>
                </v:shape>
                <o:OLEObject Type="Embed" ProgID="Visio.Drawing.11" ShapeID="_x0000_i1029" DrawAspect="Content" ObjectID="_1468075729" r:id="rId19">
                  <o:LockedField>false</o:LockedField>
                </o:OLEObject>
              </w:object>
            </w:r>
          </w:p>
          <w:p w14:paraId="54867D1D">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Cs/>
                <w:iCs/>
                <w:color w:val="auto"/>
                <w:kern w:val="0"/>
                <w:sz w:val="24"/>
                <w:highlight w:val="none"/>
              </w:rPr>
            </w:pPr>
            <w:r>
              <w:rPr>
                <w:rFonts w:hint="default" w:ascii="Times New Roman" w:hAnsi="Times New Roman" w:cs="Times New Roman"/>
                <w:b/>
                <w:color w:val="auto"/>
                <w:sz w:val="24"/>
                <w:highlight w:val="none"/>
              </w:rPr>
              <w:t>图2-</w:t>
            </w:r>
            <w:r>
              <w:rPr>
                <w:rFonts w:hint="eastAsia" w:cs="Times New Roman"/>
                <w:b/>
                <w:color w:val="auto"/>
                <w:sz w:val="24"/>
                <w:highlight w:val="none"/>
                <w:lang w:val="en-US" w:eastAsia="zh-CN"/>
              </w:rPr>
              <w:t>5</w:t>
            </w:r>
            <w:r>
              <w:rPr>
                <w:rFonts w:hint="default" w:ascii="Times New Roman" w:hAnsi="Times New Roman" w:cs="Times New Roman"/>
                <w:b/>
                <w:color w:val="auto"/>
                <w:sz w:val="24"/>
                <w:highlight w:val="none"/>
              </w:rPr>
              <w:t xml:space="preserve">   </w:t>
            </w:r>
            <w:r>
              <w:rPr>
                <w:rFonts w:hint="eastAsia" w:cs="Times New Roman"/>
                <w:b/>
                <w:color w:val="auto"/>
                <w:sz w:val="24"/>
                <w:highlight w:val="none"/>
                <w:lang w:val="en-US" w:eastAsia="zh-CN"/>
              </w:rPr>
              <w:t>现有项目生产</w:t>
            </w:r>
            <w:r>
              <w:rPr>
                <w:rFonts w:hint="default" w:ascii="Times New Roman" w:hAnsi="Times New Roman" w:cs="Times New Roman"/>
                <w:b/>
                <w:color w:val="auto"/>
                <w:sz w:val="24"/>
                <w:highlight w:val="none"/>
              </w:rPr>
              <w:t>工艺流程及产污节点图</w:t>
            </w:r>
          </w:p>
          <w:p w14:paraId="1895BD13">
            <w:pPr>
              <w:keepNext w:val="0"/>
              <w:keepLines w:val="0"/>
              <w:numPr>
                <w:ilvl w:val="0"/>
                <w:numId w:val="15"/>
              </w:numPr>
              <w:suppressLineNumbers w:val="0"/>
              <w:spacing w:before="0" w:beforeAutospacing="0" w:after="0" w:afterAutospacing="0" w:line="360" w:lineRule="auto"/>
              <w:ind w:left="240" w:leftChars="0" w:right="0" w:firstLine="0" w:firstLine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机加工</w:t>
            </w:r>
          </w:p>
          <w:p w14:paraId="376D33EC">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利用</w:t>
            </w:r>
            <w:r>
              <w:rPr>
                <w:rFonts w:hint="default" w:ascii="Times New Roman" w:hAnsi="Times New Roman" w:cs="Times New Roman"/>
                <w:sz w:val="24"/>
                <w:szCs w:val="24"/>
                <w:lang w:val="en-US" w:eastAsia="zh-CN"/>
              </w:rPr>
              <w:t>数控车床、大型、小型加工中心、电动攻丝机等设备</w:t>
            </w:r>
            <w:r>
              <w:rPr>
                <w:rFonts w:hint="eastAsia" w:ascii="Times New Roman" w:hAnsi="Times New Roman" w:cs="Times New Roman"/>
                <w:sz w:val="24"/>
                <w:szCs w:val="24"/>
                <w:lang w:val="en-US" w:eastAsia="zh-CN"/>
              </w:rPr>
              <w:t>对来料</w:t>
            </w:r>
            <w:r>
              <w:rPr>
                <w:rFonts w:hint="default" w:ascii="Times New Roman" w:hAnsi="Times New Roman" w:cs="Times New Roman"/>
                <w:sz w:val="24"/>
                <w:szCs w:val="24"/>
              </w:rPr>
              <w:t>进行</w:t>
            </w:r>
            <w:r>
              <w:rPr>
                <w:rFonts w:hint="default" w:ascii="Times New Roman" w:hAnsi="Times New Roman" w:cs="Times New Roman"/>
                <w:sz w:val="24"/>
                <w:szCs w:val="24"/>
                <w:lang w:val="en-US" w:eastAsia="zh-CN"/>
              </w:rPr>
              <w:t>机</w:t>
            </w:r>
            <w:r>
              <w:rPr>
                <w:rFonts w:hint="default" w:ascii="Times New Roman" w:hAnsi="Times New Roman" w:cs="Times New Roman"/>
                <w:sz w:val="24"/>
                <w:szCs w:val="24"/>
              </w:rPr>
              <w:t>加工</w:t>
            </w:r>
            <w:r>
              <w:rPr>
                <w:rFonts w:hint="default" w:ascii="Times New Roman" w:hAnsi="Times New Roman" w:cs="Times New Roman"/>
                <w:sz w:val="24"/>
                <w:szCs w:val="24"/>
                <w:lang w:val="en-US" w:eastAsia="zh-CN"/>
              </w:rPr>
              <w:t>。机</w:t>
            </w:r>
            <w:r>
              <w:rPr>
                <w:rFonts w:hint="default" w:ascii="Times New Roman" w:hAnsi="Times New Roman" w:cs="Times New Roman"/>
                <w:sz w:val="24"/>
                <w:szCs w:val="24"/>
              </w:rPr>
              <w:t>加工</w:t>
            </w:r>
            <w:r>
              <w:rPr>
                <w:rFonts w:hint="default" w:ascii="Times New Roman" w:hAnsi="Times New Roman" w:cs="Times New Roman"/>
                <w:sz w:val="24"/>
                <w:szCs w:val="24"/>
                <w:lang w:val="en-US" w:eastAsia="zh-CN"/>
              </w:rPr>
              <w:t>为湿式作业</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切削液与水配比使用，</w:t>
            </w:r>
            <w:r>
              <w:rPr>
                <w:rFonts w:hint="default" w:ascii="Times New Roman" w:hAnsi="Times New Roman" w:cs="Times New Roman"/>
                <w:sz w:val="24"/>
                <w:szCs w:val="24"/>
                <w:lang w:eastAsia="zh-CN"/>
              </w:rPr>
              <w:t>切削</w:t>
            </w:r>
            <w:r>
              <w:rPr>
                <w:rFonts w:hint="default" w:ascii="Times New Roman" w:hAnsi="Times New Roman" w:cs="Times New Roman"/>
                <w:sz w:val="24"/>
                <w:szCs w:val="24"/>
                <w:lang w:val="en-US" w:eastAsia="zh-CN"/>
              </w:rPr>
              <w:t>液：水=1:20。此工序</w:t>
            </w:r>
            <w:r>
              <w:rPr>
                <w:rFonts w:hint="default" w:ascii="Times New Roman" w:hAnsi="Times New Roman" w:cs="Times New Roman"/>
                <w:sz w:val="24"/>
                <w:szCs w:val="24"/>
              </w:rPr>
              <w:t>产生废金属屑</w:t>
            </w:r>
            <w:r>
              <w:rPr>
                <w:rFonts w:hint="default" w:ascii="Times New Roman" w:hAnsi="Times New Roman" w:cs="Times New Roman"/>
                <w:sz w:val="24"/>
                <w:szCs w:val="24"/>
                <w:lang w:eastAsia="zh-CN"/>
              </w:rPr>
              <w:t>及边角料</w:t>
            </w:r>
            <w:r>
              <w:rPr>
                <w:rFonts w:hint="eastAsia" w:ascii="Times New Roman" w:hAnsi="Times New Roman" w:cs="Times New Roman"/>
                <w:sz w:val="24"/>
                <w:szCs w:val="24"/>
                <w:lang w:val="en-US" w:eastAsia="zh-CN"/>
              </w:rPr>
              <w:t>S1</w:t>
            </w:r>
            <w:r>
              <w:rPr>
                <w:rFonts w:hint="default" w:ascii="Times New Roman" w:hAnsi="Times New Roman" w:cs="Times New Roman"/>
                <w:sz w:val="24"/>
                <w:szCs w:val="24"/>
                <w:lang w:val="en-US" w:eastAsia="zh-CN"/>
              </w:rPr>
              <w:t>、废切削液</w:t>
            </w:r>
            <w:r>
              <w:rPr>
                <w:rFonts w:hint="eastAsia" w:ascii="Times New Roman" w:hAnsi="Times New Roman" w:cs="Times New Roman"/>
                <w:sz w:val="24"/>
                <w:szCs w:val="24"/>
                <w:lang w:val="en-US" w:eastAsia="zh-CN"/>
              </w:rPr>
              <w:t>S2</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lang w:eastAsia="zh-CN"/>
              </w:rPr>
              <w:t>废化学品包装桶</w:t>
            </w:r>
            <w:r>
              <w:rPr>
                <w:rFonts w:hint="eastAsia" w:ascii="Times New Roman" w:hAnsi="Times New Roman" w:cs="Times New Roman"/>
                <w:sz w:val="24"/>
                <w:szCs w:val="24"/>
                <w:lang w:val="en-US" w:eastAsia="zh-CN"/>
              </w:rPr>
              <w:t>S3</w:t>
            </w:r>
            <w:r>
              <w:rPr>
                <w:rFonts w:hint="default" w:ascii="Times New Roman" w:hAnsi="Times New Roman" w:cs="Times New Roman"/>
                <w:sz w:val="24"/>
                <w:szCs w:val="24"/>
                <w:lang w:val="en-US" w:eastAsia="zh-CN"/>
              </w:rPr>
              <w:t>、含油金属屑</w:t>
            </w:r>
            <w:r>
              <w:rPr>
                <w:rFonts w:hint="eastAsia" w:ascii="Times New Roman" w:hAnsi="Times New Roman" w:cs="Times New Roman"/>
                <w:sz w:val="24"/>
                <w:szCs w:val="24"/>
                <w:lang w:val="en-US" w:eastAsia="zh-CN"/>
              </w:rPr>
              <w:t>S4</w:t>
            </w:r>
            <w:r>
              <w:rPr>
                <w:rFonts w:hint="default" w:ascii="Times New Roman" w:hAnsi="Times New Roman" w:cs="Times New Roman"/>
                <w:sz w:val="24"/>
                <w:szCs w:val="24"/>
              </w:rPr>
              <w:t>和设备噪声N。</w:t>
            </w:r>
          </w:p>
          <w:p w14:paraId="25B50EB2">
            <w:pPr>
              <w:keepNext w:val="0"/>
              <w:keepLines w:val="0"/>
              <w:numPr>
                <w:ilvl w:val="0"/>
                <w:numId w:val="15"/>
              </w:numPr>
              <w:suppressLineNumbers w:val="0"/>
              <w:spacing w:before="0" w:beforeAutospacing="0" w:after="0" w:afterAutospacing="0" w:line="360" w:lineRule="auto"/>
              <w:ind w:left="240" w:leftChars="0" w:right="0" w:firstLine="0" w:firstLineChars="0"/>
              <w:rPr>
                <w:rFonts w:hint="default" w:ascii="Times New Roman" w:hAnsi="Times New Roman" w:cs="Times New Roman"/>
                <w:sz w:val="24"/>
                <w:szCs w:val="24"/>
                <w:lang w:val="en-US" w:eastAsia="zh-CN"/>
              </w:rPr>
            </w:pPr>
            <w:r>
              <w:rPr>
                <w:rFonts w:hint="eastAsia" w:cs="Times New Roman"/>
                <w:sz w:val="24"/>
                <w:szCs w:val="24"/>
                <w:lang w:val="en-US" w:eastAsia="zh-CN"/>
              </w:rPr>
              <w:t>喷粉</w:t>
            </w:r>
            <w:r>
              <w:rPr>
                <w:rFonts w:hint="eastAsia" w:ascii="Times New Roman" w:hAnsi="Times New Roman" w:cs="Times New Roman"/>
                <w:sz w:val="24"/>
                <w:szCs w:val="24"/>
                <w:lang w:val="en-US" w:eastAsia="zh-CN"/>
              </w:rPr>
              <w:t>、</w:t>
            </w:r>
            <w:r>
              <w:rPr>
                <w:rFonts w:hint="eastAsia" w:cs="Times New Roman"/>
                <w:sz w:val="24"/>
                <w:szCs w:val="24"/>
                <w:lang w:val="en-US" w:eastAsia="zh-CN"/>
              </w:rPr>
              <w:t>固化</w:t>
            </w:r>
            <w:r>
              <w:rPr>
                <w:rFonts w:hint="eastAsia" w:ascii="Times New Roman" w:hAnsi="Times New Roman" w:cs="Times New Roman"/>
                <w:sz w:val="24"/>
                <w:szCs w:val="24"/>
                <w:lang w:val="en-US" w:eastAsia="zh-CN"/>
              </w:rPr>
              <w:t>、打磨、喷砂/抛丸、超声波清洗、阳极氧化（委外）</w:t>
            </w:r>
          </w:p>
          <w:p w14:paraId="756900F3">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本项目打磨、喷砂/抛丸、超声波清洗、阳极氧化工序均委外，本次评价不做具体分析。</w:t>
            </w:r>
          </w:p>
          <w:p w14:paraId="204549F8">
            <w:pPr>
              <w:pStyle w:val="5"/>
              <w:suppressLineNumbers w:val="0"/>
              <w:spacing w:beforeAutospacing="0" w:afterAutospacing="0"/>
              <w:ind w:left="0" w:right="0" w:firstLine="482"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3、现有项目采取的污染防治措施</w:t>
            </w:r>
          </w:p>
          <w:p w14:paraId="43EC7C96">
            <w:pPr>
              <w:keepNext w:val="0"/>
              <w:keepLines w:val="0"/>
              <w:widowControl/>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b/>
                <w:bCs/>
                <w:color w:val="auto"/>
                <w:kern w:val="0"/>
                <w:sz w:val="24"/>
                <w:szCs w:val="20"/>
                <w:highlight w:val="none"/>
                <w:lang w:val="zh-CN"/>
              </w:rPr>
            </w:pPr>
            <w:r>
              <w:rPr>
                <w:rFonts w:hint="default" w:ascii="Times New Roman" w:hAnsi="Times New Roman" w:cs="Times New Roman" w:eastAsiaTheme="minorEastAsia"/>
                <w:b/>
                <w:bCs/>
                <w:color w:val="auto"/>
                <w:kern w:val="0"/>
                <w:sz w:val="24"/>
                <w:szCs w:val="20"/>
                <w:highlight w:val="none"/>
                <w:lang w:val="zh-CN"/>
              </w:rPr>
              <w:t>表2-1</w:t>
            </w:r>
            <w:r>
              <w:rPr>
                <w:rFonts w:hint="eastAsia" w:cs="Times New Roman" w:eastAsiaTheme="minorEastAsia"/>
                <w:b/>
                <w:bCs/>
                <w:color w:val="auto"/>
                <w:kern w:val="0"/>
                <w:sz w:val="24"/>
                <w:szCs w:val="20"/>
                <w:highlight w:val="none"/>
                <w:lang w:val="en-US" w:eastAsia="zh-CN"/>
              </w:rPr>
              <w:t>8</w:t>
            </w:r>
            <w:r>
              <w:rPr>
                <w:rFonts w:hint="default" w:ascii="Times New Roman" w:hAnsi="Times New Roman" w:cs="Times New Roman" w:eastAsiaTheme="minorEastAsia"/>
                <w:b/>
                <w:bCs/>
                <w:color w:val="auto"/>
                <w:kern w:val="0"/>
                <w:sz w:val="24"/>
                <w:szCs w:val="20"/>
                <w:highlight w:val="none"/>
                <w:lang w:val="zh-CN"/>
              </w:rPr>
              <w:t xml:space="preserve">  现有项目采取的污染防治措施一览表</w:t>
            </w:r>
          </w:p>
          <w:tbl>
            <w:tblPr>
              <w:tblStyle w:val="61"/>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7" w:type="dxa"/>
                <w:bottom w:w="0" w:type="dxa"/>
                <w:right w:w="17" w:type="dxa"/>
              </w:tblCellMar>
            </w:tblPr>
            <w:tblGrid>
              <w:gridCol w:w="1076"/>
              <w:gridCol w:w="2164"/>
              <w:gridCol w:w="1713"/>
              <w:gridCol w:w="3427"/>
            </w:tblGrid>
            <w:tr w14:paraId="1DADF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15" w:hRule="atLeast"/>
                <w:jc w:val="center"/>
              </w:trPr>
              <w:tc>
                <w:tcPr>
                  <w:tcW w:w="1076" w:type="dxa"/>
                  <w:vAlign w:val="center"/>
                </w:tcPr>
                <w:p w14:paraId="68C9BB72">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pacing w:val="-4"/>
                      <w:szCs w:val="21"/>
                      <w:highlight w:val="none"/>
                    </w:rPr>
                  </w:pPr>
                  <w:r>
                    <w:rPr>
                      <w:rFonts w:hint="default" w:ascii="Times New Roman" w:hAnsi="Times New Roman" w:cs="Times New Roman"/>
                      <w:b/>
                      <w:bCs/>
                      <w:color w:val="auto"/>
                      <w:spacing w:val="-4"/>
                      <w:szCs w:val="21"/>
                      <w:highlight w:val="none"/>
                    </w:rPr>
                    <w:t>污染类别</w:t>
                  </w:r>
                </w:p>
              </w:tc>
              <w:tc>
                <w:tcPr>
                  <w:tcW w:w="2164" w:type="dxa"/>
                  <w:vAlign w:val="center"/>
                </w:tcPr>
                <w:p w14:paraId="4A876131">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pacing w:val="-4"/>
                      <w:szCs w:val="21"/>
                      <w:highlight w:val="none"/>
                    </w:rPr>
                  </w:pPr>
                  <w:r>
                    <w:rPr>
                      <w:rFonts w:hint="default" w:ascii="Times New Roman" w:hAnsi="Times New Roman" w:cs="Times New Roman"/>
                      <w:b/>
                      <w:bCs/>
                      <w:color w:val="auto"/>
                      <w:spacing w:val="-4"/>
                      <w:szCs w:val="21"/>
                      <w:highlight w:val="none"/>
                    </w:rPr>
                    <w:t>污染源名称</w:t>
                  </w:r>
                </w:p>
              </w:tc>
              <w:tc>
                <w:tcPr>
                  <w:tcW w:w="1713" w:type="dxa"/>
                  <w:vAlign w:val="center"/>
                </w:tcPr>
                <w:p w14:paraId="298082AB">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pacing w:val="-4"/>
                      <w:szCs w:val="21"/>
                      <w:highlight w:val="none"/>
                    </w:rPr>
                  </w:pPr>
                  <w:r>
                    <w:rPr>
                      <w:rFonts w:hint="default" w:ascii="Times New Roman" w:hAnsi="Times New Roman" w:cs="Times New Roman"/>
                      <w:b/>
                      <w:bCs/>
                      <w:color w:val="auto"/>
                      <w:spacing w:val="-4"/>
                      <w:szCs w:val="21"/>
                      <w:highlight w:val="none"/>
                    </w:rPr>
                    <w:t>主要污染因子</w:t>
                  </w:r>
                </w:p>
              </w:tc>
              <w:tc>
                <w:tcPr>
                  <w:tcW w:w="3427" w:type="dxa"/>
                  <w:vAlign w:val="center"/>
                </w:tcPr>
                <w:p w14:paraId="6F5C397C">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pacing w:val="-4"/>
                      <w:szCs w:val="21"/>
                      <w:highlight w:val="none"/>
                    </w:rPr>
                  </w:pPr>
                  <w:r>
                    <w:rPr>
                      <w:rFonts w:hint="default" w:ascii="Times New Roman" w:hAnsi="Times New Roman" w:cs="Times New Roman"/>
                      <w:b/>
                      <w:bCs/>
                      <w:color w:val="auto"/>
                      <w:spacing w:val="-4"/>
                      <w:szCs w:val="21"/>
                      <w:highlight w:val="none"/>
                    </w:rPr>
                    <w:t>污染防治措施</w:t>
                  </w:r>
                </w:p>
              </w:tc>
            </w:tr>
            <w:tr w14:paraId="4E5F0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1076" w:type="dxa"/>
                  <w:vAlign w:val="center"/>
                </w:tcPr>
                <w:p w14:paraId="64A39AA2">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rPr>
                    <w:t>废气</w:t>
                  </w:r>
                </w:p>
              </w:tc>
              <w:tc>
                <w:tcPr>
                  <w:tcW w:w="2164" w:type="dxa"/>
                  <w:shd w:val="clear" w:color="auto" w:fill="auto"/>
                  <w:vAlign w:val="center"/>
                </w:tcPr>
                <w:p w14:paraId="7474DE9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zCs w:val="21"/>
                      <w:highlight w:val="none"/>
                      <w:lang w:val="en-US" w:eastAsia="zh-CN"/>
                    </w:rPr>
                  </w:pPr>
                  <w:r>
                    <w:rPr>
                      <w:rFonts w:hint="eastAsia" w:cs="Times New Roman"/>
                      <w:bCs/>
                      <w:color w:val="auto"/>
                      <w:szCs w:val="21"/>
                      <w:highlight w:val="none"/>
                      <w:lang w:val="en-US" w:eastAsia="zh-CN"/>
                    </w:rPr>
                    <w:t>/</w:t>
                  </w:r>
                </w:p>
              </w:tc>
              <w:tc>
                <w:tcPr>
                  <w:tcW w:w="1713" w:type="dxa"/>
                  <w:vAlign w:val="center"/>
                </w:tcPr>
                <w:p w14:paraId="1337928A">
                  <w:pPr>
                    <w:keepNext w:val="0"/>
                    <w:keepLines w:val="0"/>
                    <w:suppressLineNumbers w:val="0"/>
                    <w:spacing w:before="0" w:beforeAutospacing="0" w:after="0" w:afterAutospacing="0" w:line="320" w:lineRule="exact"/>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bCs/>
                      <w:color w:val="auto"/>
                      <w:szCs w:val="21"/>
                      <w:highlight w:val="none"/>
                      <w:lang w:val="en-US" w:eastAsia="zh-CN"/>
                    </w:rPr>
                    <w:t>/</w:t>
                  </w:r>
                </w:p>
              </w:tc>
              <w:tc>
                <w:tcPr>
                  <w:tcW w:w="3427" w:type="dxa"/>
                  <w:vAlign w:val="center"/>
                </w:tcPr>
                <w:p w14:paraId="1DFE442B">
                  <w:pPr>
                    <w:keepNext w:val="0"/>
                    <w:keepLines w:val="0"/>
                    <w:suppressLineNumbers w:val="0"/>
                    <w:spacing w:before="0" w:beforeAutospacing="0" w:after="0" w:afterAutospacing="0" w:line="320" w:lineRule="exact"/>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bCs/>
                      <w:color w:val="auto"/>
                      <w:szCs w:val="21"/>
                      <w:highlight w:val="none"/>
                      <w:lang w:val="en-US" w:eastAsia="zh-CN"/>
                    </w:rPr>
                    <w:t>/</w:t>
                  </w:r>
                </w:p>
              </w:tc>
            </w:tr>
            <w:tr w14:paraId="5E2F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6" w:hRule="atLeast"/>
                <w:jc w:val="center"/>
              </w:trPr>
              <w:tc>
                <w:tcPr>
                  <w:tcW w:w="1076" w:type="dxa"/>
                  <w:vAlign w:val="center"/>
                </w:tcPr>
                <w:p w14:paraId="6748BABF">
                  <w:pPr>
                    <w:keepNext w:val="0"/>
                    <w:keepLines w:val="0"/>
                    <w:suppressLineNumbers w:val="0"/>
                    <w:spacing w:before="0" w:beforeAutospacing="0" w:after="0" w:afterAutospacing="0" w:line="320" w:lineRule="exact"/>
                    <w:ind w:left="0" w:right="0"/>
                    <w:jc w:val="center"/>
                    <w:rPr>
                      <w:rFonts w:hint="eastAsia" w:ascii="Times New Roman" w:hAnsi="Times New Roman" w:eastAsia="宋体" w:cs="Times New Roman"/>
                      <w:color w:val="auto"/>
                      <w:spacing w:val="-4"/>
                      <w:szCs w:val="21"/>
                      <w:highlight w:val="none"/>
                      <w:lang w:val="en-US" w:eastAsia="zh-CN"/>
                    </w:rPr>
                  </w:pPr>
                  <w:r>
                    <w:rPr>
                      <w:rFonts w:hint="eastAsia" w:cs="Times New Roman"/>
                      <w:color w:val="auto"/>
                      <w:spacing w:val="-4"/>
                      <w:szCs w:val="21"/>
                      <w:highlight w:val="none"/>
                      <w:lang w:val="en-US" w:eastAsia="zh-CN"/>
                    </w:rPr>
                    <w:t>废水</w:t>
                  </w:r>
                </w:p>
              </w:tc>
              <w:tc>
                <w:tcPr>
                  <w:tcW w:w="2164" w:type="dxa"/>
                  <w:vAlign w:val="center"/>
                </w:tcPr>
                <w:p w14:paraId="00353CBF">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rPr>
                    <w:t>生活污水</w:t>
                  </w:r>
                </w:p>
              </w:tc>
              <w:tc>
                <w:tcPr>
                  <w:tcW w:w="1713" w:type="dxa"/>
                  <w:vAlign w:val="center"/>
                </w:tcPr>
                <w:p w14:paraId="3F9B8589">
                  <w:pPr>
                    <w:keepNext w:val="0"/>
                    <w:keepLines w:val="0"/>
                    <w:suppressLineNumbers w:val="0"/>
                    <w:spacing w:before="0" w:beforeAutospacing="0" w:after="0" w:afterAutospacing="0" w:line="320" w:lineRule="exact"/>
                    <w:ind w:left="0" w:right="0"/>
                    <w:jc w:val="center"/>
                    <w:rPr>
                      <w:rFonts w:hint="eastAsia" w:ascii="Times New Roman" w:hAnsi="Times New Roman" w:eastAsia="宋体" w:cs="Times New Roman"/>
                      <w:color w:val="auto"/>
                      <w:spacing w:val="-4"/>
                      <w:szCs w:val="21"/>
                      <w:highlight w:val="none"/>
                      <w:lang w:val="en-US" w:eastAsia="zh-CN"/>
                    </w:rPr>
                  </w:pPr>
                  <w:r>
                    <w:rPr>
                      <w:rFonts w:hint="default" w:ascii="Times New Roman" w:hAnsi="Times New Roman" w:cs="Times New Roman"/>
                      <w:color w:val="auto"/>
                      <w:szCs w:val="21"/>
                      <w:highlight w:val="none"/>
                    </w:rPr>
                    <w:t>pH、COD、氨氮、BOD</w:t>
                  </w:r>
                  <w:r>
                    <w:rPr>
                      <w:rFonts w:hint="default" w:ascii="Times New Roman" w:hAnsi="Times New Roman" w:cs="Times New Roman"/>
                      <w:color w:val="auto"/>
                      <w:szCs w:val="21"/>
                      <w:highlight w:val="none"/>
                      <w:vertAlign w:val="subscript"/>
                    </w:rPr>
                    <w:t>5</w:t>
                  </w:r>
                  <w:r>
                    <w:rPr>
                      <w:rFonts w:hint="default" w:ascii="Times New Roman" w:hAnsi="Times New Roman" w:cs="Times New Roman"/>
                      <w:color w:val="auto"/>
                      <w:szCs w:val="21"/>
                      <w:highlight w:val="none"/>
                    </w:rPr>
                    <w:t>、悬浮物、</w:t>
                  </w:r>
                  <w:r>
                    <w:rPr>
                      <w:rFonts w:hint="eastAsia" w:cs="Times New Roman"/>
                      <w:color w:val="auto"/>
                      <w:szCs w:val="21"/>
                      <w:highlight w:val="none"/>
                      <w:lang w:val="en-US" w:eastAsia="zh-CN"/>
                    </w:rPr>
                    <w:t>总磷</w:t>
                  </w:r>
                </w:p>
              </w:tc>
              <w:tc>
                <w:tcPr>
                  <w:tcW w:w="3427" w:type="dxa"/>
                  <w:vAlign w:val="center"/>
                </w:tcPr>
                <w:p w14:paraId="1836690F">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经化粪池预处理后经市政污水管网排入芜湖县新芜开发区城东污水处理厂，达标后排入裘公河</w:t>
                  </w:r>
                </w:p>
              </w:tc>
            </w:tr>
            <w:tr w14:paraId="355D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51" w:hRule="atLeast"/>
                <w:jc w:val="center"/>
              </w:trPr>
              <w:tc>
                <w:tcPr>
                  <w:tcW w:w="1076" w:type="dxa"/>
                  <w:vAlign w:val="center"/>
                </w:tcPr>
                <w:p w14:paraId="586B2EFD">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rPr>
                    <w:t>噪声</w:t>
                  </w:r>
                </w:p>
              </w:tc>
              <w:tc>
                <w:tcPr>
                  <w:tcW w:w="2164" w:type="dxa"/>
                  <w:vAlign w:val="center"/>
                </w:tcPr>
                <w:p w14:paraId="54F82B15">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rPr>
                    <w:t>设备噪声</w:t>
                  </w:r>
                </w:p>
              </w:tc>
              <w:tc>
                <w:tcPr>
                  <w:tcW w:w="1713" w:type="dxa"/>
                  <w:vAlign w:val="center"/>
                </w:tcPr>
                <w:p w14:paraId="63C83DC2">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rPr>
                    <w:t>生产设备噪声</w:t>
                  </w:r>
                </w:p>
              </w:tc>
              <w:tc>
                <w:tcPr>
                  <w:tcW w:w="3427" w:type="dxa"/>
                  <w:vAlign w:val="center"/>
                </w:tcPr>
                <w:p w14:paraId="56FBCBE5">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rPr>
                    <w:t>隔声、减振、消声等</w:t>
                  </w:r>
                </w:p>
              </w:tc>
            </w:tr>
            <w:tr w14:paraId="43B71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restart"/>
                  <w:vAlign w:val="center"/>
                </w:tcPr>
                <w:p w14:paraId="24B198B7">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highlight w:val="none"/>
                    </w:rPr>
                    <w:t>固废</w:t>
                  </w:r>
                </w:p>
              </w:tc>
              <w:tc>
                <w:tcPr>
                  <w:tcW w:w="2164" w:type="dxa"/>
                  <w:vMerge w:val="restart"/>
                  <w:vAlign w:val="center"/>
                </w:tcPr>
                <w:p w14:paraId="1ED97236">
                  <w:pPr>
                    <w:keepNext w:val="0"/>
                    <w:keepLines w:val="0"/>
                    <w:suppressLineNumbers w:val="0"/>
                    <w:spacing w:before="0" w:beforeAutospacing="0" w:after="0" w:afterAutospacing="0"/>
                    <w:ind w:left="68" w:right="-57"/>
                    <w:jc w:val="center"/>
                    <w:rPr>
                      <w:rFonts w:hint="default" w:ascii="Times New Roman" w:hAnsi="Times New Roman" w:eastAsia="楷体" w:cs="Times New Roman"/>
                      <w:color w:val="auto"/>
                      <w:szCs w:val="21"/>
                      <w:highlight w:val="none"/>
                    </w:rPr>
                  </w:pPr>
                  <w:r>
                    <w:rPr>
                      <w:rFonts w:hint="default" w:ascii="Times New Roman" w:hAnsi="Times New Roman" w:cs="Times New Roman"/>
                      <w:color w:val="auto"/>
                      <w:szCs w:val="21"/>
                      <w:highlight w:val="none"/>
                    </w:rPr>
                    <w:t>一般工业固废</w:t>
                  </w:r>
                </w:p>
              </w:tc>
              <w:tc>
                <w:tcPr>
                  <w:tcW w:w="1713" w:type="dxa"/>
                  <w:shd w:val="clear" w:color="auto" w:fill="auto"/>
                  <w:vAlign w:val="center"/>
                </w:tcPr>
                <w:p w14:paraId="4D45C1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3427" w:type="dxa"/>
                  <w:vMerge w:val="restart"/>
                  <w:vAlign w:val="center"/>
                </w:tcPr>
                <w:p w14:paraId="747EA08D">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zCs w:val="21"/>
                      <w:highlight w:val="none"/>
                    </w:rPr>
                    <w:t>收集后外售</w:t>
                  </w:r>
                </w:p>
              </w:tc>
            </w:tr>
            <w:tr w14:paraId="3F46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continue"/>
                  <w:vAlign w:val="center"/>
                </w:tcPr>
                <w:p w14:paraId="5C874900">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Merge w:val="continue"/>
                  <w:vAlign w:val="center"/>
                </w:tcPr>
                <w:p w14:paraId="43D325CD">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713" w:type="dxa"/>
                  <w:shd w:val="clear" w:color="auto" w:fill="auto"/>
                  <w:vAlign w:val="center"/>
                </w:tcPr>
                <w:p w14:paraId="7BA024A2">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000000" w:themeColor="text1"/>
                      <w:szCs w:val="21"/>
                      <w14:textFill>
                        <w14:solidFill>
                          <w14:schemeClr w14:val="tx1"/>
                        </w14:solidFill>
                      </w14:textFill>
                    </w:rPr>
                    <w:t>含油金属屑</w:t>
                  </w:r>
                </w:p>
              </w:tc>
              <w:tc>
                <w:tcPr>
                  <w:tcW w:w="3427" w:type="dxa"/>
                  <w:vMerge w:val="continue"/>
                  <w:vAlign w:val="center"/>
                </w:tcPr>
                <w:p w14:paraId="33273B18">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43773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continue"/>
                  <w:vAlign w:val="center"/>
                </w:tcPr>
                <w:p w14:paraId="509397FB">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Merge w:val="continue"/>
                  <w:shd w:val="clear" w:color="auto" w:fill="auto"/>
                  <w:vAlign w:val="center"/>
                </w:tcPr>
                <w:p w14:paraId="3B83F9B1">
                  <w:pPr>
                    <w:keepNext w:val="0"/>
                    <w:keepLines w:val="0"/>
                    <w:suppressLineNumbers w:val="0"/>
                    <w:spacing w:before="0" w:beforeAutospacing="0" w:after="0" w:afterAutospacing="0"/>
                    <w:ind w:left="68" w:right="-57"/>
                    <w:jc w:val="center"/>
                    <w:rPr>
                      <w:rFonts w:hint="default" w:ascii="Times New Roman" w:hAnsi="Times New Roman" w:eastAsia="楷体" w:cs="Times New Roman"/>
                      <w:color w:val="auto"/>
                      <w:szCs w:val="21"/>
                      <w:highlight w:val="none"/>
                    </w:rPr>
                  </w:pPr>
                </w:p>
              </w:tc>
              <w:tc>
                <w:tcPr>
                  <w:tcW w:w="1713" w:type="dxa"/>
                  <w:shd w:val="clear" w:color="auto" w:fill="auto"/>
                  <w:vAlign w:val="center"/>
                </w:tcPr>
                <w:p w14:paraId="45AAB0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废包装材料</w:t>
                  </w:r>
                </w:p>
              </w:tc>
              <w:tc>
                <w:tcPr>
                  <w:tcW w:w="3427" w:type="dxa"/>
                  <w:vMerge w:val="continue"/>
                  <w:vAlign w:val="center"/>
                </w:tcPr>
                <w:p w14:paraId="4D0FB931">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3D133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continue"/>
                  <w:vAlign w:val="center"/>
                </w:tcPr>
                <w:p w14:paraId="7D46C78B">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Merge w:val="continue"/>
                  <w:shd w:val="clear" w:color="auto" w:fill="auto"/>
                  <w:vAlign w:val="center"/>
                </w:tcPr>
                <w:p w14:paraId="1001F101">
                  <w:pPr>
                    <w:keepNext w:val="0"/>
                    <w:keepLines w:val="0"/>
                    <w:suppressLineNumbers w:val="0"/>
                    <w:spacing w:before="0" w:beforeAutospacing="0" w:after="0" w:afterAutospacing="0"/>
                    <w:ind w:left="68" w:right="-57"/>
                    <w:jc w:val="center"/>
                    <w:rPr>
                      <w:rFonts w:hint="default" w:ascii="Times New Roman" w:hAnsi="Times New Roman" w:eastAsia="楷体" w:cs="Times New Roman"/>
                      <w:color w:val="auto"/>
                      <w:szCs w:val="21"/>
                      <w:highlight w:val="none"/>
                    </w:rPr>
                  </w:pPr>
                </w:p>
              </w:tc>
              <w:tc>
                <w:tcPr>
                  <w:tcW w:w="1713" w:type="dxa"/>
                  <w:shd w:val="clear" w:color="auto" w:fill="auto"/>
                  <w:vAlign w:val="center"/>
                </w:tcPr>
                <w:p w14:paraId="17CA81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3427" w:type="dxa"/>
                  <w:vMerge w:val="continue"/>
                  <w:vAlign w:val="center"/>
                </w:tcPr>
                <w:p w14:paraId="1ADFBF04">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36FB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03AD2376">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Merge w:val="restart"/>
                  <w:shd w:val="clear" w:color="auto" w:fill="auto"/>
                  <w:vAlign w:val="center"/>
                </w:tcPr>
                <w:p w14:paraId="4A9AFEE5">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危险废物</w:t>
                  </w:r>
                </w:p>
              </w:tc>
              <w:tc>
                <w:tcPr>
                  <w:tcW w:w="1713" w:type="dxa"/>
                  <w:shd w:val="clear" w:color="auto" w:fill="auto"/>
                  <w:vAlign w:val="center"/>
                </w:tcPr>
                <w:p w14:paraId="1869A355">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3427" w:type="dxa"/>
                  <w:vMerge w:val="restart"/>
                  <w:vAlign w:val="center"/>
                </w:tcPr>
                <w:p w14:paraId="79058340">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收集后暂存于危废库，定期委托有资质单位进行处理</w:t>
                  </w:r>
                </w:p>
              </w:tc>
            </w:tr>
            <w:tr w14:paraId="48842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2821B09C">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Merge w:val="continue"/>
                  <w:shd w:val="clear" w:color="auto" w:fill="auto"/>
                  <w:vAlign w:val="center"/>
                </w:tcPr>
                <w:p w14:paraId="212BB9AA">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713" w:type="dxa"/>
                  <w:shd w:val="clear" w:color="auto" w:fill="auto"/>
                  <w:vAlign w:val="center"/>
                </w:tcPr>
                <w:p w14:paraId="5CCB71ED">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3427" w:type="dxa"/>
                  <w:vMerge w:val="continue"/>
                  <w:vAlign w:val="center"/>
                </w:tcPr>
                <w:p w14:paraId="6029C0AB">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7142D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6DA8DDC0">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Merge w:val="continue"/>
                  <w:shd w:val="clear" w:color="auto" w:fill="auto"/>
                  <w:vAlign w:val="center"/>
                </w:tcPr>
                <w:p w14:paraId="71CD242A">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713" w:type="dxa"/>
                  <w:shd w:val="clear" w:color="auto" w:fill="auto"/>
                  <w:vAlign w:val="center"/>
                </w:tcPr>
                <w:p w14:paraId="00BE3B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废机油（润滑油、液压油）</w:t>
                  </w:r>
                </w:p>
              </w:tc>
              <w:tc>
                <w:tcPr>
                  <w:tcW w:w="3427" w:type="dxa"/>
                  <w:vMerge w:val="continue"/>
                  <w:vAlign w:val="center"/>
                </w:tcPr>
                <w:p w14:paraId="159042F4">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68179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4B790C29">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Merge w:val="continue"/>
                  <w:vAlign w:val="center"/>
                </w:tcPr>
                <w:p w14:paraId="7EB3B21B">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713" w:type="dxa"/>
                  <w:shd w:val="clear" w:color="auto" w:fill="auto"/>
                  <w:vAlign w:val="center"/>
                </w:tcPr>
                <w:p w14:paraId="2E3B34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3427" w:type="dxa"/>
                  <w:vMerge w:val="continue"/>
                  <w:vAlign w:val="center"/>
                </w:tcPr>
                <w:p w14:paraId="12EA8D37">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33027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85" w:hRule="atLeast"/>
                <w:jc w:val="center"/>
              </w:trPr>
              <w:tc>
                <w:tcPr>
                  <w:tcW w:w="1076" w:type="dxa"/>
                  <w:vMerge w:val="continue"/>
                  <w:vAlign w:val="center"/>
                </w:tcPr>
                <w:p w14:paraId="22473259">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pacing w:val="-4"/>
                      <w:szCs w:val="21"/>
                      <w:highlight w:val="none"/>
                    </w:rPr>
                  </w:pPr>
                </w:p>
              </w:tc>
              <w:tc>
                <w:tcPr>
                  <w:tcW w:w="2164" w:type="dxa"/>
                  <w:vAlign w:val="center"/>
                </w:tcPr>
                <w:p w14:paraId="24F873C9">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职工生活</w:t>
                  </w:r>
                </w:p>
              </w:tc>
              <w:tc>
                <w:tcPr>
                  <w:tcW w:w="1713" w:type="dxa"/>
                  <w:vAlign w:val="center"/>
                </w:tcPr>
                <w:p w14:paraId="2880A36A">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生活垃圾</w:t>
                  </w:r>
                </w:p>
              </w:tc>
              <w:tc>
                <w:tcPr>
                  <w:tcW w:w="3427" w:type="dxa"/>
                  <w:vAlign w:val="center"/>
                </w:tcPr>
                <w:p w14:paraId="55E30D97">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环卫部门统一清运</w:t>
                  </w:r>
                </w:p>
              </w:tc>
            </w:tr>
            <w:tr w14:paraId="6AF6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85" w:hRule="atLeast"/>
                <w:jc w:val="center"/>
              </w:trPr>
              <w:tc>
                <w:tcPr>
                  <w:tcW w:w="8380" w:type="dxa"/>
                  <w:gridSpan w:val="4"/>
                  <w:vAlign w:val="center"/>
                </w:tcPr>
                <w:p w14:paraId="668F0679">
                  <w:pPr>
                    <w:keepNext w:val="0"/>
                    <w:keepLines w:val="0"/>
                    <w:suppressLineNumbers w:val="0"/>
                    <w:spacing w:before="0" w:beforeAutospacing="0" w:after="0" w:afterAutospacing="0" w:line="320" w:lineRule="exact"/>
                    <w:ind w:left="0" w:right="0" w:firstLine="420" w:firstLineChars="200"/>
                    <w:jc w:val="left"/>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根据《安徽新芜经济开发区扩区总体发展规划（2023-2035年）环境影响报告书》（2024年8月），湾沚区污水厂处理收水范围发生改变，变化前本项目列入</w:t>
                  </w:r>
                  <w:r>
                    <w:rPr>
                      <w:rFonts w:hint="eastAsia" w:ascii="Times New Roman" w:hAnsi="Times New Roman" w:eastAsia="宋体" w:cs="Times New Roman"/>
                      <w:sz w:val="21"/>
                      <w:szCs w:val="21"/>
                      <w:highlight w:val="none"/>
                      <w:lang w:val="en-US" w:eastAsia="zh-CN"/>
                    </w:rPr>
                    <w:t>芜湖县污水处理厂</w:t>
                  </w:r>
                  <w:r>
                    <w:rPr>
                      <w:rFonts w:hint="default" w:ascii="Times New Roman" w:hAnsi="Times New Roman" w:eastAsia="宋体" w:cs="Times New Roman"/>
                      <w:color w:val="auto"/>
                      <w:szCs w:val="21"/>
                      <w:highlight w:val="none"/>
                      <w:lang w:val="en-US" w:eastAsia="zh-CN"/>
                    </w:rPr>
                    <w:t>处理，变化后本项目列入</w:t>
                  </w:r>
                  <w:r>
                    <w:rPr>
                      <w:rFonts w:hint="default" w:ascii="Times New Roman" w:hAnsi="Times New Roman" w:eastAsia="宋体" w:cs="Times New Roman"/>
                      <w:color w:val="auto"/>
                      <w:szCs w:val="21"/>
                      <w:highlight w:val="none"/>
                    </w:rPr>
                    <w:t>芜湖县新芜开发区城东污水处理厂处理</w:t>
                  </w:r>
                  <w:r>
                    <w:rPr>
                      <w:rFonts w:hint="default" w:ascii="Times New Roman" w:hAnsi="Times New Roman" w:eastAsia="宋体" w:cs="Times New Roman"/>
                      <w:color w:val="auto"/>
                      <w:szCs w:val="21"/>
                      <w:highlight w:val="none"/>
                      <w:lang w:eastAsia="zh-CN"/>
                    </w:rPr>
                    <w:t>。</w:t>
                  </w:r>
                </w:p>
              </w:tc>
            </w:tr>
          </w:tbl>
          <w:p w14:paraId="3F75B635">
            <w:pPr>
              <w:keepNext w:val="0"/>
              <w:keepLines w:val="0"/>
              <w:suppressLineNumbers w:val="0"/>
              <w:autoSpaceDE w:val="0"/>
              <w:autoSpaceDN w:val="0"/>
              <w:adjustRightInd w:val="0"/>
              <w:snapToGrid w:val="0"/>
              <w:spacing w:before="240" w:beforeLines="100" w:beforeAutospacing="0" w:after="0" w:afterAutospacing="0" w:line="360" w:lineRule="auto"/>
              <w:ind w:left="0" w:right="0" w:firstLine="482" w:firstLineChars="200"/>
              <w:rPr>
                <w:rFonts w:hint="default" w:ascii="Times New Roman" w:hAnsi="Times New Roman" w:cs="Times New Roman"/>
                <w:color w:val="auto"/>
                <w:highlight w:val="none"/>
              </w:rPr>
            </w:pPr>
            <w:r>
              <w:rPr>
                <w:rFonts w:hint="default" w:ascii="Times New Roman" w:hAnsi="Times New Roman" w:cs="Times New Roman"/>
                <w:b/>
                <w:color w:val="auto"/>
                <w:kern w:val="0"/>
                <w:sz w:val="24"/>
                <w:highlight w:val="none"/>
              </w:rPr>
              <w:t>5、现有项目污染物达标排放情况</w:t>
            </w:r>
          </w:p>
          <w:p w14:paraId="2DED39DF">
            <w:pPr>
              <w:keepNext w:val="0"/>
              <w:keepLines w:val="0"/>
              <w:widowControl/>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（1）废气</w:t>
            </w:r>
          </w:p>
          <w:p w14:paraId="05578116">
            <w:pPr>
              <w:keepNext w:val="0"/>
              <w:keepLines w:val="0"/>
              <w:widowControl/>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eastAsia" w:cs="Times New Roman"/>
                <w:color w:val="auto"/>
                <w:sz w:val="24"/>
                <w:highlight w:val="none"/>
                <w:lang w:val="en-US" w:eastAsia="zh-CN"/>
              </w:rPr>
              <w:t>因现有项目目前厂区仅留有机加工设备，其他工序均已委外，故本项目无废气产生，无废气检测</w:t>
            </w:r>
            <w:r>
              <w:rPr>
                <w:rFonts w:hint="default" w:ascii="Times New Roman" w:hAnsi="Times New Roman" w:cs="Times New Roman"/>
                <w:color w:val="auto"/>
                <w:kern w:val="0"/>
                <w:sz w:val="24"/>
                <w:highlight w:val="none"/>
              </w:rPr>
              <w:t>。</w:t>
            </w:r>
          </w:p>
          <w:p w14:paraId="724247E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（2）废水</w:t>
            </w:r>
          </w:p>
          <w:p w14:paraId="122656CD">
            <w:pPr>
              <w:keepNext w:val="0"/>
              <w:keepLines w:val="0"/>
              <w:widowControl/>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b/>
                <w:color w:val="auto"/>
                <w:highlight w:val="none"/>
              </w:rPr>
            </w:pPr>
            <w:r>
              <w:rPr>
                <w:rFonts w:hint="default" w:ascii="Times New Roman" w:hAnsi="Times New Roman" w:cs="Times New Roman"/>
                <w:color w:val="auto"/>
                <w:sz w:val="24"/>
                <w:highlight w:val="none"/>
              </w:rPr>
              <w:t>根据现有项目环评及验收，现有项目用水主要为生活用水，外排废水主要为生活污水，生活污水经市政污水管网排入</w:t>
            </w:r>
            <w:r>
              <w:rPr>
                <w:rFonts w:hint="default" w:ascii="Times New Roman" w:hAnsi="Times New Roman" w:eastAsia="宋体" w:cs="Times New Roman"/>
                <w:sz w:val="24"/>
                <w:highlight w:val="none"/>
              </w:rPr>
              <w:t>芜湖县污</w:t>
            </w:r>
            <w:r>
              <w:rPr>
                <w:rFonts w:hint="default" w:ascii="Times New Roman" w:hAnsi="Times New Roman" w:eastAsia="宋体" w:cs="Times New Roman"/>
                <w:color w:val="auto"/>
                <w:sz w:val="24"/>
                <w:highlight w:val="none"/>
              </w:rPr>
              <w:t>水处理厂</w:t>
            </w:r>
            <w:r>
              <w:rPr>
                <w:rFonts w:hint="eastAsia" w:eastAsia="宋体" w:cs="Times New Roman"/>
                <w:color w:val="auto"/>
                <w:sz w:val="24"/>
                <w:highlight w:val="none"/>
                <w:lang w:eastAsia="zh-CN"/>
              </w:rPr>
              <w:t>，</w:t>
            </w:r>
            <w:r>
              <w:rPr>
                <w:rFonts w:hint="eastAsia" w:eastAsia="宋体" w:cs="Times New Roman"/>
                <w:color w:val="auto"/>
                <w:sz w:val="24"/>
                <w:highlight w:val="none"/>
                <w:lang w:val="en-US" w:eastAsia="zh-CN"/>
              </w:rPr>
              <w:t>最终排入赵家河</w:t>
            </w:r>
            <w:r>
              <w:rPr>
                <w:rFonts w:hint="default" w:ascii="Times New Roman" w:hAnsi="Times New Roman" w:cs="Times New Roman"/>
                <w:color w:val="auto"/>
                <w:sz w:val="24"/>
                <w:highlight w:val="none"/>
              </w:rPr>
              <w:t>。</w:t>
            </w:r>
            <w:r>
              <w:rPr>
                <w:rFonts w:hint="default" w:ascii="Times New Roman" w:hAnsi="Times New Roman" w:cs="Times New Roman"/>
                <w:color w:val="auto"/>
                <w:kern w:val="0"/>
                <w:sz w:val="24"/>
                <w:highlight w:val="none"/>
              </w:rPr>
              <w:t>根据</w:t>
            </w:r>
            <w:r>
              <w:rPr>
                <w:rFonts w:hint="eastAsia" w:cs="Times New Roman"/>
                <w:color w:val="auto"/>
                <w:kern w:val="0"/>
                <w:sz w:val="24"/>
                <w:highlight w:val="none"/>
                <w:lang w:eastAsia="zh-CN"/>
              </w:rPr>
              <w:t>安徽威正测试技术有限公司</w:t>
            </w:r>
            <w:r>
              <w:rPr>
                <w:rFonts w:hint="default" w:ascii="Times New Roman" w:hAnsi="Times New Roman" w:cs="Times New Roman"/>
                <w:color w:val="auto"/>
                <w:kern w:val="0"/>
                <w:sz w:val="24"/>
                <w:highlight w:val="none"/>
              </w:rPr>
              <w:t>出具的检测报告</w:t>
            </w:r>
            <w:r>
              <w:rPr>
                <w:rFonts w:hint="eastAsia" w:cs="Times New Roman"/>
                <w:color w:val="auto"/>
                <w:kern w:val="0"/>
                <w:sz w:val="24"/>
                <w:highlight w:val="none"/>
                <w:lang w:eastAsia="zh-CN"/>
              </w:rPr>
              <w:t>（2020052000701H）</w:t>
            </w:r>
            <w:r>
              <w:rPr>
                <w:rFonts w:hint="default" w:ascii="Times New Roman" w:hAnsi="Times New Roman" w:cs="Times New Roman"/>
                <w:color w:val="auto"/>
                <w:sz w:val="24"/>
                <w:highlight w:val="none"/>
              </w:rPr>
              <w:t>，</w:t>
            </w:r>
            <w:r>
              <w:rPr>
                <w:rFonts w:hint="default" w:ascii="Times New Roman" w:hAnsi="Times New Roman" w:cs="Times New Roman"/>
                <w:color w:val="auto"/>
                <w:kern w:val="0"/>
                <w:sz w:val="24"/>
                <w:highlight w:val="none"/>
              </w:rPr>
              <w:t>现有项目废水监测结果见下表。</w:t>
            </w:r>
          </w:p>
          <w:p w14:paraId="46ED2974">
            <w:pPr>
              <w:keepNext w:val="0"/>
              <w:keepLines w:val="0"/>
              <w:widowControl/>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b/>
                <w:bCs/>
                <w:color w:val="auto"/>
                <w:kern w:val="0"/>
                <w:sz w:val="24"/>
                <w:szCs w:val="20"/>
                <w:highlight w:val="none"/>
                <w:lang w:val="zh-CN"/>
              </w:rPr>
            </w:pPr>
            <w:r>
              <w:rPr>
                <w:rFonts w:hint="default" w:ascii="Times New Roman" w:hAnsi="Times New Roman" w:cs="Times New Roman" w:eastAsiaTheme="minorEastAsia"/>
                <w:b/>
                <w:bCs/>
                <w:color w:val="auto"/>
                <w:kern w:val="0"/>
                <w:sz w:val="24"/>
                <w:szCs w:val="20"/>
                <w:highlight w:val="none"/>
                <w:lang w:val="zh-CN"/>
              </w:rPr>
              <w:t>表2-1</w:t>
            </w:r>
            <w:r>
              <w:rPr>
                <w:rFonts w:hint="eastAsia" w:cs="Times New Roman" w:eastAsiaTheme="minorEastAsia"/>
                <w:b/>
                <w:bCs/>
                <w:color w:val="auto"/>
                <w:kern w:val="0"/>
                <w:sz w:val="24"/>
                <w:szCs w:val="20"/>
                <w:highlight w:val="none"/>
                <w:lang w:val="en-US" w:eastAsia="zh-CN"/>
              </w:rPr>
              <w:t>9</w:t>
            </w:r>
            <w:r>
              <w:rPr>
                <w:rFonts w:hint="default" w:ascii="Times New Roman" w:hAnsi="Times New Roman" w:cs="Times New Roman" w:eastAsiaTheme="minorEastAsia"/>
                <w:b/>
                <w:bCs/>
                <w:color w:val="auto"/>
                <w:kern w:val="0"/>
                <w:sz w:val="24"/>
                <w:szCs w:val="20"/>
                <w:highlight w:val="none"/>
                <w:lang w:val="zh-CN"/>
              </w:rPr>
              <w:t xml:space="preserve">  项目废水监测结果（单位：mg/L）</w:t>
            </w:r>
          </w:p>
          <w:tbl>
            <w:tblPr>
              <w:tblStyle w:val="62"/>
              <w:tblW w:w="499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437"/>
              <w:gridCol w:w="1090"/>
              <w:gridCol w:w="1968"/>
              <w:gridCol w:w="723"/>
              <w:gridCol w:w="723"/>
              <w:gridCol w:w="723"/>
              <w:gridCol w:w="727"/>
              <w:gridCol w:w="979"/>
            </w:tblGrid>
            <w:tr w14:paraId="32F1C2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restart"/>
                  <w:tcBorders>
                    <w:tl2br w:val="nil"/>
                    <w:tr2bl w:val="nil"/>
                  </w:tcBorders>
                  <w:noWrap w:val="0"/>
                  <w:vAlign w:val="center"/>
                </w:tcPr>
                <w:p w14:paraId="5587F7CD">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rPr>
                  </w:pPr>
                  <w:r>
                    <w:rPr>
                      <w:rFonts w:hint="default" w:ascii="Times New Roman" w:hAnsi="Times New Roman" w:eastAsia="宋体" w:cs="Times New Roman"/>
                      <w:b/>
                      <w:bCs/>
                      <w:caps w:val="0"/>
                      <w:smallCaps w:val="0"/>
                      <w:color w:val="auto"/>
                      <w:spacing w:val="0"/>
                      <w:sz w:val="21"/>
                      <w:szCs w:val="21"/>
                      <w:highlight w:val="none"/>
                    </w:rPr>
                    <w:t>监测日期</w:t>
                  </w:r>
                </w:p>
              </w:tc>
              <w:tc>
                <w:tcPr>
                  <w:tcW w:w="651" w:type="pct"/>
                  <w:vMerge w:val="restart"/>
                  <w:tcBorders>
                    <w:tl2br w:val="nil"/>
                    <w:tr2bl w:val="nil"/>
                  </w:tcBorders>
                  <w:noWrap w:val="0"/>
                  <w:vAlign w:val="center"/>
                </w:tcPr>
                <w:p w14:paraId="58F3AAD5">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rPr>
                  </w:pPr>
                  <w:r>
                    <w:rPr>
                      <w:rFonts w:hint="default" w:ascii="Times New Roman" w:hAnsi="Times New Roman" w:eastAsia="宋体" w:cs="Times New Roman"/>
                      <w:b/>
                      <w:bCs/>
                      <w:caps w:val="0"/>
                      <w:smallCaps w:val="0"/>
                      <w:color w:val="auto"/>
                      <w:spacing w:val="0"/>
                      <w:sz w:val="21"/>
                      <w:szCs w:val="21"/>
                      <w:highlight w:val="none"/>
                    </w:rPr>
                    <w:t>监测点位</w:t>
                  </w:r>
                </w:p>
              </w:tc>
              <w:tc>
                <w:tcPr>
                  <w:tcW w:w="1175" w:type="pct"/>
                  <w:vMerge w:val="restart"/>
                  <w:tcBorders>
                    <w:tl2br w:val="nil"/>
                    <w:tr2bl w:val="nil"/>
                  </w:tcBorders>
                  <w:noWrap w:val="0"/>
                  <w:vAlign w:val="center"/>
                </w:tcPr>
                <w:p w14:paraId="3CCE038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rPr>
                  </w:pPr>
                  <w:r>
                    <w:rPr>
                      <w:rFonts w:hint="default" w:ascii="Times New Roman" w:hAnsi="Times New Roman" w:eastAsia="宋体" w:cs="Times New Roman"/>
                      <w:b/>
                      <w:bCs/>
                      <w:caps w:val="0"/>
                      <w:smallCaps w:val="0"/>
                      <w:color w:val="auto"/>
                      <w:spacing w:val="0"/>
                      <w:sz w:val="21"/>
                      <w:szCs w:val="21"/>
                      <w:highlight w:val="none"/>
                    </w:rPr>
                    <w:t>监测项目</w:t>
                  </w:r>
                </w:p>
              </w:tc>
              <w:tc>
                <w:tcPr>
                  <w:tcW w:w="1730" w:type="pct"/>
                  <w:gridSpan w:val="4"/>
                  <w:tcBorders>
                    <w:tl2br w:val="nil"/>
                    <w:tr2bl w:val="nil"/>
                  </w:tcBorders>
                  <w:noWrap w:val="0"/>
                  <w:vAlign w:val="center"/>
                </w:tcPr>
                <w:p w14:paraId="5AD95733">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rPr>
                  </w:pPr>
                  <w:r>
                    <w:rPr>
                      <w:rFonts w:hint="default" w:ascii="Times New Roman" w:hAnsi="Times New Roman" w:eastAsia="宋体" w:cs="Times New Roman"/>
                      <w:b/>
                      <w:bCs/>
                      <w:caps w:val="0"/>
                      <w:smallCaps w:val="0"/>
                      <w:color w:val="auto"/>
                      <w:spacing w:val="0"/>
                      <w:sz w:val="21"/>
                      <w:szCs w:val="21"/>
                      <w:highlight w:val="none"/>
                    </w:rPr>
                    <w:t>监测结果</w:t>
                  </w:r>
                </w:p>
              </w:tc>
              <w:tc>
                <w:tcPr>
                  <w:tcW w:w="584" w:type="pct"/>
                  <w:vMerge w:val="restart"/>
                  <w:tcBorders>
                    <w:tl2br w:val="nil"/>
                    <w:tr2bl w:val="nil"/>
                  </w:tcBorders>
                  <w:noWrap w:val="0"/>
                  <w:vAlign w:val="center"/>
                </w:tcPr>
                <w:p w14:paraId="7B5B92CF">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lang w:eastAsia="zh-CN"/>
                    </w:rPr>
                  </w:pPr>
                  <w:r>
                    <w:rPr>
                      <w:rFonts w:hint="default" w:ascii="Times New Roman" w:hAnsi="Times New Roman" w:eastAsia="宋体" w:cs="Times New Roman"/>
                      <w:b/>
                      <w:bCs/>
                      <w:caps w:val="0"/>
                      <w:smallCaps w:val="0"/>
                      <w:color w:val="auto"/>
                      <w:spacing w:val="0"/>
                      <w:sz w:val="21"/>
                      <w:szCs w:val="21"/>
                      <w:highlight w:val="none"/>
                    </w:rPr>
                    <w:t>执行标准值</w:t>
                  </w:r>
                </w:p>
              </w:tc>
            </w:tr>
            <w:tr w14:paraId="5C9FD3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0F13119B">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083C4C3B">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vMerge w:val="continue"/>
                  <w:tcBorders>
                    <w:tl2br w:val="nil"/>
                    <w:tr2bl w:val="nil"/>
                  </w:tcBorders>
                  <w:noWrap w:val="0"/>
                  <w:vAlign w:val="center"/>
                </w:tcPr>
                <w:p w14:paraId="313FEF4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432" w:type="pct"/>
                  <w:tcBorders>
                    <w:tl2br w:val="nil"/>
                    <w:tr2bl w:val="nil"/>
                  </w:tcBorders>
                  <w:noWrap w:val="0"/>
                  <w:vAlign w:val="center"/>
                </w:tcPr>
                <w:p w14:paraId="49B58BDF">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rPr>
                  </w:pPr>
                  <w:r>
                    <w:rPr>
                      <w:rFonts w:hint="default" w:ascii="Times New Roman" w:hAnsi="Times New Roman" w:eastAsia="宋体" w:cs="Times New Roman"/>
                      <w:b/>
                      <w:bCs/>
                      <w:caps w:val="0"/>
                      <w:smallCaps w:val="0"/>
                      <w:color w:val="auto"/>
                      <w:spacing w:val="0"/>
                      <w:sz w:val="21"/>
                      <w:szCs w:val="21"/>
                      <w:highlight w:val="none"/>
                    </w:rPr>
                    <w:t>1</w:t>
                  </w:r>
                </w:p>
              </w:tc>
              <w:tc>
                <w:tcPr>
                  <w:tcW w:w="432" w:type="pct"/>
                  <w:tcBorders>
                    <w:tl2br w:val="nil"/>
                    <w:tr2bl w:val="nil"/>
                  </w:tcBorders>
                  <w:noWrap w:val="0"/>
                  <w:vAlign w:val="center"/>
                </w:tcPr>
                <w:p w14:paraId="35FC8C4A">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lang w:eastAsia="zh-CN"/>
                    </w:rPr>
                  </w:pPr>
                  <w:r>
                    <w:rPr>
                      <w:rFonts w:hint="default" w:ascii="Times New Roman" w:hAnsi="Times New Roman" w:eastAsia="宋体" w:cs="Times New Roman"/>
                      <w:b/>
                      <w:bCs/>
                      <w:caps w:val="0"/>
                      <w:smallCaps w:val="0"/>
                      <w:color w:val="auto"/>
                      <w:spacing w:val="0"/>
                      <w:sz w:val="21"/>
                      <w:szCs w:val="21"/>
                      <w:highlight w:val="none"/>
                      <w:lang w:val="en-US" w:eastAsia="zh-CN"/>
                    </w:rPr>
                    <w:t>2</w:t>
                  </w:r>
                </w:p>
              </w:tc>
              <w:tc>
                <w:tcPr>
                  <w:tcW w:w="432" w:type="pct"/>
                  <w:tcBorders>
                    <w:tl2br w:val="nil"/>
                    <w:tr2bl w:val="nil"/>
                  </w:tcBorders>
                  <w:noWrap w:val="0"/>
                  <w:vAlign w:val="center"/>
                </w:tcPr>
                <w:p w14:paraId="2A0E95F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lang w:val="en-US" w:eastAsia="zh-CN"/>
                    </w:rPr>
                  </w:pPr>
                  <w:r>
                    <w:rPr>
                      <w:rFonts w:hint="default" w:ascii="Times New Roman" w:hAnsi="Times New Roman" w:eastAsia="宋体" w:cs="Times New Roman"/>
                      <w:b/>
                      <w:bCs/>
                      <w:caps w:val="0"/>
                      <w:smallCaps w:val="0"/>
                      <w:color w:val="auto"/>
                      <w:spacing w:val="0"/>
                      <w:sz w:val="21"/>
                      <w:szCs w:val="21"/>
                      <w:highlight w:val="none"/>
                      <w:lang w:val="en-US" w:eastAsia="zh-CN"/>
                    </w:rPr>
                    <w:t>3</w:t>
                  </w:r>
                </w:p>
              </w:tc>
              <w:tc>
                <w:tcPr>
                  <w:tcW w:w="432" w:type="pct"/>
                  <w:tcBorders>
                    <w:tl2br w:val="nil"/>
                    <w:tr2bl w:val="nil"/>
                  </w:tcBorders>
                  <w:noWrap w:val="0"/>
                  <w:vAlign w:val="center"/>
                </w:tcPr>
                <w:p w14:paraId="08F1FC9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b/>
                      <w:bCs/>
                      <w:caps w:val="0"/>
                      <w:smallCaps w:val="0"/>
                      <w:color w:val="auto"/>
                      <w:spacing w:val="0"/>
                      <w:sz w:val="21"/>
                      <w:szCs w:val="21"/>
                      <w:highlight w:val="none"/>
                      <w:lang w:val="en-US" w:eastAsia="zh-CN"/>
                    </w:rPr>
                  </w:pPr>
                  <w:r>
                    <w:rPr>
                      <w:rFonts w:hint="default" w:ascii="Times New Roman" w:hAnsi="Times New Roman" w:eastAsia="宋体" w:cs="Times New Roman"/>
                      <w:b/>
                      <w:bCs/>
                      <w:caps w:val="0"/>
                      <w:smallCaps w:val="0"/>
                      <w:color w:val="auto"/>
                      <w:spacing w:val="0"/>
                      <w:sz w:val="21"/>
                      <w:szCs w:val="21"/>
                      <w:highlight w:val="none"/>
                      <w:lang w:val="en-US" w:eastAsia="zh-CN"/>
                    </w:rPr>
                    <w:t>4</w:t>
                  </w:r>
                </w:p>
              </w:tc>
              <w:tc>
                <w:tcPr>
                  <w:tcW w:w="584" w:type="pct"/>
                  <w:vMerge w:val="continue"/>
                  <w:tcBorders>
                    <w:tl2br w:val="nil"/>
                    <w:tr2bl w:val="nil"/>
                  </w:tcBorders>
                  <w:noWrap w:val="0"/>
                  <w:vAlign w:val="center"/>
                </w:tcPr>
                <w:p w14:paraId="6D5B8F52">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r>
            <w:tr w14:paraId="5AF64E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restart"/>
                  <w:tcBorders>
                    <w:tl2br w:val="nil"/>
                    <w:tr2bl w:val="nil"/>
                  </w:tcBorders>
                  <w:noWrap w:val="0"/>
                  <w:vAlign w:val="center"/>
                </w:tcPr>
                <w:p w14:paraId="509345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宋体" w:cs="Times New Roman"/>
                      <w:caps w:val="0"/>
                      <w:smallCaps w:val="0"/>
                      <w:color w:val="auto"/>
                      <w:spacing w:val="0"/>
                      <w:sz w:val="21"/>
                      <w:szCs w:val="21"/>
                      <w:highlight w:val="none"/>
                      <w:lang w:val="en-US" w:eastAsia="zh-CN"/>
                    </w:rPr>
                    <w:t>2020.05.2</w:t>
                  </w:r>
                  <w:r>
                    <w:rPr>
                      <w:rFonts w:hint="eastAsia" w:ascii="Times New Roman" w:hAnsi="Times New Roman" w:eastAsia="宋体" w:cs="Times New Roman"/>
                      <w:caps w:val="0"/>
                      <w:smallCaps w:val="0"/>
                      <w:color w:val="auto"/>
                      <w:spacing w:val="0"/>
                      <w:sz w:val="21"/>
                      <w:szCs w:val="21"/>
                      <w:highlight w:val="none"/>
                      <w:lang w:val="en-US" w:eastAsia="zh-CN"/>
                    </w:rPr>
                    <w:t>1</w:t>
                  </w:r>
                </w:p>
              </w:tc>
              <w:tc>
                <w:tcPr>
                  <w:tcW w:w="651" w:type="pct"/>
                  <w:vMerge w:val="restart"/>
                  <w:tcBorders>
                    <w:tl2br w:val="nil"/>
                    <w:tr2bl w:val="nil"/>
                  </w:tcBorders>
                  <w:noWrap w:val="0"/>
                  <w:vAlign w:val="center"/>
                </w:tcPr>
                <w:p w14:paraId="5B2EBDB6">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r>
                    <w:rPr>
                      <w:rFonts w:hint="eastAsia" w:ascii="Times New Roman" w:hAnsi="Times New Roman" w:eastAsia="宋体" w:cs="Times New Roman"/>
                      <w:caps w:val="0"/>
                      <w:smallCaps w:val="0"/>
                      <w:color w:val="auto"/>
                      <w:spacing w:val="0"/>
                      <w:sz w:val="21"/>
                      <w:szCs w:val="21"/>
                      <w:highlight w:val="none"/>
                      <w:lang w:val="en-US" w:eastAsia="zh-CN"/>
                    </w:rPr>
                    <w:t>废水总排口</w:t>
                  </w:r>
                  <w:r>
                    <w:rPr>
                      <w:rFonts w:hint="default"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rPr>
                    <w:t>#</w:t>
                  </w:r>
                </w:p>
              </w:tc>
              <w:tc>
                <w:tcPr>
                  <w:tcW w:w="1175" w:type="pct"/>
                  <w:tcBorders>
                    <w:tl2br w:val="nil"/>
                    <w:tr2bl w:val="nil"/>
                  </w:tcBorders>
                  <w:noWrap w:val="0"/>
                  <w:vAlign w:val="center"/>
                </w:tcPr>
                <w:p w14:paraId="670C26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eastAsia="宋体" w:cs="Times New Roman"/>
                      <w:caps w:val="0"/>
                      <w:smallCaps w:val="0"/>
                      <w:color w:val="auto"/>
                      <w:spacing w:val="0"/>
                      <w:sz w:val="21"/>
                      <w:szCs w:val="21"/>
                      <w:highlight w:val="none"/>
                      <w:lang w:val="en-US" w:eastAsia="zh-CN"/>
                    </w:rPr>
                  </w:pPr>
                  <w:r>
                    <w:rPr>
                      <w:rFonts w:hint="default" w:ascii="宋体" w:hAnsi="宋体" w:eastAsia="宋体" w:cs="宋体"/>
                      <w:spacing w:val="0"/>
                      <w:w w:val="100"/>
                      <w:position w:val="-2"/>
                      <w:sz w:val="21"/>
                      <w:szCs w:val="21"/>
                    </w:rPr>
                    <w:t>化学</w:t>
                  </w:r>
                  <w:r>
                    <w:rPr>
                      <w:rFonts w:hint="default" w:ascii="宋体" w:hAnsi="宋体" w:eastAsia="宋体" w:cs="宋体"/>
                      <w:spacing w:val="-2"/>
                      <w:w w:val="100"/>
                      <w:position w:val="-2"/>
                      <w:sz w:val="21"/>
                      <w:szCs w:val="21"/>
                    </w:rPr>
                    <w:t>需</w:t>
                  </w:r>
                  <w:r>
                    <w:rPr>
                      <w:rFonts w:hint="default" w:ascii="宋体" w:hAnsi="宋体" w:eastAsia="宋体" w:cs="宋体"/>
                      <w:spacing w:val="0"/>
                      <w:w w:val="100"/>
                      <w:position w:val="-2"/>
                      <w:sz w:val="21"/>
                      <w:szCs w:val="21"/>
                    </w:rPr>
                    <w:t>氧量</w:t>
                  </w:r>
                </w:p>
              </w:tc>
              <w:tc>
                <w:tcPr>
                  <w:tcW w:w="432" w:type="pct"/>
                  <w:tcBorders>
                    <w:tl2br w:val="nil"/>
                    <w:tr2bl w:val="nil"/>
                  </w:tcBorders>
                  <w:noWrap w:val="0"/>
                  <w:vAlign w:val="center"/>
                </w:tcPr>
                <w:p w14:paraId="65068F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252</w:t>
                  </w:r>
                </w:p>
              </w:tc>
              <w:tc>
                <w:tcPr>
                  <w:tcW w:w="432" w:type="pct"/>
                  <w:tcBorders>
                    <w:tl2br w:val="nil"/>
                    <w:tr2bl w:val="nil"/>
                  </w:tcBorders>
                  <w:noWrap w:val="0"/>
                  <w:vAlign w:val="center"/>
                </w:tcPr>
                <w:p w14:paraId="09EA33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256</w:t>
                  </w:r>
                </w:p>
              </w:tc>
              <w:tc>
                <w:tcPr>
                  <w:tcW w:w="432" w:type="pct"/>
                  <w:tcBorders>
                    <w:tl2br w:val="nil"/>
                    <w:tr2bl w:val="nil"/>
                  </w:tcBorders>
                  <w:noWrap w:val="0"/>
                  <w:vAlign w:val="center"/>
                </w:tcPr>
                <w:p w14:paraId="2BD773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260</w:t>
                  </w:r>
                </w:p>
              </w:tc>
              <w:tc>
                <w:tcPr>
                  <w:tcW w:w="432" w:type="pct"/>
                  <w:tcBorders>
                    <w:tl2br w:val="nil"/>
                    <w:tr2bl w:val="nil"/>
                  </w:tcBorders>
                  <w:noWrap w:val="0"/>
                  <w:vAlign w:val="center"/>
                </w:tcPr>
                <w:p w14:paraId="59D34E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b/>
                      <w:bCs/>
                      <w:spacing w:val="0"/>
                      <w:w w:val="100"/>
                      <w:sz w:val="21"/>
                      <w:szCs w:val="21"/>
                    </w:rPr>
                    <w:t>269</w:t>
                  </w:r>
                </w:p>
              </w:tc>
              <w:tc>
                <w:tcPr>
                  <w:tcW w:w="584" w:type="pct"/>
                  <w:tcBorders>
                    <w:tl2br w:val="nil"/>
                    <w:tr2bl w:val="nil"/>
                  </w:tcBorders>
                  <w:noWrap w:val="0"/>
                  <w:vAlign w:val="center"/>
                </w:tcPr>
                <w:p w14:paraId="3CFCC18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300</w:t>
                  </w:r>
                </w:p>
              </w:tc>
            </w:tr>
            <w:tr w14:paraId="718B45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5F159153">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385E836B">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06A408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spacing w:val="-1"/>
                      <w:w w:val="100"/>
                      <w:position w:val="-1"/>
                      <w:sz w:val="21"/>
                      <w:szCs w:val="21"/>
                      <w:lang w:val="en-US" w:eastAsia="zh-CN"/>
                    </w:rPr>
                    <w:t>p</w:t>
                  </w:r>
                  <w:r>
                    <w:rPr>
                      <w:rFonts w:hint="default" w:ascii="Times New Roman" w:hAnsi="Times New Roman" w:eastAsia="Times New Roman" w:cs="Times New Roman"/>
                      <w:spacing w:val="0"/>
                      <w:w w:val="100"/>
                      <w:position w:val="-1"/>
                      <w:sz w:val="21"/>
                      <w:szCs w:val="21"/>
                    </w:rPr>
                    <w:t>H</w:t>
                  </w:r>
                  <w:r>
                    <w:rPr>
                      <w:rFonts w:hint="default" w:ascii="宋体" w:hAnsi="宋体" w:eastAsia="宋体" w:cs="宋体"/>
                      <w:spacing w:val="0"/>
                      <w:w w:val="100"/>
                      <w:position w:val="-1"/>
                      <w:sz w:val="21"/>
                      <w:szCs w:val="21"/>
                    </w:rPr>
                    <w:t>（无</w:t>
                  </w:r>
                  <w:r>
                    <w:rPr>
                      <w:rFonts w:hint="default" w:ascii="宋体" w:hAnsi="宋体" w:eastAsia="宋体" w:cs="宋体"/>
                      <w:spacing w:val="-2"/>
                      <w:w w:val="100"/>
                      <w:position w:val="-1"/>
                      <w:sz w:val="21"/>
                      <w:szCs w:val="21"/>
                    </w:rPr>
                    <w:t>量</w:t>
                  </w:r>
                  <w:r>
                    <w:rPr>
                      <w:rFonts w:hint="default" w:ascii="宋体" w:hAnsi="宋体" w:eastAsia="宋体" w:cs="宋体"/>
                      <w:spacing w:val="3"/>
                      <w:w w:val="100"/>
                      <w:position w:val="-1"/>
                      <w:sz w:val="21"/>
                      <w:szCs w:val="21"/>
                    </w:rPr>
                    <w:t>纲</w:t>
                  </w:r>
                  <w:r>
                    <w:rPr>
                      <w:rFonts w:hint="default" w:ascii="宋体" w:hAnsi="宋体" w:eastAsia="宋体" w:cs="宋体"/>
                      <w:spacing w:val="0"/>
                      <w:w w:val="100"/>
                      <w:position w:val="-1"/>
                      <w:sz w:val="21"/>
                      <w:szCs w:val="21"/>
                    </w:rPr>
                    <w:t>）</w:t>
                  </w:r>
                </w:p>
              </w:tc>
              <w:tc>
                <w:tcPr>
                  <w:tcW w:w="432" w:type="pct"/>
                  <w:tcBorders>
                    <w:tl2br w:val="nil"/>
                    <w:tr2bl w:val="nil"/>
                  </w:tcBorders>
                  <w:noWrap w:val="0"/>
                  <w:vAlign w:val="center"/>
                </w:tcPr>
                <w:p w14:paraId="2F5795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6.37</w:t>
                  </w:r>
                </w:p>
              </w:tc>
              <w:tc>
                <w:tcPr>
                  <w:tcW w:w="432" w:type="pct"/>
                  <w:tcBorders>
                    <w:tl2br w:val="nil"/>
                    <w:tr2bl w:val="nil"/>
                  </w:tcBorders>
                  <w:noWrap w:val="0"/>
                  <w:vAlign w:val="center"/>
                </w:tcPr>
                <w:p w14:paraId="5FD731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6.41</w:t>
                  </w:r>
                </w:p>
              </w:tc>
              <w:tc>
                <w:tcPr>
                  <w:tcW w:w="432" w:type="pct"/>
                  <w:tcBorders>
                    <w:tl2br w:val="nil"/>
                    <w:tr2bl w:val="nil"/>
                  </w:tcBorders>
                  <w:noWrap w:val="0"/>
                  <w:vAlign w:val="center"/>
                </w:tcPr>
                <w:p w14:paraId="2AA8ED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6.38</w:t>
                  </w:r>
                </w:p>
              </w:tc>
              <w:tc>
                <w:tcPr>
                  <w:tcW w:w="432" w:type="pct"/>
                  <w:tcBorders>
                    <w:tl2br w:val="nil"/>
                    <w:tr2bl w:val="nil"/>
                  </w:tcBorders>
                  <w:noWrap w:val="0"/>
                  <w:vAlign w:val="center"/>
                </w:tcPr>
                <w:p w14:paraId="65CC6F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6.51</w:t>
                  </w:r>
                </w:p>
              </w:tc>
              <w:tc>
                <w:tcPr>
                  <w:tcW w:w="584" w:type="pct"/>
                  <w:tcBorders>
                    <w:tl2br w:val="nil"/>
                    <w:tr2bl w:val="nil"/>
                  </w:tcBorders>
                  <w:noWrap w:val="0"/>
                  <w:vAlign w:val="center"/>
                </w:tcPr>
                <w:p w14:paraId="0C236066">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6~9</w:t>
                  </w:r>
                </w:p>
              </w:tc>
            </w:tr>
            <w:tr w14:paraId="036334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418A349B">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73F38F31">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04B90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2"/>
                      <w:sz w:val="21"/>
                      <w:szCs w:val="21"/>
                    </w:rPr>
                    <w:t>氨氮</w:t>
                  </w:r>
                </w:p>
              </w:tc>
              <w:tc>
                <w:tcPr>
                  <w:tcW w:w="432" w:type="pct"/>
                  <w:tcBorders>
                    <w:tl2br w:val="nil"/>
                    <w:tr2bl w:val="nil"/>
                  </w:tcBorders>
                  <w:noWrap w:val="0"/>
                  <w:vAlign w:val="center"/>
                </w:tcPr>
                <w:p w14:paraId="419A03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5"/>
                      <w:w w:val="100"/>
                      <w:sz w:val="21"/>
                      <w:szCs w:val="21"/>
                    </w:rPr>
                    <w:t>1</w:t>
                  </w:r>
                  <w:r>
                    <w:rPr>
                      <w:rFonts w:hint="default" w:ascii="Times New Roman" w:hAnsi="Times New Roman" w:eastAsia="Times New Roman" w:cs="Times New Roman"/>
                      <w:spacing w:val="-2"/>
                      <w:w w:val="100"/>
                      <w:sz w:val="21"/>
                      <w:szCs w:val="21"/>
                    </w:rPr>
                    <w:t>1</w:t>
                  </w:r>
                  <w:r>
                    <w:rPr>
                      <w:rFonts w:hint="default" w:ascii="Times New Roman" w:hAnsi="Times New Roman" w:eastAsia="Times New Roman" w:cs="Times New Roman"/>
                      <w:spacing w:val="0"/>
                      <w:w w:val="100"/>
                      <w:sz w:val="21"/>
                      <w:szCs w:val="21"/>
                    </w:rPr>
                    <w:t>.3</w:t>
                  </w:r>
                </w:p>
              </w:tc>
              <w:tc>
                <w:tcPr>
                  <w:tcW w:w="432" w:type="pct"/>
                  <w:tcBorders>
                    <w:tl2br w:val="nil"/>
                    <w:tr2bl w:val="nil"/>
                  </w:tcBorders>
                  <w:noWrap w:val="0"/>
                  <w:vAlign w:val="center"/>
                </w:tcPr>
                <w:p w14:paraId="00F19D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5"/>
                      <w:w w:val="100"/>
                      <w:sz w:val="21"/>
                      <w:szCs w:val="21"/>
                    </w:rPr>
                    <w:t>1</w:t>
                  </w:r>
                  <w:r>
                    <w:rPr>
                      <w:rFonts w:hint="default" w:ascii="Times New Roman" w:hAnsi="Times New Roman" w:eastAsia="Times New Roman" w:cs="Times New Roman"/>
                      <w:spacing w:val="-2"/>
                      <w:w w:val="100"/>
                      <w:sz w:val="21"/>
                      <w:szCs w:val="21"/>
                    </w:rPr>
                    <w:t>1.</w:t>
                  </w:r>
                  <w:r>
                    <w:rPr>
                      <w:rFonts w:hint="default" w:ascii="Times New Roman" w:hAnsi="Times New Roman" w:eastAsia="Times New Roman" w:cs="Times New Roman"/>
                      <w:spacing w:val="0"/>
                      <w:w w:val="100"/>
                      <w:sz w:val="21"/>
                      <w:szCs w:val="21"/>
                    </w:rPr>
                    <w:t>9</w:t>
                  </w:r>
                </w:p>
              </w:tc>
              <w:tc>
                <w:tcPr>
                  <w:tcW w:w="432" w:type="pct"/>
                  <w:tcBorders>
                    <w:tl2br w:val="nil"/>
                    <w:tr2bl w:val="nil"/>
                  </w:tcBorders>
                  <w:noWrap w:val="0"/>
                  <w:vAlign w:val="center"/>
                </w:tcPr>
                <w:p w14:paraId="5BC1FD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12.4</w:t>
                  </w:r>
                </w:p>
              </w:tc>
              <w:tc>
                <w:tcPr>
                  <w:tcW w:w="432" w:type="pct"/>
                  <w:tcBorders>
                    <w:tl2br w:val="nil"/>
                    <w:tr2bl w:val="nil"/>
                  </w:tcBorders>
                  <w:noWrap w:val="0"/>
                  <w:vAlign w:val="center"/>
                </w:tcPr>
                <w:p w14:paraId="427220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b w:val="0"/>
                      <w:bCs w:val="0"/>
                      <w:spacing w:val="0"/>
                      <w:w w:val="100"/>
                      <w:sz w:val="21"/>
                      <w:szCs w:val="21"/>
                    </w:rPr>
                    <w:t>12.8</w:t>
                  </w:r>
                </w:p>
              </w:tc>
              <w:tc>
                <w:tcPr>
                  <w:tcW w:w="584" w:type="pct"/>
                  <w:tcBorders>
                    <w:tl2br w:val="nil"/>
                    <w:tr2bl w:val="nil"/>
                  </w:tcBorders>
                  <w:noWrap w:val="0"/>
                  <w:vAlign w:val="center"/>
                </w:tcPr>
                <w:p w14:paraId="1767CCD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25</w:t>
                  </w:r>
                </w:p>
              </w:tc>
            </w:tr>
            <w:tr w14:paraId="4FAFDF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shd w:val="clear" w:color="auto" w:fill="FFFFFF"/>
                  <w:noWrap w:val="0"/>
                  <w:vAlign w:val="center"/>
                </w:tcPr>
                <w:p w14:paraId="5C7F5AFC">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shd w:val="clear" w:color="auto" w:fill="FFFFFF"/>
                  <w:noWrap w:val="0"/>
                  <w:vAlign w:val="center"/>
                </w:tcPr>
                <w:p w14:paraId="00B5C3A2">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3E1834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2"/>
                      <w:sz w:val="21"/>
                      <w:szCs w:val="21"/>
                      <w:highlight w:val="none"/>
                    </w:rPr>
                    <w:t>悬浮物</w:t>
                  </w:r>
                </w:p>
              </w:tc>
              <w:tc>
                <w:tcPr>
                  <w:tcW w:w="432" w:type="pct"/>
                  <w:tcBorders>
                    <w:tl2br w:val="nil"/>
                    <w:tr2bl w:val="nil"/>
                  </w:tcBorders>
                  <w:noWrap w:val="0"/>
                  <w:vAlign w:val="center"/>
                </w:tcPr>
                <w:p w14:paraId="27CE60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40</w:t>
                  </w:r>
                </w:p>
              </w:tc>
              <w:tc>
                <w:tcPr>
                  <w:tcW w:w="432" w:type="pct"/>
                  <w:tcBorders>
                    <w:tl2br w:val="nil"/>
                    <w:tr2bl w:val="nil"/>
                  </w:tcBorders>
                  <w:noWrap w:val="0"/>
                  <w:vAlign w:val="center"/>
                </w:tcPr>
                <w:p w14:paraId="1B025B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44</w:t>
                  </w:r>
                </w:p>
              </w:tc>
              <w:tc>
                <w:tcPr>
                  <w:tcW w:w="432" w:type="pct"/>
                  <w:tcBorders>
                    <w:tl2br w:val="nil"/>
                    <w:tr2bl w:val="nil"/>
                  </w:tcBorders>
                  <w:noWrap w:val="0"/>
                  <w:vAlign w:val="center"/>
                </w:tcPr>
                <w:p w14:paraId="7C86F8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46</w:t>
                  </w:r>
                </w:p>
              </w:tc>
              <w:tc>
                <w:tcPr>
                  <w:tcW w:w="432" w:type="pct"/>
                  <w:tcBorders>
                    <w:tl2br w:val="nil"/>
                    <w:tr2bl w:val="nil"/>
                  </w:tcBorders>
                  <w:noWrap w:val="0"/>
                  <w:vAlign w:val="center"/>
                </w:tcPr>
                <w:p w14:paraId="7994DB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50</w:t>
                  </w:r>
                </w:p>
              </w:tc>
              <w:tc>
                <w:tcPr>
                  <w:tcW w:w="584" w:type="pct"/>
                  <w:tcBorders>
                    <w:tl2br w:val="nil"/>
                    <w:tr2bl w:val="nil"/>
                  </w:tcBorders>
                  <w:noWrap w:val="0"/>
                  <w:vAlign w:val="center"/>
                </w:tcPr>
                <w:p w14:paraId="4966C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175</w:t>
                  </w:r>
                </w:p>
              </w:tc>
            </w:tr>
            <w:tr w14:paraId="75A4D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7A087E24">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7AAC1439">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072305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宋体" w:hAnsi="宋体" w:eastAsia="宋体" w:cs="宋体"/>
                      <w:spacing w:val="0"/>
                      <w:w w:val="100"/>
                      <w:position w:val="-2"/>
                      <w:sz w:val="21"/>
                      <w:szCs w:val="21"/>
                      <w:highlight w:val="none"/>
                    </w:rPr>
                    <w:t>总磷</w:t>
                  </w:r>
                </w:p>
              </w:tc>
              <w:tc>
                <w:tcPr>
                  <w:tcW w:w="432" w:type="pct"/>
                  <w:tcBorders>
                    <w:tl2br w:val="nil"/>
                    <w:tr2bl w:val="nil"/>
                  </w:tcBorders>
                  <w:noWrap w:val="0"/>
                  <w:vAlign w:val="center"/>
                </w:tcPr>
                <w:p w14:paraId="69CF0E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0.78</w:t>
                  </w:r>
                </w:p>
              </w:tc>
              <w:tc>
                <w:tcPr>
                  <w:tcW w:w="432" w:type="pct"/>
                  <w:tcBorders>
                    <w:tl2br w:val="nil"/>
                    <w:tr2bl w:val="nil"/>
                  </w:tcBorders>
                  <w:noWrap w:val="0"/>
                  <w:vAlign w:val="center"/>
                </w:tcPr>
                <w:p w14:paraId="64E255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0.80</w:t>
                  </w:r>
                </w:p>
              </w:tc>
              <w:tc>
                <w:tcPr>
                  <w:tcW w:w="432" w:type="pct"/>
                  <w:tcBorders>
                    <w:tl2br w:val="nil"/>
                    <w:tr2bl w:val="nil"/>
                  </w:tcBorders>
                  <w:noWrap w:val="0"/>
                  <w:vAlign w:val="center"/>
                </w:tcPr>
                <w:p w14:paraId="39F2BD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0.86</w:t>
                  </w:r>
                </w:p>
              </w:tc>
              <w:tc>
                <w:tcPr>
                  <w:tcW w:w="432" w:type="pct"/>
                  <w:tcBorders>
                    <w:tl2br w:val="nil"/>
                    <w:tr2bl w:val="nil"/>
                  </w:tcBorders>
                  <w:noWrap w:val="0"/>
                  <w:vAlign w:val="center"/>
                </w:tcPr>
                <w:p w14:paraId="381C87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0.90</w:t>
                  </w:r>
                </w:p>
              </w:tc>
              <w:tc>
                <w:tcPr>
                  <w:tcW w:w="584" w:type="pct"/>
                  <w:tcBorders>
                    <w:tl2br w:val="nil"/>
                    <w:tr2bl w:val="nil"/>
                  </w:tcBorders>
                  <w:noWrap w:val="0"/>
                  <w:vAlign w:val="center"/>
                </w:tcPr>
                <w:p w14:paraId="334C56E4">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5</w:t>
                  </w:r>
                </w:p>
              </w:tc>
            </w:tr>
            <w:tr w14:paraId="56C506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56D76CB2">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54066E86">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7DF869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1"/>
                      <w:sz w:val="21"/>
                      <w:szCs w:val="21"/>
                      <w:highlight w:val="none"/>
                    </w:rPr>
                    <w:t>五日</w:t>
                  </w:r>
                  <w:r>
                    <w:rPr>
                      <w:rFonts w:hint="default" w:ascii="宋体" w:hAnsi="宋体" w:eastAsia="宋体" w:cs="宋体"/>
                      <w:spacing w:val="-2"/>
                      <w:w w:val="100"/>
                      <w:position w:val="-1"/>
                      <w:sz w:val="21"/>
                      <w:szCs w:val="21"/>
                      <w:highlight w:val="none"/>
                    </w:rPr>
                    <w:t>生</w:t>
                  </w:r>
                  <w:r>
                    <w:rPr>
                      <w:rFonts w:hint="default" w:ascii="宋体" w:hAnsi="宋体" w:eastAsia="宋体" w:cs="宋体"/>
                      <w:spacing w:val="0"/>
                      <w:w w:val="100"/>
                      <w:position w:val="-1"/>
                      <w:sz w:val="21"/>
                      <w:szCs w:val="21"/>
                      <w:highlight w:val="none"/>
                    </w:rPr>
                    <w:t>化需</w:t>
                  </w:r>
                  <w:r>
                    <w:rPr>
                      <w:rFonts w:hint="default" w:ascii="宋体" w:hAnsi="宋体" w:eastAsia="宋体" w:cs="宋体"/>
                      <w:spacing w:val="0"/>
                      <w:w w:val="100"/>
                      <w:position w:val="-2"/>
                      <w:sz w:val="21"/>
                      <w:szCs w:val="21"/>
                      <w:highlight w:val="none"/>
                    </w:rPr>
                    <w:t>氧量</w:t>
                  </w:r>
                </w:p>
              </w:tc>
              <w:tc>
                <w:tcPr>
                  <w:tcW w:w="432" w:type="pct"/>
                  <w:tcBorders>
                    <w:tl2br w:val="nil"/>
                    <w:tr2bl w:val="nil"/>
                  </w:tcBorders>
                  <w:noWrap w:val="0"/>
                  <w:vAlign w:val="center"/>
                </w:tcPr>
                <w:p w14:paraId="57D458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63.3</w:t>
                  </w:r>
                </w:p>
              </w:tc>
              <w:tc>
                <w:tcPr>
                  <w:tcW w:w="432" w:type="pct"/>
                  <w:tcBorders>
                    <w:tl2br w:val="nil"/>
                    <w:tr2bl w:val="nil"/>
                  </w:tcBorders>
                  <w:noWrap w:val="0"/>
                  <w:vAlign w:val="center"/>
                </w:tcPr>
                <w:p w14:paraId="04B92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63.6</w:t>
                  </w:r>
                </w:p>
              </w:tc>
              <w:tc>
                <w:tcPr>
                  <w:tcW w:w="432" w:type="pct"/>
                  <w:tcBorders>
                    <w:tl2br w:val="nil"/>
                    <w:tr2bl w:val="nil"/>
                  </w:tcBorders>
                  <w:noWrap w:val="0"/>
                  <w:vAlign w:val="center"/>
                </w:tcPr>
                <w:p w14:paraId="14E6B9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65.1</w:t>
                  </w:r>
                </w:p>
              </w:tc>
              <w:tc>
                <w:tcPr>
                  <w:tcW w:w="432" w:type="pct"/>
                  <w:tcBorders>
                    <w:tl2br w:val="nil"/>
                    <w:tr2bl w:val="nil"/>
                  </w:tcBorders>
                  <w:noWrap w:val="0"/>
                  <w:vAlign w:val="center"/>
                </w:tcPr>
                <w:p w14:paraId="744A78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66.4</w:t>
                  </w:r>
                </w:p>
              </w:tc>
              <w:tc>
                <w:tcPr>
                  <w:tcW w:w="584" w:type="pct"/>
                  <w:tcBorders>
                    <w:tl2br w:val="nil"/>
                    <w:tr2bl w:val="nil"/>
                  </w:tcBorders>
                  <w:noWrap w:val="0"/>
                  <w:vAlign w:val="center"/>
                </w:tcPr>
                <w:p w14:paraId="684C9372">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150</w:t>
                  </w:r>
                </w:p>
              </w:tc>
            </w:tr>
            <w:tr w14:paraId="3B40A0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restart"/>
                  <w:tcBorders>
                    <w:tl2br w:val="nil"/>
                    <w:tr2bl w:val="nil"/>
                  </w:tcBorders>
                  <w:noWrap w:val="0"/>
                  <w:vAlign w:val="center"/>
                </w:tcPr>
                <w:p w14:paraId="78BE7CC7">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宋体" w:cs="Times New Roman"/>
                      <w:caps w:val="0"/>
                      <w:smallCaps w:val="0"/>
                      <w:color w:val="auto"/>
                      <w:spacing w:val="0"/>
                      <w:sz w:val="21"/>
                      <w:szCs w:val="21"/>
                      <w:highlight w:val="none"/>
                      <w:lang w:val="en-US" w:eastAsia="zh-CN"/>
                    </w:rPr>
                    <w:t>2020.05.2</w:t>
                  </w:r>
                  <w:r>
                    <w:rPr>
                      <w:rFonts w:hint="eastAsia" w:ascii="Times New Roman" w:hAnsi="Times New Roman" w:eastAsia="宋体" w:cs="Times New Roman"/>
                      <w:caps w:val="0"/>
                      <w:smallCaps w:val="0"/>
                      <w:color w:val="auto"/>
                      <w:spacing w:val="0"/>
                      <w:sz w:val="21"/>
                      <w:szCs w:val="21"/>
                      <w:highlight w:val="none"/>
                      <w:lang w:val="en-US" w:eastAsia="zh-CN"/>
                    </w:rPr>
                    <w:t>2</w:t>
                  </w:r>
                </w:p>
              </w:tc>
              <w:tc>
                <w:tcPr>
                  <w:tcW w:w="651" w:type="pct"/>
                  <w:vMerge w:val="restart"/>
                  <w:tcBorders>
                    <w:tl2br w:val="nil"/>
                    <w:tr2bl w:val="nil"/>
                  </w:tcBorders>
                  <w:noWrap w:val="0"/>
                  <w:vAlign w:val="center"/>
                </w:tcPr>
                <w:p w14:paraId="4D0CDB29">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r>
                    <w:rPr>
                      <w:rFonts w:hint="eastAsia" w:ascii="Times New Roman" w:hAnsi="Times New Roman" w:eastAsia="宋体" w:cs="Times New Roman"/>
                      <w:caps w:val="0"/>
                      <w:smallCaps w:val="0"/>
                      <w:color w:val="auto"/>
                      <w:spacing w:val="0"/>
                      <w:sz w:val="21"/>
                      <w:szCs w:val="21"/>
                      <w:highlight w:val="none"/>
                      <w:lang w:val="en-US" w:eastAsia="zh-CN"/>
                    </w:rPr>
                    <w:t>废水总排口</w:t>
                  </w:r>
                  <w:r>
                    <w:rPr>
                      <w:rFonts w:hint="default"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rPr>
                    <w:t>#</w:t>
                  </w:r>
                </w:p>
              </w:tc>
              <w:tc>
                <w:tcPr>
                  <w:tcW w:w="1175" w:type="pct"/>
                  <w:tcBorders>
                    <w:tl2br w:val="nil"/>
                    <w:tr2bl w:val="nil"/>
                  </w:tcBorders>
                  <w:noWrap w:val="0"/>
                  <w:vAlign w:val="center"/>
                </w:tcPr>
                <w:p w14:paraId="5CD499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eastAsia"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2"/>
                      <w:sz w:val="21"/>
                      <w:szCs w:val="21"/>
                    </w:rPr>
                    <w:t>化学</w:t>
                  </w:r>
                  <w:r>
                    <w:rPr>
                      <w:rFonts w:hint="default" w:ascii="宋体" w:hAnsi="宋体" w:eastAsia="宋体" w:cs="宋体"/>
                      <w:spacing w:val="-2"/>
                      <w:w w:val="100"/>
                      <w:position w:val="-2"/>
                      <w:sz w:val="21"/>
                      <w:szCs w:val="21"/>
                    </w:rPr>
                    <w:t>需</w:t>
                  </w:r>
                  <w:r>
                    <w:rPr>
                      <w:rFonts w:hint="default" w:ascii="宋体" w:hAnsi="宋体" w:eastAsia="宋体" w:cs="宋体"/>
                      <w:spacing w:val="0"/>
                      <w:w w:val="100"/>
                      <w:position w:val="-2"/>
                      <w:sz w:val="21"/>
                      <w:szCs w:val="21"/>
                    </w:rPr>
                    <w:t>氧量</w:t>
                  </w:r>
                </w:p>
              </w:tc>
              <w:tc>
                <w:tcPr>
                  <w:tcW w:w="432" w:type="pct"/>
                  <w:tcBorders>
                    <w:tl2br w:val="nil"/>
                    <w:tr2bl w:val="nil"/>
                  </w:tcBorders>
                  <w:noWrap w:val="0"/>
                  <w:vAlign w:val="center"/>
                </w:tcPr>
                <w:p w14:paraId="4ECFCC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254</w:t>
                  </w:r>
                </w:p>
              </w:tc>
              <w:tc>
                <w:tcPr>
                  <w:tcW w:w="432" w:type="pct"/>
                  <w:tcBorders>
                    <w:tl2br w:val="nil"/>
                    <w:tr2bl w:val="nil"/>
                  </w:tcBorders>
                  <w:noWrap w:val="0"/>
                  <w:vAlign w:val="center"/>
                </w:tcPr>
                <w:p w14:paraId="7CA9AB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259</w:t>
                  </w:r>
                </w:p>
              </w:tc>
              <w:tc>
                <w:tcPr>
                  <w:tcW w:w="432" w:type="pct"/>
                  <w:tcBorders>
                    <w:tl2br w:val="nil"/>
                    <w:tr2bl w:val="nil"/>
                  </w:tcBorders>
                  <w:noWrap w:val="0"/>
                  <w:vAlign w:val="center"/>
                </w:tcPr>
                <w:p w14:paraId="202942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263</w:t>
                  </w:r>
                </w:p>
              </w:tc>
              <w:tc>
                <w:tcPr>
                  <w:tcW w:w="432" w:type="pct"/>
                  <w:tcBorders>
                    <w:tl2br w:val="nil"/>
                    <w:tr2bl w:val="nil"/>
                  </w:tcBorders>
                  <w:noWrap w:val="0"/>
                  <w:vAlign w:val="center"/>
                </w:tcPr>
                <w:p w14:paraId="1A463B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b/>
                      <w:bCs/>
                      <w:spacing w:val="0"/>
                      <w:w w:val="100"/>
                      <w:sz w:val="21"/>
                      <w:szCs w:val="21"/>
                    </w:rPr>
                    <w:t>269</w:t>
                  </w:r>
                </w:p>
              </w:tc>
              <w:tc>
                <w:tcPr>
                  <w:tcW w:w="584" w:type="pct"/>
                  <w:tcBorders>
                    <w:tl2br w:val="nil"/>
                    <w:tr2bl w:val="nil"/>
                  </w:tcBorders>
                  <w:noWrap w:val="0"/>
                  <w:vAlign w:val="center"/>
                </w:tcPr>
                <w:p w14:paraId="623E179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300</w:t>
                  </w:r>
                </w:p>
              </w:tc>
            </w:tr>
            <w:tr w14:paraId="248D43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7F1BAD9F">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2EAB7CD5">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7F1480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eastAsia" w:ascii="Times New Roman" w:hAnsi="Times New Roman" w:eastAsia="宋体" w:cs="Times New Roman"/>
                      <w:spacing w:val="-1"/>
                      <w:w w:val="100"/>
                      <w:position w:val="-1"/>
                      <w:sz w:val="21"/>
                      <w:szCs w:val="21"/>
                      <w:lang w:val="en-US" w:eastAsia="zh-CN"/>
                    </w:rPr>
                    <w:t>p</w:t>
                  </w:r>
                  <w:r>
                    <w:rPr>
                      <w:rFonts w:hint="default" w:ascii="Times New Roman" w:hAnsi="Times New Roman" w:eastAsia="Times New Roman" w:cs="Times New Roman"/>
                      <w:spacing w:val="0"/>
                      <w:w w:val="100"/>
                      <w:position w:val="-1"/>
                      <w:sz w:val="21"/>
                      <w:szCs w:val="21"/>
                    </w:rPr>
                    <w:t>H</w:t>
                  </w:r>
                  <w:r>
                    <w:rPr>
                      <w:rFonts w:hint="default" w:ascii="宋体" w:hAnsi="宋体" w:eastAsia="宋体" w:cs="宋体"/>
                      <w:spacing w:val="0"/>
                      <w:w w:val="100"/>
                      <w:position w:val="-1"/>
                      <w:sz w:val="21"/>
                      <w:szCs w:val="21"/>
                    </w:rPr>
                    <w:t>（无</w:t>
                  </w:r>
                  <w:r>
                    <w:rPr>
                      <w:rFonts w:hint="default" w:ascii="宋体" w:hAnsi="宋体" w:eastAsia="宋体" w:cs="宋体"/>
                      <w:spacing w:val="-2"/>
                      <w:w w:val="100"/>
                      <w:position w:val="-1"/>
                      <w:sz w:val="21"/>
                      <w:szCs w:val="21"/>
                    </w:rPr>
                    <w:t>量</w:t>
                  </w:r>
                  <w:r>
                    <w:rPr>
                      <w:rFonts w:hint="default" w:ascii="宋体" w:hAnsi="宋体" w:eastAsia="宋体" w:cs="宋体"/>
                      <w:spacing w:val="3"/>
                      <w:w w:val="100"/>
                      <w:position w:val="-1"/>
                      <w:sz w:val="21"/>
                      <w:szCs w:val="21"/>
                    </w:rPr>
                    <w:t>纲</w:t>
                  </w:r>
                  <w:r>
                    <w:rPr>
                      <w:rFonts w:hint="default" w:ascii="宋体" w:hAnsi="宋体" w:eastAsia="宋体" w:cs="宋体"/>
                      <w:spacing w:val="0"/>
                      <w:w w:val="100"/>
                      <w:position w:val="-1"/>
                      <w:sz w:val="21"/>
                      <w:szCs w:val="21"/>
                    </w:rPr>
                    <w:t>）</w:t>
                  </w:r>
                </w:p>
              </w:tc>
              <w:tc>
                <w:tcPr>
                  <w:tcW w:w="432" w:type="pct"/>
                  <w:tcBorders>
                    <w:tl2br w:val="nil"/>
                    <w:tr2bl w:val="nil"/>
                  </w:tcBorders>
                  <w:noWrap w:val="0"/>
                  <w:vAlign w:val="center"/>
                </w:tcPr>
                <w:p w14:paraId="635F0A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6.31</w:t>
                  </w:r>
                </w:p>
              </w:tc>
              <w:tc>
                <w:tcPr>
                  <w:tcW w:w="432" w:type="pct"/>
                  <w:tcBorders>
                    <w:tl2br w:val="nil"/>
                    <w:tr2bl w:val="nil"/>
                  </w:tcBorders>
                  <w:noWrap w:val="0"/>
                  <w:vAlign w:val="center"/>
                </w:tcPr>
                <w:p w14:paraId="649A77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6.40</w:t>
                  </w:r>
                </w:p>
              </w:tc>
              <w:tc>
                <w:tcPr>
                  <w:tcW w:w="432" w:type="pct"/>
                  <w:tcBorders>
                    <w:tl2br w:val="nil"/>
                    <w:tr2bl w:val="nil"/>
                  </w:tcBorders>
                  <w:noWrap w:val="0"/>
                  <w:vAlign w:val="center"/>
                </w:tcPr>
                <w:p w14:paraId="7D444C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6.37</w:t>
                  </w:r>
                </w:p>
              </w:tc>
              <w:tc>
                <w:tcPr>
                  <w:tcW w:w="432" w:type="pct"/>
                  <w:tcBorders>
                    <w:tl2br w:val="nil"/>
                    <w:tr2bl w:val="nil"/>
                  </w:tcBorders>
                  <w:noWrap w:val="0"/>
                  <w:vAlign w:val="center"/>
                </w:tcPr>
                <w:p w14:paraId="62B2B7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6.39</w:t>
                  </w:r>
                </w:p>
              </w:tc>
              <w:tc>
                <w:tcPr>
                  <w:tcW w:w="584" w:type="pct"/>
                  <w:tcBorders>
                    <w:tl2br w:val="nil"/>
                    <w:tr2bl w:val="nil"/>
                  </w:tcBorders>
                  <w:noWrap w:val="0"/>
                  <w:vAlign w:val="center"/>
                </w:tcPr>
                <w:p w14:paraId="6E6DAC54">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6~9</w:t>
                  </w:r>
                </w:p>
              </w:tc>
            </w:tr>
            <w:tr w14:paraId="355015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1BB85371">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3B69F97A">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6BFC9E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2"/>
                      <w:sz w:val="21"/>
                      <w:szCs w:val="21"/>
                    </w:rPr>
                    <w:t>氨氮</w:t>
                  </w:r>
                </w:p>
              </w:tc>
              <w:tc>
                <w:tcPr>
                  <w:tcW w:w="432" w:type="pct"/>
                  <w:tcBorders>
                    <w:tl2br w:val="nil"/>
                    <w:tr2bl w:val="nil"/>
                  </w:tcBorders>
                  <w:noWrap w:val="0"/>
                  <w:vAlign w:val="center"/>
                </w:tcPr>
                <w:p w14:paraId="3F787A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5"/>
                      <w:w w:val="100"/>
                      <w:sz w:val="21"/>
                      <w:szCs w:val="21"/>
                    </w:rPr>
                    <w:t>1</w:t>
                  </w:r>
                  <w:r>
                    <w:rPr>
                      <w:rFonts w:hint="default" w:ascii="Times New Roman" w:hAnsi="Times New Roman" w:eastAsia="Times New Roman" w:cs="Times New Roman"/>
                      <w:spacing w:val="-2"/>
                      <w:w w:val="100"/>
                      <w:sz w:val="21"/>
                      <w:szCs w:val="21"/>
                    </w:rPr>
                    <w:t>1.</w:t>
                  </w:r>
                  <w:r>
                    <w:rPr>
                      <w:rFonts w:hint="default" w:ascii="Times New Roman" w:hAnsi="Times New Roman" w:eastAsia="Times New Roman" w:cs="Times New Roman"/>
                      <w:spacing w:val="0"/>
                      <w:w w:val="100"/>
                      <w:sz w:val="21"/>
                      <w:szCs w:val="21"/>
                    </w:rPr>
                    <w:t>7</w:t>
                  </w:r>
                </w:p>
              </w:tc>
              <w:tc>
                <w:tcPr>
                  <w:tcW w:w="432" w:type="pct"/>
                  <w:tcBorders>
                    <w:tl2br w:val="nil"/>
                    <w:tr2bl w:val="nil"/>
                  </w:tcBorders>
                  <w:noWrap w:val="0"/>
                  <w:vAlign w:val="center"/>
                </w:tcPr>
                <w:p w14:paraId="43CCC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12.1</w:t>
                  </w:r>
                </w:p>
              </w:tc>
              <w:tc>
                <w:tcPr>
                  <w:tcW w:w="432" w:type="pct"/>
                  <w:tcBorders>
                    <w:tl2br w:val="nil"/>
                    <w:tr2bl w:val="nil"/>
                  </w:tcBorders>
                  <w:noWrap w:val="0"/>
                  <w:vAlign w:val="center"/>
                </w:tcPr>
                <w:p w14:paraId="569378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12.7</w:t>
                  </w:r>
                </w:p>
              </w:tc>
              <w:tc>
                <w:tcPr>
                  <w:tcW w:w="432" w:type="pct"/>
                  <w:tcBorders>
                    <w:tl2br w:val="nil"/>
                    <w:tr2bl w:val="nil"/>
                  </w:tcBorders>
                  <w:noWrap w:val="0"/>
                  <w:vAlign w:val="center"/>
                </w:tcPr>
                <w:p w14:paraId="15EA93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b/>
                      <w:bCs/>
                      <w:spacing w:val="0"/>
                      <w:w w:val="100"/>
                      <w:sz w:val="21"/>
                      <w:szCs w:val="21"/>
                    </w:rPr>
                    <w:t>13.1</w:t>
                  </w:r>
                </w:p>
              </w:tc>
              <w:tc>
                <w:tcPr>
                  <w:tcW w:w="584" w:type="pct"/>
                  <w:tcBorders>
                    <w:tl2br w:val="nil"/>
                    <w:tr2bl w:val="nil"/>
                  </w:tcBorders>
                  <w:noWrap w:val="0"/>
                  <w:vAlign w:val="center"/>
                </w:tcPr>
                <w:p w14:paraId="74C75E4D">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25</w:t>
                  </w:r>
                </w:p>
              </w:tc>
            </w:tr>
            <w:tr w14:paraId="68E769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0B41D958">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601EF629">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782783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2"/>
                      <w:sz w:val="21"/>
                      <w:szCs w:val="21"/>
                      <w:highlight w:val="none"/>
                    </w:rPr>
                    <w:t>悬浮物</w:t>
                  </w:r>
                </w:p>
              </w:tc>
              <w:tc>
                <w:tcPr>
                  <w:tcW w:w="432" w:type="pct"/>
                  <w:tcBorders>
                    <w:tl2br w:val="nil"/>
                    <w:tr2bl w:val="nil"/>
                  </w:tcBorders>
                  <w:noWrap w:val="0"/>
                  <w:vAlign w:val="center"/>
                </w:tcPr>
                <w:p w14:paraId="7179F3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39</w:t>
                  </w:r>
                </w:p>
              </w:tc>
              <w:tc>
                <w:tcPr>
                  <w:tcW w:w="432" w:type="pct"/>
                  <w:tcBorders>
                    <w:tl2br w:val="nil"/>
                    <w:tr2bl w:val="nil"/>
                  </w:tcBorders>
                  <w:noWrap w:val="0"/>
                  <w:vAlign w:val="center"/>
                </w:tcPr>
                <w:p w14:paraId="5CF00B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44</w:t>
                  </w:r>
                </w:p>
              </w:tc>
              <w:tc>
                <w:tcPr>
                  <w:tcW w:w="432" w:type="pct"/>
                  <w:tcBorders>
                    <w:tl2br w:val="nil"/>
                    <w:tr2bl w:val="nil"/>
                  </w:tcBorders>
                  <w:noWrap w:val="0"/>
                  <w:vAlign w:val="center"/>
                </w:tcPr>
                <w:p w14:paraId="1C2C09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highlight w:val="none"/>
                    </w:rPr>
                    <w:t>47</w:t>
                  </w:r>
                </w:p>
              </w:tc>
              <w:tc>
                <w:tcPr>
                  <w:tcW w:w="432" w:type="pct"/>
                  <w:tcBorders>
                    <w:tl2br w:val="nil"/>
                    <w:tr2bl w:val="nil"/>
                  </w:tcBorders>
                  <w:noWrap w:val="0"/>
                  <w:vAlign w:val="center"/>
                </w:tcPr>
                <w:p w14:paraId="7B6198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b/>
                      <w:bCs/>
                      <w:spacing w:val="0"/>
                      <w:w w:val="100"/>
                      <w:sz w:val="21"/>
                      <w:szCs w:val="21"/>
                      <w:highlight w:val="none"/>
                    </w:rPr>
                    <w:t>51</w:t>
                  </w:r>
                </w:p>
              </w:tc>
              <w:tc>
                <w:tcPr>
                  <w:tcW w:w="584" w:type="pct"/>
                  <w:tcBorders>
                    <w:tl2br w:val="nil"/>
                    <w:tr2bl w:val="nil"/>
                  </w:tcBorders>
                  <w:noWrap w:val="0"/>
                  <w:vAlign w:val="center"/>
                </w:tcPr>
                <w:p w14:paraId="608A96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yellow"/>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175</w:t>
                  </w:r>
                </w:p>
              </w:tc>
            </w:tr>
            <w:tr w14:paraId="44582C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20C2FDD5">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3FA8814C">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2E826F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2"/>
                      <w:sz w:val="21"/>
                      <w:szCs w:val="21"/>
                    </w:rPr>
                    <w:t>总磷</w:t>
                  </w:r>
                </w:p>
              </w:tc>
              <w:tc>
                <w:tcPr>
                  <w:tcW w:w="432" w:type="pct"/>
                  <w:tcBorders>
                    <w:tl2br w:val="nil"/>
                    <w:tr2bl w:val="nil"/>
                  </w:tcBorders>
                  <w:noWrap w:val="0"/>
                  <w:vAlign w:val="center"/>
                </w:tcPr>
                <w:p w14:paraId="045E4F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0.79</w:t>
                  </w:r>
                </w:p>
              </w:tc>
              <w:tc>
                <w:tcPr>
                  <w:tcW w:w="432" w:type="pct"/>
                  <w:tcBorders>
                    <w:tl2br w:val="nil"/>
                    <w:tr2bl w:val="nil"/>
                  </w:tcBorders>
                  <w:noWrap w:val="0"/>
                  <w:vAlign w:val="center"/>
                </w:tcPr>
                <w:p w14:paraId="464237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0.82</w:t>
                  </w:r>
                </w:p>
              </w:tc>
              <w:tc>
                <w:tcPr>
                  <w:tcW w:w="432" w:type="pct"/>
                  <w:tcBorders>
                    <w:tl2br w:val="nil"/>
                    <w:tr2bl w:val="nil"/>
                  </w:tcBorders>
                  <w:noWrap w:val="0"/>
                  <w:vAlign w:val="center"/>
                </w:tcPr>
                <w:p w14:paraId="21D3E7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0.88</w:t>
                  </w:r>
                </w:p>
              </w:tc>
              <w:tc>
                <w:tcPr>
                  <w:tcW w:w="432" w:type="pct"/>
                  <w:tcBorders>
                    <w:tl2br w:val="nil"/>
                    <w:tr2bl w:val="nil"/>
                  </w:tcBorders>
                  <w:noWrap w:val="0"/>
                  <w:vAlign w:val="center"/>
                </w:tcPr>
                <w:p w14:paraId="65B17E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b/>
                      <w:bCs/>
                      <w:spacing w:val="0"/>
                      <w:w w:val="100"/>
                      <w:sz w:val="21"/>
                      <w:szCs w:val="21"/>
                    </w:rPr>
                    <w:t>0.93</w:t>
                  </w:r>
                </w:p>
              </w:tc>
              <w:tc>
                <w:tcPr>
                  <w:tcW w:w="584" w:type="pct"/>
                  <w:tcBorders>
                    <w:tl2br w:val="nil"/>
                    <w:tr2bl w:val="nil"/>
                  </w:tcBorders>
                  <w:noWrap w:val="0"/>
                  <w:vAlign w:val="center"/>
                </w:tcPr>
                <w:p w14:paraId="7D5C594A">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5</w:t>
                  </w:r>
                </w:p>
              </w:tc>
            </w:tr>
            <w:tr w14:paraId="726B84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58" w:type="pct"/>
                  <w:vMerge w:val="continue"/>
                  <w:tcBorders>
                    <w:tl2br w:val="nil"/>
                    <w:tr2bl w:val="nil"/>
                  </w:tcBorders>
                  <w:noWrap w:val="0"/>
                  <w:vAlign w:val="center"/>
                </w:tcPr>
                <w:p w14:paraId="336CFF27">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651" w:type="pct"/>
                  <w:vMerge w:val="continue"/>
                  <w:tcBorders>
                    <w:tl2br w:val="nil"/>
                    <w:tr2bl w:val="nil"/>
                  </w:tcBorders>
                  <w:noWrap w:val="0"/>
                  <w:vAlign w:val="center"/>
                </w:tcPr>
                <w:p w14:paraId="2D741DEC">
                  <w:pPr>
                    <w:pStyle w:val="2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rPr>
                  </w:pPr>
                </w:p>
              </w:tc>
              <w:tc>
                <w:tcPr>
                  <w:tcW w:w="1175" w:type="pct"/>
                  <w:tcBorders>
                    <w:tl2br w:val="nil"/>
                    <w:tr2bl w:val="nil"/>
                  </w:tcBorders>
                  <w:noWrap w:val="0"/>
                  <w:vAlign w:val="center"/>
                </w:tcPr>
                <w:p w14:paraId="1E3A82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default" w:ascii="Times New Roman" w:hAnsi="Times New Roman" w:eastAsia="宋体" w:cs="Times New Roman"/>
                      <w:caps w:val="0"/>
                      <w:smallCaps w:val="0"/>
                      <w:color w:val="auto"/>
                      <w:spacing w:val="0"/>
                      <w:kern w:val="2"/>
                      <w:position w:val="0"/>
                      <w:sz w:val="21"/>
                      <w:szCs w:val="21"/>
                      <w:highlight w:val="none"/>
                      <w:lang w:val="en-US" w:eastAsia="zh-CN"/>
                    </w:rPr>
                  </w:pPr>
                  <w:r>
                    <w:rPr>
                      <w:rFonts w:hint="default" w:ascii="宋体" w:hAnsi="宋体" w:eastAsia="宋体" w:cs="宋体"/>
                      <w:spacing w:val="0"/>
                      <w:w w:val="100"/>
                      <w:position w:val="-1"/>
                      <w:sz w:val="21"/>
                      <w:szCs w:val="21"/>
                    </w:rPr>
                    <w:t>五日</w:t>
                  </w:r>
                  <w:r>
                    <w:rPr>
                      <w:rFonts w:hint="default" w:ascii="宋体" w:hAnsi="宋体" w:eastAsia="宋体" w:cs="宋体"/>
                      <w:spacing w:val="-2"/>
                      <w:w w:val="100"/>
                      <w:position w:val="-1"/>
                      <w:sz w:val="21"/>
                      <w:szCs w:val="21"/>
                    </w:rPr>
                    <w:t>生</w:t>
                  </w:r>
                  <w:r>
                    <w:rPr>
                      <w:rFonts w:hint="default" w:ascii="宋体" w:hAnsi="宋体" w:eastAsia="宋体" w:cs="宋体"/>
                      <w:spacing w:val="0"/>
                      <w:w w:val="100"/>
                      <w:position w:val="-1"/>
                      <w:sz w:val="21"/>
                      <w:szCs w:val="21"/>
                    </w:rPr>
                    <w:t>化需</w:t>
                  </w:r>
                  <w:r>
                    <w:rPr>
                      <w:rFonts w:hint="default" w:ascii="宋体" w:hAnsi="宋体" w:eastAsia="宋体" w:cs="宋体"/>
                      <w:spacing w:val="0"/>
                      <w:w w:val="100"/>
                      <w:position w:val="-2"/>
                      <w:sz w:val="21"/>
                      <w:szCs w:val="21"/>
                    </w:rPr>
                    <w:t>氧量</w:t>
                  </w:r>
                </w:p>
              </w:tc>
              <w:tc>
                <w:tcPr>
                  <w:tcW w:w="432" w:type="pct"/>
                  <w:tcBorders>
                    <w:tl2br w:val="nil"/>
                    <w:tr2bl w:val="nil"/>
                  </w:tcBorders>
                  <w:noWrap w:val="0"/>
                  <w:vAlign w:val="center"/>
                </w:tcPr>
                <w:p w14:paraId="1CFE6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63.9</w:t>
                  </w:r>
                </w:p>
              </w:tc>
              <w:tc>
                <w:tcPr>
                  <w:tcW w:w="432" w:type="pct"/>
                  <w:tcBorders>
                    <w:tl2br w:val="nil"/>
                    <w:tr2bl w:val="nil"/>
                  </w:tcBorders>
                  <w:noWrap w:val="0"/>
                  <w:vAlign w:val="center"/>
                </w:tcPr>
                <w:p w14:paraId="13033D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64.7</w:t>
                  </w:r>
                </w:p>
              </w:tc>
              <w:tc>
                <w:tcPr>
                  <w:tcW w:w="432" w:type="pct"/>
                  <w:tcBorders>
                    <w:tl2br w:val="nil"/>
                    <w:tr2bl w:val="nil"/>
                  </w:tcBorders>
                  <w:noWrap w:val="0"/>
                  <w:vAlign w:val="center"/>
                </w:tcPr>
                <w:p w14:paraId="552A1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spacing w:val="0"/>
                      <w:w w:val="100"/>
                      <w:sz w:val="21"/>
                      <w:szCs w:val="21"/>
                    </w:rPr>
                    <w:t>65.1</w:t>
                  </w:r>
                </w:p>
              </w:tc>
              <w:tc>
                <w:tcPr>
                  <w:tcW w:w="432" w:type="pct"/>
                  <w:tcBorders>
                    <w:tl2br w:val="nil"/>
                    <w:tr2bl w:val="nil"/>
                  </w:tcBorders>
                  <w:noWrap w:val="0"/>
                  <w:vAlign w:val="center"/>
                </w:tcPr>
                <w:p w14:paraId="43C965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Times New Roman" w:cs="Times New Roman"/>
                      <w:b/>
                      <w:bCs/>
                      <w:spacing w:val="0"/>
                      <w:w w:val="100"/>
                      <w:sz w:val="21"/>
                      <w:szCs w:val="21"/>
                    </w:rPr>
                    <w:t>67.2</w:t>
                  </w:r>
                </w:p>
              </w:tc>
              <w:tc>
                <w:tcPr>
                  <w:tcW w:w="584" w:type="pct"/>
                  <w:tcBorders>
                    <w:tl2br w:val="nil"/>
                    <w:tr2bl w:val="nil"/>
                  </w:tcBorders>
                  <w:noWrap w:val="0"/>
                  <w:vAlign w:val="center"/>
                </w:tcPr>
                <w:p w14:paraId="034F308F">
                  <w:pPr>
                    <w:keepNext w:val="0"/>
                    <w:keepLines w:val="0"/>
                    <w:pageBreakBefore w:val="0"/>
                    <w:widowControl w:val="0"/>
                    <w:suppressLineNumbers w:val="0"/>
                    <w:tabs>
                      <w:tab w:val="left" w:pos="7378"/>
                    </w:tabs>
                    <w:kinsoku/>
                    <w:wordWrap/>
                    <w:overflowPunct/>
                    <w:topLinePunct w:val="0"/>
                    <w:autoSpaceDE/>
                    <w:autoSpaceDN/>
                    <w:bidi w:val="0"/>
                    <w:adjustRightInd/>
                    <w:snapToGrid/>
                    <w:spacing w:before="0" w:beforeAutospacing="0" w:after="0" w:afterAutospacing="0" w:line="20" w:lineRule="atLeast"/>
                    <w:ind w:left="0" w:leftChars="0" w:right="0" w:rightChars="0" w:firstLine="0" w:firstLineChars="0"/>
                    <w:jc w:val="center"/>
                    <w:textAlignment w:val="auto"/>
                    <w:outlineLvl w:val="9"/>
                    <w:rPr>
                      <w:rFonts w:hint="default" w:ascii="Times New Roman" w:hAnsi="Times New Roman" w:eastAsia="宋体" w:cs="Times New Roman"/>
                      <w:caps w:val="0"/>
                      <w:smallCaps w:val="0"/>
                      <w:color w:val="auto"/>
                      <w:spacing w:val="0"/>
                      <w:sz w:val="21"/>
                      <w:szCs w:val="21"/>
                      <w:highlight w:val="none"/>
                      <w:lang w:val="en-US" w:eastAsia="zh-CN"/>
                    </w:rPr>
                  </w:pPr>
                  <w:r>
                    <w:rPr>
                      <w:rFonts w:hint="eastAsia" w:ascii="Times New Roman" w:hAnsi="Times New Roman" w:eastAsia="宋体" w:cs="Times New Roman"/>
                      <w:caps w:val="0"/>
                      <w:smallCaps w:val="0"/>
                      <w:color w:val="auto"/>
                      <w:spacing w:val="0"/>
                      <w:sz w:val="21"/>
                      <w:szCs w:val="21"/>
                      <w:highlight w:val="none"/>
                      <w:lang w:val="en-US" w:eastAsia="zh-CN"/>
                    </w:rPr>
                    <w:t>150</w:t>
                  </w:r>
                </w:p>
              </w:tc>
            </w:tr>
          </w:tbl>
          <w:p w14:paraId="6A3FC260">
            <w:pPr>
              <w:keepNext w:val="0"/>
              <w:keepLines w:val="0"/>
              <w:widowControl/>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由上表可知，现有项目废水总排口废水</w:t>
            </w:r>
            <w:r>
              <w:rPr>
                <w:rFonts w:hint="eastAsia" w:ascii="Times New Roman" w:hAnsi="Times New Roman" w:cs="Times New Roman"/>
                <w:color w:val="auto"/>
                <w:sz w:val="24"/>
                <w:highlight w:val="none"/>
                <w:lang w:val="en-US" w:eastAsia="zh-CN"/>
              </w:rPr>
              <w:t>满足</w:t>
            </w:r>
            <w:r>
              <w:rPr>
                <w:rFonts w:hint="default" w:ascii="Times New Roman" w:hAnsi="Times New Roman" w:cs="Times New Roman"/>
                <w:color w:val="auto"/>
                <w:sz w:val="24"/>
                <w:highlight w:val="none"/>
                <w:lang w:val="en-US" w:eastAsia="zh-CN"/>
              </w:rPr>
              <w:t>芜湖县污水处理厂接管标准，废水达标排放。</w:t>
            </w:r>
          </w:p>
          <w:p w14:paraId="4222ECB3">
            <w:pPr>
              <w:keepNext w:val="0"/>
              <w:keepLines w:val="0"/>
              <w:widowControl/>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根据《安徽新芜经济开发区扩区总体发展规划（2023-2035年）环境影响报告书》（2024年8月），湾沚区污水厂处理收水范围发生改变，变化前本项目列入湾沚区污水处理厂处理，变化后本项目列入</w:t>
            </w:r>
            <w:r>
              <w:rPr>
                <w:rFonts w:hint="default" w:ascii="Times New Roman" w:hAnsi="Times New Roman" w:cs="Times New Roman"/>
                <w:color w:val="auto"/>
                <w:sz w:val="24"/>
                <w:highlight w:val="none"/>
              </w:rPr>
              <w:t>芜湖县新芜开发区城东污水处理厂处理</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故现有项目废水排放标准不再执行现有项目批复中芜湖县污水处理厂的接管标准，执行本</w:t>
            </w:r>
            <w:r>
              <w:rPr>
                <w:rFonts w:hint="default" w:ascii="Times New Roman" w:hAnsi="Times New Roman" w:eastAsia="宋体" w:cs="Times New Roman"/>
                <w:color w:val="auto"/>
                <w:sz w:val="24"/>
                <w:highlight w:val="none"/>
                <w:lang w:val="en-US" w:eastAsia="zh-CN"/>
              </w:rPr>
              <w:t>项目现行污水排放标准，即执行《污水综合排放标准》（GB8978-1996）</w:t>
            </w:r>
            <w:r>
              <w:rPr>
                <w:rFonts w:hint="eastAsia" w:ascii="Times New Roman" w:hAnsi="Times New Roman" w:eastAsia="宋体" w:cs="Times New Roman"/>
                <w:color w:val="auto"/>
                <w:sz w:val="24"/>
                <w:highlight w:val="none"/>
                <w:lang w:val="en-US" w:eastAsia="zh-CN"/>
              </w:rPr>
              <w:t>表4</w:t>
            </w:r>
            <w:r>
              <w:rPr>
                <w:rFonts w:hint="default" w:ascii="Times New Roman" w:hAnsi="Times New Roman" w:eastAsia="宋体" w:cs="Times New Roman"/>
                <w:color w:val="auto"/>
                <w:sz w:val="24"/>
                <w:highlight w:val="none"/>
                <w:lang w:val="en-US" w:eastAsia="zh-CN"/>
              </w:rPr>
              <w:t>中三级标准。</w:t>
            </w:r>
            <w:r>
              <w:rPr>
                <w:rFonts w:hint="default" w:ascii="Times New Roman" w:hAnsi="Times New Roman" w:cs="Times New Roman"/>
                <w:color w:val="auto"/>
                <w:sz w:val="24"/>
                <w:highlight w:val="none"/>
              </w:rPr>
              <w:t>现有项目水平衡见下图。</w:t>
            </w:r>
          </w:p>
          <w:p w14:paraId="7BEC485A">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sz w:val="24"/>
                <w:szCs w:val="20"/>
                <w:highlight w:val="none"/>
              </w:rPr>
            </w:pPr>
            <w:r>
              <w:rPr>
                <w:rFonts w:hint="default" w:ascii="Times New Roman" w:hAnsi="Times New Roman" w:eastAsia="宋体" w:cs="Times New Roman"/>
                <w:sz w:val="24"/>
                <w:highlight w:val="none"/>
                <w:vertAlign w:val="baseline"/>
              </w:rPr>
              <w:object>
                <v:shape id="_x0000_i1030" o:spt="75" type="#_x0000_t75" style="height:53.55pt;width:416.55pt;" o:ole="t" filled="f" o:preferrelative="t" stroked="f" coordsize="21600,21600">
                  <v:path/>
                  <v:fill on="f" focussize="0,0"/>
                  <v:stroke on="f"/>
                  <v:imagedata r:id="rId22" o:title=""/>
                  <o:lock v:ext="edit" aspectratio="f"/>
                  <w10:wrap type="none"/>
                  <w10:anchorlock/>
                </v:shape>
                <o:OLEObject Type="Embed" ProgID="Visio.Drawing.11" ShapeID="_x0000_i1030" DrawAspect="Content" ObjectID="_1468075730" r:id="rId21">
                  <o:LockedField>false</o:LockedField>
                </o:OLEObject>
              </w:object>
            </w:r>
            <w:r>
              <w:rPr>
                <w:rFonts w:hint="default" w:ascii="Times New Roman" w:hAnsi="Times New Roman" w:cs="Times New Roman"/>
                <w:b/>
                <w:bCs/>
                <w:color w:val="auto"/>
                <w:sz w:val="24"/>
                <w:szCs w:val="20"/>
                <w:highlight w:val="none"/>
              </w:rPr>
              <w:t>图2-</w:t>
            </w:r>
            <w:r>
              <w:rPr>
                <w:rFonts w:hint="eastAsia" w:cs="Times New Roman"/>
                <w:b/>
                <w:bCs/>
                <w:color w:val="auto"/>
                <w:sz w:val="24"/>
                <w:szCs w:val="20"/>
                <w:highlight w:val="none"/>
                <w:lang w:val="en-US" w:eastAsia="zh-CN"/>
              </w:rPr>
              <w:t>6</w:t>
            </w:r>
            <w:r>
              <w:rPr>
                <w:rFonts w:hint="default" w:ascii="Times New Roman" w:hAnsi="Times New Roman" w:cs="Times New Roman"/>
                <w:b/>
                <w:bCs/>
                <w:color w:val="auto"/>
                <w:sz w:val="24"/>
                <w:szCs w:val="20"/>
                <w:highlight w:val="none"/>
              </w:rPr>
              <w:t xml:space="preserve">  现有项目水平衡图  单位：t/a</w:t>
            </w:r>
          </w:p>
          <w:p w14:paraId="3D74286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（3）噪声</w:t>
            </w:r>
          </w:p>
          <w:p w14:paraId="5CCB42FD">
            <w:pPr>
              <w:keepNext w:val="0"/>
              <w:keepLines w:val="0"/>
              <w:widowControl/>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kern w:val="0"/>
                <w:sz w:val="24"/>
                <w:szCs w:val="22"/>
                <w:highlight w:val="none"/>
              </w:rPr>
            </w:pPr>
            <w:r>
              <w:rPr>
                <w:rFonts w:hint="default" w:ascii="Times New Roman" w:hAnsi="Times New Roman" w:cs="Times New Roman"/>
                <w:color w:val="auto"/>
                <w:sz w:val="24"/>
                <w:highlight w:val="none"/>
              </w:rPr>
              <w:t>厂界噪声</w:t>
            </w:r>
            <w:r>
              <w:rPr>
                <w:rFonts w:hint="default" w:ascii="Times New Roman" w:hAnsi="Times New Roman" w:cs="Times New Roman"/>
                <w:color w:val="auto"/>
                <w:kern w:val="0"/>
                <w:sz w:val="24"/>
                <w:highlight w:val="none"/>
              </w:rPr>
              <w:t>监测</w:t>
            </w:r>
            <w:r>
              <w:rPr>
                <w:rFonts w:hint="default" w:ascii="Times New Roman" w:hAnsi="Times New Roman" w:cs="Times New Roman"/>
                <w:color w:val="auto"/>
                <w:kern w:val="0"/>
                <w:sz w:val="24"/>
                <w:szCs w:val="22"/>
                <w:highlight w:val="none"/>
              </w:rPr>
              <w:t>结果详见下表。</w:t>
            </w:r>
          </w:p>
          <w:p w14:paraId="571A4CE5">
            <w:pPr>
              <w:keepNext w:val="0"/>
              <w:keepLines w:val="0"/>
              <w:widowControl/>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b/>
                <w:bCs/>
                <w:color w:val="auto"/>
                <w:kern w:val="0"/>
                <w:sz w:val="24"/>
                <w:szCs w:val="20"/>
                <w:highlight w:val="none"/>
                <w:lang w:val="zh-CN"/>
              </w:rPr>
            </w:pPr>
            <w:r>
              <w:rPr>
                <w:rFonts w:hint="default" w:ascii="Times New Roman" w:hAnsi="Times New Roman" w:cs="Times New Roman" w:eastAsiaTheme="minorEastAsia"/>
                <w:b/>
                <w:bCs/>
                <w:color w:val="auto"/>
                <w:kern w:val="0"/>
                <w:sz w:val="24"/>
                <w:szCs w:val="20"/>
                <w:highlight w:val="none"/>
                <w:lang w:val="zh-CN"/>
              </w:rPr>
              <w:t>表2-</w:t>
            </w:r>
            <w:r>
              <w:rPr>
                <w:rFonts w:hint="eastAsia" w:cs="Times New Roman" w:eastAsiaTheme="minorEastAsia"/>
                <w:b/>
                <w:bCs/>
                <w:color w:val="auto"/>
                <w:kern w:val="0"/>
                <w:sz w:val="24"/>
                <w:szCs w:val="20"/>
                <w:highlight w:val="none"/>
                <w:lang w:val="en-US" w:eastAsia="zh-CN"/>
              </w:rPr>
              <w:t>20</w:t>
            </w:r>
            <w:r>
              <w:rPr>
                <w:rFonts w:hint="default" w:ascii="Times New Roman" w:hAnsi="Times New Roman" w:cs="Times New Roman" w:eastAsiaTheme="minorEastAsia"/>
                <w:b/>
                <w:bCs/>
                <w:color w:val="auto"/>
                <w:kern w:val="0"/>
                <w:sz w:val="24"/>
                <w:szCs w:val="20"/>
                <w:highlight w:val="none"/>
                <w:lang w:val="zh-CN"/>
              </w:rPr>
              <w:t xml:space="preserve">  厂界噪声现状监测结果统计表   单位：Leq dB(A)</w:t>
            </w:r>
          </w:p>
          <w:tbl>
            <w:tblPr>
              <w:tblStyle w:val="61"/>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3"/>
              <w:gridCol w:w="1846"/>
              <w:gridCol w:w="1846"/>
              <w:gridCol w:w="2873"/>
            </w:tblGrid>
            <w:tr w14:paraId="55459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813" w:type="dxa"/>
                  <w:vMerge w:val="restart"/>
                  <w:tcBorders>
                    <w:top w:val="single" w:color="auto" w:sz="4" w:space="0"/>
                    <w:left w:val="single" w:color="auto" w:sz="4" w:space="0"/>
                    <w:right w:val="single" w:color="auto" w:sz="4" w:space="0"/>
                  </w:tcBorders>
                  <w:shd w:val="clear" w:color="auto" w:fill="FFFFFF"/>
                  <w:vAlign w:val="center"/>
                </w:tcPr>
                <w:p w14:paraId="1455582D">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监测时间</w:t>
                  </w:r>
                </w:p>
              </w:tc>
              <w:tc>
                <w:tcPr>
                  <w:tcW w:w="1846" w:type="dxa"/>
                  <w:vMerge w:val="restart"/>
                  <w:tcBorders>
                    <w:top w:val="single" w:color="auto" w:sz="4" w:space="0"/>
                    <w:left w:val="single" w:color="auto" w:sz="4" w:space="0"/>
                    <w:right w:val="single" w:color="auto" w:sz="4" w:space="0"/>
                  </w:tcBorders>
                  <w:shd w:val="clear" w:color="auto" w:fill="FFFFFF"/>
                  <w:vAlign w:val="center"/>
                </w:tcPr>
                <w:p w14:paraId="4D4B3E2E">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lang w:val="en-US" w:eastAsia="zh-CN"/>
                    </w:rPr>
                  </w:pPr>
                  <w:r>
                    <w:rPr>
                      <w:rFonts w:hint="eastAsia" w:cs="Times New Roman"/>
                      <w:b/>
                      <w:bCs/>
                      <w:color w:val="auto"/>
                      <w:szCs w:val="21"/>
                      <w:highlight w:val="none"/>
                      <w:lang w:val="en-US" w:eastAsia="zh-CN"/>
                    </w:rPr>
                    <w:t>测试时间</w:t>
                  </w:r>
                </w:p>
              </w:tc>
              <w:tc>
                <w:tcPr>
                  <w:tcW w:w="1846" w:type="dxa"/>
                  <w:vMerge w:val="restart"/>
                  <w:tcBorders>
                    <w:top w:val="single" w:color="auto" w:sz="4" w:space="0"/>
                    <w:left w:val="single" w:color="auto" w:sz="4" w:space="0"/>
                    <w:right w:val="single" w:color="auto" w:sz="4" w:space="0"/>
                  </w:tcBorders>
                  <w:shd w:val="clear" w:color="auto" w:fill="FFFFFF"/>
                  <w:vAlign w:val="center"/>
                </w:tcPr>
                <w:p w14:paraId="50536FC9">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测点位置</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1866D0CB">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检测结果</w:t>
                  </w:r>
                  <w:r>
                    <w:rPr>
                      <w:rFonts w:hint="default" w:ascii="Times New Roman" w:hAnsi="Times New Roman" w:cs="Times New Roman"/>
                      <w:b/>
                      <w:color w:val="auto"/>
                      <w:szCs w:val="21"/>
                      <w:highlight w:val="none"/>
                    </w:rPr>
                    <w:t>（</w:t>
                  </w:r>
                  <w:r>
                    <w:rPr>
                      <w:rFonts w:hint="default" w:ascii="Times New Roman" w:hAnsi="Times New Roman" w:cs="Times New Roman"/>
                      <w:b/>
                      <w:color w:val="auto"/>
                      <w:szCs w:val="21"/>
                      <w:highlight w:val="none"/>
                      <w:shd w:val="clear" w:color="auto" w:fill="FFFFFF"/>
                    </w:rPr>
                    <w:t>mg/m³</w:t>
                  </w:r>
                  <w:r>
                    <w:rPr>
                      <w:rFonts w:hint="default" w:ascii="Times New Roman" w:hAnsi="Times New Roman" w:cs="Times New Roman"/>
                      <w:b/>
                      <w:color w:val="auto"/>
                      <w:szCs w:val="21"/>
                      <w:highlight w:val="none"/>
                    </w:rPr>
                    <w:t>）</w:t>
                  </w:r>
                </w:p>
              </w:tc>
            </w:tr>
            <w:tr w14:paraId="1ADBD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1813" w:type="dxa"/>
                  <w:vMerge w:val="continue"/>
                  <w:tcBorders>
                    <w:left w:val="single" w:color="auto" w:sz="4" w:space="0"/>
                    <w:bottom w:val="single" w:color="auto" w:sz="4" w:space="0"/>
                    <w:right w:val="single" w:color="auto" w:sz="4" w:space="0"/>
                  </w:tcBorders>
                  <w:shd w:val="clear" w:color="auto" w:fill="FFFFFF"/>
                  <w:vAlign w:val="center"/>
                </w:tcPr>
                <w:p w14:paraId="7026B10D">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p>
              </w:tc>
              <w:tc>
                <w:tcPr>
                  <w:tcW w:w="1846" w:type="dxa"/>
                  <w:vMerge w:val="continue"/>
                  <w:tcBorders>
                    <w:left w:val="single" w:color="auto" w:sz="4" w:space="0"/>
                    <w:bottom w:val="single" w:color="auto" w:sz="4" w:space="0"/>
                    <w:right w:val="single" w:color="auto" w:sz="4" w:space="0"/>
                  </w:tcBorders>
                  <w:shd w:val="clear" w:color="auto" w:fill="FFFFFF"/>
                  <w:vAlign w:val="center"/>
                </w:tcPr>
                <w:p w14:paraId="5AE4ED99">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p>
              </w:tc>
              <w:tc>
                <w:tcPr>
                  <w:tcW w:w="1846" w:type="dxa"/>
                  <w:vMerge w:val="continue"/>
                  <w:tcBorders>
                    <w:left w:val="single" w:color="auto" w:sz="4" w:space="0"/>
                    <w:bottom w:val="single" w:color="auto" w:sz="4" w:space="0"/>
                    <w:right w:val="single" w:color="auto" w:sz="4" w:space="0"/>
                  </w:tcBorders>
                  <w:shd w:val="clear" w:color="auto" w:fill="FFFFFF"/>
                  <w:vAlign w:val="center"/>
                </w:tcPr>
                <w:p w14:paraId="004BE973">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69D92F67">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color w:val="auto"/>
                      <w:szCs w:val="21"/>
                      <w:highlight w:val="none"/>
                    </w:rPr>
                    <w:t>昼间</w:t>
                  </w:r>
                </w:p>
              </w:tc>
            </w:tr>
            <w:tr w14:paraId="3D70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813" w:type="dxa"/>
                  <w:vMerge w:val="restart"/>
                  <w:tcBorders>
                    <w:top w:val="single" w:color="auto" w:sz="4" w:space="0"/>
                    <w:left w:val="single" w:color="auto" w:sz="4" w:space="0"/>
                    <w:right w:val="single" w:color="auto" w:sz="4" w:space="0"/>
                  </w:tcBorders>
                  <w:shd w:val="clear" w:color="auto" w:fill="FFFFFF"/>
                  <w:vAlign w:val="center"/>
                </w:tcPr>
                <w:p w14:paraId="1C035DD5">
                  <w:pPr>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rPr>
                    <w:t>2020.05.21</w:t>
                  </w:r>
                </w:p>
              </w:tc>
              <w:tc>
                <w:tcPr>
                  <w:tcW w:w="1846" w:type="dxa"/>
                  <w:vMerge w:val="restart"/>
                  <w:tcBorders>
                    <w:top w:val="single" w:color="auto" w:sz="4" w:space="0"/>
                    <w:left w:val="single" w:color="auto" w:sz="4" w:space="0"/>
                    <w:right w:val="single" w:color="auto" w:sz="4" w:space="0"/>
                  </w:tcBorders>
                  <w:shd w:val="clear" w:color="auto" w:fill="FFFFFF"/>
                  <w:vAlign w:val="center"/>
                </w:tcPr>
                <w:p w14:paraId="2E16498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昼间</w:t>
                  </w:r>
                </w:p>
              </w:tc>
              <w:tc>
                <w:tcPr>
                  <w:tcW w:w="1846" w:type="dxa"/>
                  <w:tcBorders>
                    <w:top w:val="single" w:color="auto" w:sz="4" w:space="0"/>
                    <w:left w:val="single" w:color="auto" w:sz="4" w:space="0"/>
                    <w:right w:val="single" w:color="auto" w:sz="4" w:space="0"/>
                  </w:tcBorders>
                  <w:shd w:val="clear" w:color="auto" w:fill="FFFFFF"/>
                  <w:vAlign w:val="center"/>
                </w:tcPr>
                <w:p w14:paraId="03B83E3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厂界东</w:t>
                  </w:r>
                </w:p>
              </w:tc>
              <w:tc>
                <w:tcPr>
                  <w:tcW w:w="2873" w:type="dxa"/>
                  <w:tcBorders>
                    <w:top w:val="single" w:color="auto" w:sz="4" w:space="0"/>
                    <w:left w:val="single" w:color="auto" w:sz="4" w:space="0"/>
                    <w:right w:val="single" w:color="auto" w:sz="4" w:space="0"/>
                  </w:tcBorders>
                  <w:shd w:val="clear" w:color="auto" w:fill="FFFFFF"/>
                  <w:vAlign w:val="center"/>
                </w:tcPr>
                <w:p w14:paraId="24F78F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55.1</w:t>
                  </w:r>
                </w:p>
              </w:tc>
            </w:tr>
            <w:tr w14:paraId="16D25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39C4C89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740C42E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028CD7F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厂界南</w:t>
                  </w:r>
                </w:p>
              </w:tc>
              <w:tc>
                <w:tcPr>
                  <w:tcW w:w="2873" w:type="dxa"/>
                  <w:tcBorders>
                    <w:left w:val="single" w:color="auto" w:sz="4" w:space="0"/>
                    <w:right w:val="single" w:color="auto" w:sz="4" w:space="0"/>
                  </w:tcBorders>
                  <w:shd w:val="clear" w:color="auto" w:fill="FFFFFF"/>
                  <w:vAlign w:val="center"/>
                </w:tcPr>
                <w:p w14:paraId="2EEB6B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55.4</w:t>
                  </w:r>
                </w:p>
              </w:tc>
            </w:tr>
            <w:tr w14:paraId="06818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676E787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1762170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1C958B2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厂界西</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17DEFE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55.3</w:t>
                  </w:r>
                </w:p>
              </w:tc>
            </w:tr>
            <w:tr w14:paraId="7B90E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2AF8147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6B0DDDF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46BE26A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厂界北</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313B52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55.4</w:t>
                  </w:r>
                </w:p>
              </w:tc>
            </w:tr>
            <w:tr w14:paraId="23E2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restart"/>
                  <w:tcBorders>
                    <w:left w:val="single" w:color="auto" w:sz="4" w:space="0"/>
                    <w:right w:val="single" w:color="auto" w:sz="4" w:space="0"/>
                  </w:tcBorders>
                  <w:shd w:val="clear" w:color="auto" w:fill="FFFFFF"/>
                  <w:vAlign w:val="center"/>
                </w:tcPr>
                <w:p w14:paraId="5A03C2A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cs="Times New Roman"/>
                      <w:color w:val="auto"/>
                      <w:kern w:val="0"/>
                      <w:szCs w:val="21"/>
                      <w:highlight w:val="none"/>
                      <w:lang w:val="en-US" w:eastAsia="zh-CN"/>
                    </w:rPr>
                    <w:t>2020.05.21</w:t>
                  </w:r>
                </w:p>
              </w:tc>
              <w:tc>
                <w:tcPr>
                  <w:tcW w:w="1846" w:type="dxa"/>
                  <w:vMerge w:val="restart"/>
                  <w:tcBorders>
                    <w:left w:val="single" w:color="auto" w:sz="4" w:space="0"/>
                    <w:right w:val="single" w:color="auto" w:sz="4" w:space="0"/>
                  </w:tcBorders>
                  <w:shd w:val="clear" w:color="auto" w:fill="FFFFFF"/>
                  <w:vAlign w:val="center"/>
                </w:tcPr>
                <w:p w14:paraId="2CDC63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夜间</w:t>
                  </w:r>
                </w:p>
              </w:tc>
              <w:tc>
                <w:tcPr>
                  <w:tcW w:w="1846" w:type="dxa"/>
                  <w:tcBorders>
                    <w:left w:val="single" w:color="auto" w:sz="4" w:space="0"/>
                    <w:right w:val="single" w:color="auto" w:sz="4" w:space="0"/>
                  </w:tcBorders>
                  <w:shd w:val="clear" w:color="auto" w:fill="FFFFFF"/>
                  <w:vAlign w:val="center"/>
                </w:tcPr>
                <w:p w14:paraId="45E757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厂界东</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1CBE7BA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44.8</w:t>
                  </w:r>
                </w:p>
              </w:tc>
            </w:tr>
            <w:tr w14:paraId="4AF00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60E99E7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607BA99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79EFDD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厂界南</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4677A1B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44.9</w:t>
                  </w:r>
                </w:p>
              </w:tc>
            </w:tr>
            <w:tr w14:paraId="66756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7200074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42DCD06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51E5FC7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厂界西</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2A7400A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45.1</w:t>
                  </w:r>
                </w:p>
              </w:tc>
            </w:tr>
            <w:tr w14:paraId="3E2F2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1A1B654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446DD2F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4011A2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厂界北</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76EC107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45.3</w:t>
                  </w:r>
                </w:p>
              </w:tc>
            </w:tr>
            <w:tr w14:paraId="2976D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restart"/>
                  <w:tcBorders>
                    <w:left w:val="single" w:color="auto" w:sz="4" w:space="0"/>
                    <w:right w:val="single" w:color="auto" w:sz="4" w:space="0"/>
                  </w:tcBorders>
                  <w:shd w:val="clear" w:color="auto" w:fill="FFFFFF"/>
                  <w:vAlign w:val="center"/>
                </w:tcPr>
                <w:p w14:paraId="72BEFFAB">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rPr>
                  </w:pPr>
                  <w:r>
                    <w:rPr>
                      <w:rFonts w:hint="eastAsia" w:cs="Times New Roman"/>
                      <w:color w:val="auto"/>
                      <w:kern w:val="0"/>
                      <w:szCs w:val="21"/>
                      <w:highlight w:val="none"/>
                      <w:lang w:val="en-US" w:eastAsia="zh-CN"/>
                    </w:rPr>
                    <w:t>2020.05.22</w:t>
                  </w:r>
                </w:p>
              </w:tc>
              <w:tc>
                <w:tcPr>
                  <w:tcW w:w="1846" w:type="dxa"/>
                  <w:vMerge w:val="restart"/>
                  <w:tcBorders>
                    <w:left w:val="single" w:color="auto" w:sz="4" w:space="0"/>
                    <w:right w:val="single" w:color="auto" w:sz="4" w:space="0"/>
                  </w:tcBorders>
                  <w:shd w:val="clear" w:color="auto" w:fill="FFFFFF"/>
                  <w:vAlign w:val="center"/>
                </w:tcPr>
                <w:p w14:paraId="3A4B01C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昼间</w:t>
                  </w:r>
                </w:p>
                <w:p w14:paraId="0724D39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1AD8504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厂界东</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0326E4AE">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55.2</w:t>
                  </w:r>
                </w:p>
              </w:tc>
            </w:tr>
            <w:tr w14:paraId="7FC93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0395DB3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4E3B8C5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699E3BC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厂界南</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5F289676">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55.4</w:t>
                  </w:r>
                </w:p>
              </w:tc>
            </w:tr>
            <w:tr w14:paraId="752C3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0EAEF0E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1FA7AEB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51F68BD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厂界西</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7A24781F">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55.3</w:t>
                  </w:r>
                </w:p>
              </w:tc>
            </w:tr>
            <w:tr w14:paraId="13AE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619DF78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4A7FEAC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66ABFF0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厂界北</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40EB9128">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55.2</w:t>
                  </w:r>
                </w:p>
              </w:tc>
            </w:tr>
            <w:tr w14:paraId="60CF1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restart"/>
                  <w:tcBorders>
                    <w:left w:val="single" w:color="auto" w:sz="4" w:space="0"/>
                    <w:right w:val="single" w:color="auto" w:sz="4" w:space="0"/>
                  </w:tcBorders>
                  <w:shd w:val="clear" w:color="auto" w:fill="FFFFFF"/>
                  <w:vAlign w:val="center"/>
                </w:tcPr>
                <w:p w14:paraId="7AE8AFB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0"/>
                      <w:szCs w:val="21"/>
                      <w:highlight w:val="none"/>
                      <w:lang w:val="en-US" w:eastAsia="zh-CN"/>
                    </w:rPr>
                    <w:t>2020.05.22</w:t>
                  </w:r>
                </w:p>
              </w:tc>
              <w:tc>
                <w:tcPr>
                  <w:tcW w:w="1846" w:type="dxa"/>
                  <w:vMerge w:val="restart"/>
                  <w:tcBorders>
                    <w:left w:val="single" w:color="auto" w:sz="4" w:space="0"/>
                    <w:right w:val="single" w:color="auto" w:sz="4" w:space="0"/>
                  </w:tcBorders>
                  <w:shd w:val="clear" w:color="auto" w:fill="FFFFFF"/>
                  <w:vAlign w:val="center"/>
                </w:tcPr>
                <w:p w14:paraId="395EB87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夜间</w:t>
                  </w:r>
                </w:p>
              </w:tc>
              <w:tc>
                <w:tcPr>
                  <w:tcW w:w="1846" w:type="dxa"/>
                  <w:tcBorders>
                    <w:left w:val="single" w:color="auto" w:sz="4" w:space="0"/>
                    <w:right w:val="single" w:color="auto" w:sz="4" w:space="0"/>
                  </w:tcBorders>
                  <w:shd w:val="clear" w:color="auto" w:fill="FFFFFF"/>
                  <w:vAlign w:val="center"/>
                </w:tcPr>
                <w:p w14:paraId="120586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厂界东</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301050F3">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44.4</w:t>
                  </w:r>
                </w:p>
              </w:tc>
            </w:tr>
            <w:tr w14:paraId="611B1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3F742D1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7FE3FB2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04D7DCC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厂界南</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447F8F34">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45.7</w:t>
                  </w:r>
                </w:p>
              </w:tc>
            </w:tr>
            <w:tr w14:paraId="7B535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6057DDA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39E256B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3886A34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厂界西</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13FD7FEA">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45.1</w:t>
                  </w:r>
                </w:p>
              </w:tc>
            </w:tr>
            <w:tr w14:paraId="45A7B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3" w:type="dxa"/>
                  <w:vMerge w:val="continue"/>
                  <w:tcBorders>
                    <w:left w:val="single" w:color="auto" w:sz="4" w:space="0"/>
                    <w:right w:val="single" w:color="auto" w:sz="4" w:space="0"/>
                  </w:tcBorders>
                  <w:shd w:val="clear" w:color="auto" w:fill="FFFFFF"/>
                  <w:vAlign w:val="center"/>
                </w:tcPr>
                <w:p w14:paraId="40C821B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vMerge w:val="continue"/>
                  <w:tcBorders>
                    <w:left w:val="single" w:color="auto" w:sz="4" w:space="0"/>
                    <w:right w:val="single" w:color="auto" w:sz="4" w:space="0"/>
                  </w:tcBorders>
                  <w:shd w:val="clear" w:color="auto" w:fill="FFFFFF"/>
                  <w:vAlign w:val="center"/>
                </w:tcPr>
                <w:p w14:paraId="2737A81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846" w:type="dxa"/>
                  <w:tcBorders>
                    <w:left w:val="single" w:color="auto" w:sz="4" w:space="0"/>
                    <w:right w:val="single" w:color="auto" w:sz="4" w:space="0"/>
                  </w:tcBorders>
                  <w:shd w:val="clear" w:color="auto" w:fill="FFFFFF"/>
                  <w:vAlign w:val="center"/>
                </w:tcPr>
                <w:p w14:paraId="2334E48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厂界北</w:t>
                  </w:r>
                </w:p>
              </w:tc>
              <w:tc>
                <w:tcPr>
                  <w:tcW w:w="2873" w:type="dxa"/>
                  <w:tcBorders>
                    <w:top w:val="single" w:color="auto" w:sz="4" w:space="0"/>
                    <w:left w:val="single" w:color="auto" w:sz="4" w:space="0"/>
                    <w:bottom w:val="single" w:color="auto" w:sz="4" w:space="0"/>
                    <w:right w:val="single" w:color="auto" w:sz="4" w:space="0"/>
                  </w:tcBorders>
                  <w:shd w:val="clear" w:color="auto" w:fill="FFFFFF"/>
                  <w:vAlign w:val="center"/>
                </w:tcPr>
                <w:p w14:paraId="56F47680">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45.6</w:t>
                  </w:r>
                </w:p>
              </w:tc>
            </w:tr>
          </w:tbl>
          <w:p w14:paraId="16B126CF">
            <w:pPr>
              <w:keepNext w:val="0"/>
              <w:keepLines w:val="0"/>
              <w:suppressLineNumbers w:val="0"/>
              <w:spacing w:before="100" w:beforeAutospacing="1"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由检测结果可知，</w:t>
            </w:r>
            <w:r>
              <w:rPr>
                <w:rFonts w:hint="default" w:ascii="Times New Roman" w:hAnsi="Times New Roman" w:cs="Times New Roman"/>
                <w:color w:val="auto"/>
                <w:kern w:val="0"/>
                <w:sz w:val="24"/>
                <w:highlight w:val="none"/>
              </w:rPr>
              <w:t>昼</w:t>
            </w:r>
            <w:r>
              <w:rPr>
                <w:rFonts w:hint="eastAsia" w:cs="Times New Roman"/>
                <w:color w:val="auto"/>
                <w:kern w:val="0"/>
                <w:sz w:val="24"/>
                <w:highlight w:val="none"/>
                <w:lang w:val="en-US" w:eastAsia="zh-CN"/>
              </w:rPr>
              <w:t>夜</w:t>
            </w:r>
            <w:r>
              <w:rPr>
                <w:rFonts w:hint="default" w:ascii="Times New Roman" w:hAnsi="Times New Roman" w:cs="Times New Roman"/>
                <w:color w:val="auto"/>
                <w:kern w:val="0"/>
                <w:sz w:val="24"/>
                <w:highlight w:val="none"/>
              </w:rPr>
              <w:t>间厂界噪声均满足《工业企业厂界环境噪声排放标准》（GB12348-2008）3类标准限值要求（昼间≤65dB(A）</w:t>
            </w:r>
            <w:r>
              <w:rPr>
                <w:rFonts w:hint="eastAsia" w:cs="Times New Roman"/>
                <w:color w:val="auto"/>
                <w:kern w:val="0"/>
                <w:sz w:val="24"/>
                <w:highlight w:val="none"/>
                <w:lang w:eastAsia="zh-CN"/>
              </w:rPr>
              <w:t>，</w:t>
            </w:r>
            <w:r>
              <w:rPr>
                <w:rFonts w:hint="eastAsia" w:cs="Times New Roman"/>
                <w:color w:val="auto"/>
                <w:kern w:val="0"/>
                <w:sz w:val="24"/>
                <w:highlight w:val="none"/>
                <w:lang w:val="en-US" w:eastAsia="zh-CN"/>
              </w:rPr>
              <w:t>夜间</w:t>
            </w:r>
            <w:r>
              <w:rPr>
                <w:rFonts w:hint="default" w:ascii="Times New Roman" w:hAnsi="Times New Roman" w:cs="Times New Roman"/>
                <w:color w:val="auto"/>
                <w:kern w:val="0"/>
                <w:sz w:val="24"/>
                <w:highlight w:val="none"/>
              </w:rPr>
              <w:t>≤</w:t>
            </w:r>
            <w:r>
              <w:rPr>
                <w:rFonts w:hint="eastAsia" w:cs="Times New Roman"/>
                <w:color w:val="auto"/>
                <w:kern w:val="0"/>
                <w:sz w:val="24"/>
                <w:highlight w:val="none"/>
                <w:lang w:val="en-US" w:eastAsia="zh-CN"/>
              </w:rPr>
              <w:t>5</w:t>
            </w:r>
            <w:r>
              <w:rPr>
                <w:rFonts w:hint="default" w:ascii="Times New Roman" w:hAnsi="Times New Roman" w:cs="Times New Roman"/>
                <w:color w:val="auto"/>
                <w:kern w:val="0"/>
                <w:sz w:val="24"/>
                <w:highlight w:val="none"/>
              </w:rPr>
              <w:t>5dB(A）</w:t>
            </w:r>
            <w:r>
              <w:rPr>
                <w:rFonts w:hint="eastAsia" w:cs="Times New Roman"/>
                <w:color w:val="auto"/>
                <w:kern w:val="0"/>
                <w:sz w:val="24"/>
                <w:highlight w:val="none"/>
                <w:lang w:eastAsia="zh-CN"/>
              </w:rPr>
              <w:t>）</w:t>
            </w:r>
            <w:r>
              <w:rPr>
                <w:rFonts w:hint="default" w:ascii="Times New Roman" w:hAnsi="Times New Roman" w:cs="Times New Roman"/>
                <w:color w:val="auto"/>
                <w:kern w:val="0"/>
                <w:sz w:val="24"/>
                <w:highlight w:val="none"/>
              </w:rPr>
              <w:t>。</w:t>
            </w:r>
          </w:p>
          <w:p w14:paraId="334D6AB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（4）固体废物</w:t>
            </w:r>
          </w:p>
          <w:p w14:paraId="018F8C6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现有项目固体废物产生及处置情况见下表。</w:t>
            </w:r>
          </w:p>
          <w:p w14:paraId="2063F8B5">
            <w:pPr>
              <w:keepNext w:val="0"/>
              <w:keepLines w:val="0"/>
              <w:widowControl/>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b/>
                <w:bCs/>
                <w:color w:val="auto"/>
                <w:kern w:val="0"/>
                <w:sz w:val="24"/>
                <w:szCs w:val="20"/>
                <w:highlight w:val="none"/>
                <w:lang w:val="zh-CN"/>
              </w:rPr>
            </w:pPr>
            <w:r>
              <w:rPr>
                <w:rFonts w:hint="default" w:ascii="Times New Roman" w:hAnsi="Times New Roman" w:cs="Times New Roman" w:eastAsiaTheme="minorEastAsia"/>
                <w:b/>
                <w:bCs/>
                <w:color w:val="auto"/>
                <w:kern w:val="0"/>
                <w:sz w:val="24"/>
                <w:szCs w:val="20"/>
                <w:highlight w:val="none"/>
                <w:lang w:val="zh-CN"/>
              </w:rPr>
              <w:t>表2-</w:t>
            </w:r>
            <w:r>
              <w:rPr>
                <w:rFonts w:hint="eastAsia" w:cs="Times New Roman" w:eastAsiaTheme="minorEastAsia"/>
                <w:b/>
                <w:bCs/>
                <w:color w:val="auto"/>
                <w:kern w:val="0"/>
                <w:sz w:val="24"/>
                <w:szCs w:val="20"/>
                <w:highlight w:val="none"/>
                <w:lang w:val="en-US" w:eastAsia="zh-CN"/>
              </w:rPr>
              <w:t>21</w:t>
            </w:r>
            <w:r>
              <w:rPr>
                <w:rFonts w:hint="default" w:ascii="Times New Roman" w:hAnsi="Times New Roman" w:cs="Times New Roman" w:eastAsiaTheme="minorEastAsia"/>
                <w:b/>
                <w:bCs/>
                <w:color w:val="auto"/>
                <w:kern w:val="0"/>
                <w:sz w:val="24"/>
                <w:szCs w:val="20"/>
                <w:highlight w:val="none"/>
                <w:lang w:val="zh-CN"/>
              </w:rPr>
              <w:t xml:space="preserve">  现有项目固体废弃物处理措施一览表</w:t>
            </w:r>
          </w:p>
          <w:tbl>
            <w:tblPr>
              <w:tblStyle w:val="61"/>
              <w:tblW w:w="8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2495"/>
              <w:gridCol w:w="1338"/>
              <w:gridCol w:w="1417"/>
              <w:gridCol w:w="2359"/>
            </w:tblGrid>
            <w:tr w14:paraId="7A9F1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72" w:type="dxa"/>
                  <w:vAlign w:val="center"/>
                </w:tcPr>
                <w:p w14:paraId="3D755D7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固废种类</w:t>
                  </w:r>
                </w:p>
              </w:tc>
              <w:tc>
                <w:tcPr>
                  <w:tcW w:w="2495" w:type="dxa"/>
                  <w:vAlign w:val="center"/>
                </w:tcPr>
                <w:p w14:paraId="72BB75E8">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固废名称</w:t>
                  </w:r>
                </w:p>
              </w:tc>
              <w:tc>
                <w:tcPr>
                  <w:tcW w:w="1338" w:type="dxa"/>
                  <w:vAlign w:val="center"/>
                </w:tcPr>
                <w:p w14:paraId="2834DC3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产生量（t/a）</w:t>
                  </w:r>
                </w:p>
              </w:tc>
              <w:tc>
                <w:tcPr>
                  <w:tcW w:w="1417" w:type="dxa"/>
                  <w:vAlign w:val="center"/>
                </w:tcPr>
                <w:p w14:paraId="389EF0B6">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排放量（t/a）</w:t>
                  </w:r>
                </w:p>
              </w:tc>
              <w:tc>
                <w:tcPr>
                  <w:tcW w:w="2359" w:type="dxa"/>
                  <w:vAlign w:val="center"/>
                </w:tcPr>
                <w:p w14:paraId="6476310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处置途径</w:t>
                  </w:r>
                </w:p>
              </w:tc>
            </w:tr>
            <w:tr w14:paraId="0BB3F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restart"/>
                  <w:vAlign w:val="center"/>
                </w:tcPr>
                <w:p w14:paraId="03A1E8A4">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一般</w:t>
                  </w:r>
                </w:p>
                <w:p w14:paraId="6F02FEAD">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固废</w:t>
                  </w:r>
                </w:p>
              </w:tc>
              <w:tc>
                <w:tcPr>
                  <w:tcW w:w="2495" w:type="dxa"/>
                  <w:shd w:val="clear" w:color="auto" w:fill="auto"/>
                  <w:vAlign w:val="center"/>
                </w:tcPr>
                <w:p w14:paraId="116DD13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1338" w:type="dxa"/>
                  <w:vAlign w:val="center"/>
                </w:tcPr>
                <w:p w14:paraId="5EF0FAB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0.1</w:t>
                  </w:r>
                </w:p>
              </w:tc>
              <w:tc>
                <w:tcPr>
                  <w:tcW w:w="1417" w:type="dxa"/>
                  <w:vAlign w:val="center"/>
                </w:tcPr>
                <w:p w14:paraId="2F15F978">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Merge w:val="restart"/>
                  <w:vAlign w:val="center"/>
                </w:tcPr>
                <w:p w14:paraId="475CBA3F">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收集后外售</w:t>
                  </w:r>
                </w:p>
              </w:tc>
            </w:tr>
            <w:tr w14:paraId="0AFB3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continue"/>
                  <w:vAlign w:val="center"/>
                </w:tcPr>
                <w:p w14:paraId="7A35B303">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2495" w:type="dxa"/>
                  <w:shd w:val="clear" w:color="auto" w:fill="auto"/>
                  <w:vAlign w:val="center"/>
                </w:tcPr>
                <w:p w14:paraId="7338F26B">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含油金属屑</w:t>
                  </w:r>
                  <w:r>
                    <w:rPr>
                      <w:rFonts w:hint="eastAsia" w:cs="Times New Roman"/>
                      <w:color w:val="000000" w:themeColor="text1"/>
                      <w:szCs w:val="21"/>
                      <w:lang w:val="en-US" w:eastAsia="zh-CN"/>
                      <w14:textFill>
                        <w14:solidFill>
                          <w14:schemeClr w14:val="tx1"/>
                        </w14:solidFill>
                      </w14:textFill>
                    </w:rPr>
                    <w:t>*</w:t>
                  </w:r>
                </w:p>
              </w:tc>
              <w:tc>
                <w:tcPr>
                  <w:tcW w:w="1338" w:type="dxa"/>
                  <w:vAlign w:val="center"/>
                </w:tcPr>
                <w:p w14:paraId="29EB1900">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0.3</w:t>
                  </w:r>
                </w:p>
              </w:tc>
              <w:tc>
                <w:tcPr>
                  <w:tcW w:w="1417" w:type="dxa"/>
                  <w:vAlign w:val="center"/>
                </w:tcPr>
                <w:p w14:paraId="03232A81">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Merge w:val="continue"/>
                  <w:vAlign w:val="center"/>
                </w:tcPr>
                <w:p w14:paraId="3AF1A9B6">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44225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continue"/>
                  <w:vAlign w:val="center"/>
                </w:tcPr>
                <w:p w14:paraId="0516E8E6">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2495" w:type="dxa"/>
                  <w:shd w:val="clear" w:color="auto" w:fill="auto"/>
                  <w:vAlign w:val="center"/>
                </w:tcPr>
                <w:p w14:paraId="3AE93947">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废包装材料</w:t>
                  </w:r>
                  <w:r>
                    <w:rPr>
                      <w:rFonts w:hint="eastAsia" w:cs="Times New Roman"/>
                      <w:color w:val="000000" w:themeColor="text1"/>
                      <w:szCs w:val="21"/>
                      <w:lang w:val="en-US" w:eastAsia="zh-CN"/>
                      <w14:textFill>
                        <w14:solidFill>
                          <w14:schemeClr w14:val="tx1"/>
                        </w14:solidFill>
                      </w14:textFill>
                    </w:rPr>
                    <w:t>*</w:t>
                  </w:r>
                </w:p>
              </w:tc>
              <w:tc>
                <w:tcPr>
                  <w:tcW w:w="1338" w:type="dxa"/>
                  <w:vAlign w:val="center"/>
                </w:tcPr>
                <w:p w14:paraId="57A52CAA">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0.5</w:t>
                  </w:r>
                </w:p>
              </w:tc>
              <w:tc>
                <w:tcPr>
                  <w:tcW w:w="1417" w:type="dxa"/>
                  <w:vAlign w:val="center"/>
                </w:tcPr>
                <w:p w14:paraId="59E37EEA">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Merge w:val="continue"/>
                  <w:vAlign w:val="center"/>
                </w:tcPr>
                <w:p w14:paraId="47743639">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741B7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continue"/>
                  <w:vAlign w:val="center"/>
                </w:tcPr>
                <w:p w14:paraId="6A595F87">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2495" w:type="dxa"/>
                  <w:shd w:val="clear" w:color="auto" w:fill="auto"/>
                  <w:vAlign w:val="center"/>
                </w:tcPr>
                <w:p w14:paraId="03E45B41">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1338" w:type="dxa"/>
                  <w:vAlign w:val="center"/>
                </w:tcPr>
                <w:p w14:paraId="44F87C9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0.35</w:t>
                  </w:r>
                </w:p>
              </w:tc>
              <w:tc>
                <w:tcPr>
                  <w:tcW w:w="1417" w:type="dxa"/>
                  <w:vAlign w:val="center"/>
                </w:tcPr>
                <w:p w14:paraId="11F93309">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w:t>
                  </w:r>
                </w:p>
              </w:tc>
              <w:tc>
                <w:tcPr>
                  <w:tcW w:w="2359" w:type="dxa"/>
                  <w:vMerge w:val="continue"/>
                  <w:vAlign w:val="center"/>
                </w:tcPr>
                <w:p w14:paraId="12FA3F97">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1A5B1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continue"/>
                  <w:vAlign w:val="center"/>
                </w:tcPr>
                <w:p w14:paraId="17524B25">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2495" w:type="dxa"/>
                  <w:shd w:val="clear" w:color="auto" w:fill="auto"/>
                  <w:vAlign w:val="center"/>
                </w:tcPr>
                <w:p w14:paraId="4A8C7CF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除尘装置收集的粉尘</w:t>
                  </w:r>
                </w:p>
              </w:tc>
              <w:tc>
                <w:tcPr>
                  <w:tcW w:w="1338" w:type="dxa"/>
                  <w:vAlign w:val="center"/>
                </w:tcPr>
                <w:p w14:paraId="7B417CE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4.2</w:t>
                  </w:r>
                </w:p>
              </w:tc>
              <w:tc>
                <w:tcPr>
                  <w:tcW w:w="1417" w:type="dxa"/>
                  <w:vAlign w:val="center"/>
                </w:tcPr>
                <w:p w14:paraId="2188BA4C">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w:t>
                  </w:r>
                </w:p>
              </w:tc>
              <w:tc>
                <w:tcPr>
                  <w:tcW w:w="2359" w:type="dxa"/>
                  <w:vAlign w:val="center"/>
                </w:tcPr>
                <w:p w14:paraId="43F64615">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eastAsia" w:cs="Times New Roman"/>
                      <w:color w:val="auto"/>
                      <w:szCs w:val="21"/>
                      <w:highlight w:val="none"/>
                      <w:lang w:val="en-US" w:eastAsia="zh-CN"/>
                    </w:rPr>
                    <w:t>收集后回用于生产</w:t>
                  </w:r>
                </w:p>
              </w:tc>
            </w:tr>
            <w:tr w14:paraId="64A7F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2" w:type="dxa"/>
                  <w:vMerge w:val="restart"/>
                  <w:vAlign w:val="center"/>
                </w:tcPr>
                <w:p w14:paraId="593847C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危险</w:t>
                  </w:r>
                </w:p>
                <w:p w14:paraId="072D36BE">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废物</w:t>
                  </w:r>
                </w:p>
              </w:tc>
              <w:tc>
                <w:tcPr>
                  <w:tcW w:w="2495" w:type="dxa"/>
                  <w:shd w:val="clear" w:color="auto" w:fill="auto"/>
                  <w:vAlign w:val="center"/>
                </w:tcPr>
                <w:p w14:paraId="73ADBE71">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废化学品包装桶</w:t>
                  </w:r>
                  <w:r>
                    <w:rPr>
                      <w:rFonts w:hint="eastAsia" w:cs="Times New Roman"/>
                      <w:color w:val="000000" w:themeColor="text1"/>
                      <w:szCs w:val="21"/>
                      <w:lang w:val="en-US" w:eastAsia="zh-CN"/>
                      <w14:textFill>
                        <w14:solidFill>
                          <w14:schemeClr w14:val="tx1"/>
                        </w14:solidFill>
                      </w14:textFill>
                    </w:rPr>
                    <w:t>*</w:t>
                  </w:r>
                </w:p>
              </w:tc>
              <w:tc>
                <w:tcPr>
                  <w:tcW w:w="1338" w:type="dxa"/>
                  <w:shd w:val="clear" w:color="auto" w:fill="auto"/>
                  <w:vAlign w:val="center"/>
                </w:tcPr>
                <w:p w14:paraId="55F1C17E">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0.2</w:t>
                  </w:r>
                </w:p>
              </w:tc>
              <w:tc>
                <w:tcPr>
                  <w:tcW w:w="1417" w:type="dxa"/>
                  <w:vAlign w:val="center"/>
                </w:tcPr>
                <w:p w14:paraId="49F9844B">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Merge w:val="restart"/>
                  <w:vAlign w:val="center"/>
                </w:tcPr>
                <w:p w14:paraId="6F3512F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Cs/>
                      <w:color w:val="auto"/>
                      <w:szCs w:val="21"/>
                      <w:highlight w:val="none"/>
                    </w:rPr>
                    <w:t>定期委托资质单位处理</w:t>
                  </w:r>
                </w:p>
              </w:tc>
            </w:tr>
            <w:tr w14:paraId="118BB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2" w:type="dxa"/>
                  <w:vMerge w:val="continue"/>
                  <w:vAlign w:val="center"/>
                </w:tcPr>
                <w:p w14:paraId="2E95E65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2495" w:type="dxa"/>
                  <w:shd w:val="clear" w:color="auto" w:fill="auto"/>
                  <w:vAlign w:val="center"/>
                </w:tcPr>
                <w:p w14:paraId="6EB7BC93">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废切削液</w:t>
                  </w:r>
                </w:p>
              </w:tc>
              <w:tc>
                <w:tcPr>
                  <w:tcW w:w="1338" w:type="dxa"/>
                  <w:shd w:val="clear" w:color="auto" w:fill="auto"/>
                  <w:vAlign w:val="center"/>
                </w:tcPr>
                <w:p w14:paraId="3DCD3D1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0.3</w:t>
                  </w:r>
                </w:p>
              </w:tc>
              <w:tc>
                <w:tcPr>
                  <w:tcW w:w="1417" w:type="dxa"/>
                  <w:vAlign w:val="center"/>
                </w:tcPr>
                <w:p w14:paraId="4C803E1F">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w:t>
                  </w:r>
                </w:p>
              </w:tc>
              <w:tc>
                <w:tcPr>
                  <w:tcW w:w="2359" w:type="dxa"/>
                  <w:vMerge w:val="continue"/>
                  <w:vAlign w:val="center"/>
                </w:tcPr>
                <w:p w14:paraId="03BD34A1">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highlight w:val="none"/>
                    </w:rPr>
                  </w:pPr>
                </w:p>
              </w:tc>
            </w:tr>
            <w:tr w14:paraId="559F0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continue"/>
                  <w:vAlign w:val="center"/>
                </w:tcPr>
                <w:p w14:paraId="60FB61F9">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2495" w:type="dxa"/>
                  <w:shd w:val="clear" w:color="auto" w:fill="auto"/>
                  <w:vAlign w:val="center"/>
                </w:tcPr>
                <w:p w14:paraId="2AA2A165">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废活性炭</w:t>
                  </w:r>
                </w:p>
              </w:tc>
              <w:tc>
                <w:tcPr>
                  <w:tcW w:w="1338" w:type="dxa"/>
                  <w:shd w:val="clear" w:color="auto" w:fill="auto"/>
                  <w:vAlign w:val="center"/>
                </w:tcPr>
                <w:p w14:paraId="5ABAD97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3.5</w:t>
                  </w:r>
                </w:p>
              </w:tc>
              <w:tc>
                <w:tcPr>
                  <w:tcW w:w="1417" w:type="dxa"/>
                  <w:vAlign w:val="center"/>
                </w:tcPr>
                <w:p w14:paraId="0EF3786F">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Merge w:val="continue"/>
                  <w:vAlign w:val="center"/>
                </w:tcPr>
                <w:p w14:paraId="0EA3BAE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59A76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continue"/>
                  <w:vAlign w:val="center"/>
                </w:tcPr>
                <w:p w14:paraId="1E275FCC">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2495" w:type="dxa"/>
                  <w:shd w:val="clear" w:color="auto" w:fill="auto"/>
                  <w:vAlign w:val="center"/>
                </w:tcPr>
                <w:p w14:paraId="79690E10">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废机油（润滑油、液压油）</w:t>
                  </w:r>
                  <w:r>
                    <w:rPr>
                      <w:rFonts w:hint="eastAsia" w:cs="Times New Roman"/>
                      <w:color w:val="000000" w:themeColor="text1"/>
                      <w:szCs w:val="21"/>
                      <w:lang w:val="en-US" w:eastAsia="zh-CN"/>
                      <w14:textFill>
                        <w14:solidFill>
                          <w14:schemeClr w14:val="tx1"/>
                        </w14:solidFill>
                      </w14:textFill>
                    </w:rPr>
                    <w:t>*</w:t>
                  </w:r>
                </w:p>
              </w:tc>
              <w:tc>
                <w:tcPr>
                  <w:tcW w:w="1338" w:type="dxa"/>
                  <w:shd w:val="clear" w:color="auto" w:fill="auto"/>
                  <w:vAlign w:val="center"/>
                </w:tcPr>
                <w:p w14:paraId="631BD2D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0.5</w:t>
                  </w:r>
                </w:p>
              </w:tc>
              <w:tc>
                <w:tcPr>
                  <w:tcW w:w="1417" w:type="dxa"/>
                  <w:vAlign w:val="center"/>
                </w:tcPr>
                <w:p w14:paraId="34986F10">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Merge w:val="continue"/>
                  <w:vAlign w:val="center"/>
                </w:tcPr>
                <w:p w14:paraId="7A59945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4AE04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72" w:type="dxa"/>
                  <w:vMerge w:val="continue"/>
                  <w:vAlign w:val="center"/>
                </w:tcPr>
                <w:p w14:paraId="4BAEFBF8">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p>
              </w:tc>
              <w:tc>
                <w:tcPr>
                  <w:tcW w:w="2495" w:type="dxa"/>
                  <w:shd w:val="clear" w:color="auto" w:fill="auto"/>
                  <w:vAlign w:val="center"/>
                </w:tcPr>
                <w:p w14:paraId="5BFA9861">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r>
                    <w:rPr>
                      <w:rFonts w:hint="eastAsia" w:cs="Times New Roman"/>
                      <w:color w:val="000000" w:themeColor="text1"/>
                      <w:szCs w:val="21"/>
                      <w:lang w:val="en-US" w:eastAsia="zh-CN"/>
                      <w14:textFill>
                        <w14:solidFill>
                          <w14:schemeClr w14:val="tx1"/>
                        </w14:solidFill>
                      </w14:textFill>
                    </w:rPr>
                    <w:t>*</w:t>
                  </w:r>
                </w:p>
              </w:tc>
              <w:tc>
                <w:tcPr>
                  <w:tcW w:w="1338" w:type="dxa"/>
                  <w:shd w:val="clear" w:color="auto" w:fill="auto"/>
                  <w:vAlign w:val="center"/>
                </w:tcPr>
                <w:p w14:paraId="0811E0E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0.7</w:t>
                  </w:r>
                </w:p>
              </w:tc>
              <w:tc>
                <w:tcPr>
                  <w:tcW w:w="1417" w:type="dxa"/>
                  <w:vAlign w:val="center"/>
                </w:tcPr>
                <w:p w14:paraId="0F1E0EAF">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Merge w:val="continue"/>
                  <w:vAlign w:val="center"/>
                </w:tcPr>
                <w:p w14:paraId="5FB26608">
                  <w:pPr>
                    <w:keepNext w:val="0"/>
                    <w:keepLines w:val="0"/>
                    <w:suppressLineNumbers w:val="0"/>
                    <w:spacing w:before="0" w:beforeAutospacing="0" w:after="0" w:afterAutospacing="0"/>
                    <w:ind w:left="0" w:right="0"/>
                    <w:jc w:val="center"/>
                    <w:rPr>
                      <w:rFonts w:hint="default" w:ascii="Times New Roman" w:hAnsi="Times New Roman" w:cs="Times New Roman"/>
                      <w:color w:val="auto"/>
                      <w:spacing w:val="-4"/>
                      <w:szCs w:val="21"/>
                      <w:highlight w:val="none"/>
                    </w:rPr>
                  </w:pPr>
                </w:p>
              </w:tc>
            </w:tr>
            <w:tr w14:paraId="21C2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3267" w:type="dxa"/>
                  <w:gridSpan w:val="2"/>
                  <w:vAlign w:val="center"/>
                </w:tcPr>
                <w:p w14:paraId="7E95CF6F">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生活垃圾</w:t>
                  </w:r>
                </w:p>
              </w:tc>
              <w:tc>
                <w:tcPr>
                  <w:tcW w:w="1338" w:type="dxa"/>
                  <w:vAlign w:val="center"/>
                </w:tcPr>
                <w:p w14:paraId="10030DD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lang w:val="en-US" w:eastAsia="zh-CN"/>
                    </w:rPr>
                  </w:pPr>
                  <w:r>
                    <w:rPr>
                      <w:rFonts w:hint="eastAsia" w:cs="Times New Roman"/>
                      <w:bCs/>
                      <w:color w:val="auto"/>
                      <w:kern w:val="0"/>
                      <w:szCs w:val="21"/>
                      <w:highlight w:val="none"/>
                      <w:lang w:val="en-US" w:eastAsia="zh-CN"/>
                    </w:rPr>
                    <w:t>4.5</w:t>
                  </w:r>
                </w:p>
              </w:tc>
              <w:tc>
                <w:tcPr>
                  <w:tcW w:w="1417" w:type="dxa"/>
                  <w:vAlign w:val="center"/>
                </w:tcPr>
                <w:p w14:paraId="52A5A605">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2359" w:type="dxa"/>
                  <w:vAlign w:val="center"/>
                </w:tcPr>
                <w:p w14:paraId="0E4ABF8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环卫部门定期清运处理</w:t>
                  </w:r>
                </w:p>
              </w:tc>
            </w:tr>
            <w:tr w14:paraId="036DB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381" w:type="dxa"/>
                  <w:gridSpan w:val="5"/>
                  <w:vAlign w:val="center"/>
                </w:tcPr>
                <w:p w14:paraId="0E11E2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注：*代表现有环评及验收中未识别，本次环评按实际计入</w:t>
                  </w:r>
                </w:p>
              </w:tc>
            </w:tr>
          </w:tbl>
          <w:p w14:paraId="471BE6A6">
            <w:pPr>
              <w:keepNext w:val="0"/>
              <w:keepLines w:val="0"/>
              <w:suppressLineNumbers w:val="0"/>
              <w:adjustRightInd w:val="0"/>
              <w:spacing w:before="100" w:beforeAutospacing="1" w:after="0" w:afterAutospacing="0" w:line="360" w:lineRule="auto"/>
              <w:ind w:left="0" w:right="0" w:firstLine="482" w:firstLineChars="200"/>
              <w:textAlignment w:val="baseline"/>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6、现有项目污染物排放汇总</w:t>
            </w:r>
          </w:p>
          <w:p w14:paraId="5257DC53">
            <w:pPr>
              <w:keepNext w:val="0"/>
              <w:keepLines w:val="0"/>
              <w:suppressLineNumbers w:val="0"/>
              <w:adjustRightIn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根据现有项目环评、验收及企业提供的检测报告，核算现有厂区污染物情况见下表。</w:t>
            </w:r>
          </w:p>
          <w:p w14:paraId="2E3C9D54">
            <w:pPr>
              <w:keepNext w:val="0"/>
              <w:keepLines w:val="0"/>
              <w:widowControl/>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b/>
                <w:bCs/>
                <w:color w:val="auto"/>
                <w:kern w:val="0"/>
                <w:sz w:val="24"/>
                <w:szCs w:val="20"/>
                <w:highlight w:val="none"/>
                <w:lang w:val="zh-CN"/>
              </w:rPr>
            </w:pPr>
            <w:r>
              <w:rPr>
                <w:rFonts w:hint="default" w:ascii="Times New Roman" w:hAnsi="Times New Roman" w:cs="Times New Roman" w:eastAsiaTheme="minorEastAsia"/>
                <w:b/>
                <w:bCs/>
                <w:color w:val="auto"/>
                <w:kern w:val="0"/>
                <w:sz w:val="24"/>
                <w:szCs w:val="20"/>
                <w:highlight w:val="none"/>
                <w:lang w:val="zh-CN"/>
              </w:rPr>
              <w:t>表2-</w:t>
            </w:r>
            <w:r>
              <w:rPr>
                <w:rFonts w:hint="default" w:ascii="Times New Roman" w:hAnsi="Times New Roman" w:cs="Times New Roman" w:eastAsiaTheme="minorEastAsia"/>
                <w:b/>
                <w:bCs/>
                <w:color w:val="auto"/>
                <w:kern w:val="0"/>
                <w:sz w:val="24"/>
                <w:szCs w:val="20"/>
                <w:highlight w:val="none"/>
              </w:rPr>
              <w:t>2</w:t>
            </w:r>
            <w:r>
              <w:rPr>
                <w:rFonts w:hint="eastAsia" w:cs="Times New Roman" w:eastAsiaTheme="minorEastAsia"/>
                <w:b/>
                <w:bCs/>
                <w:color w:val="auto"/>
                <w:kern w:val="0"/>
                <w:sz w:val="24"/>
                <w:szCs w:val="20"/>
                <w:highlight w:val="none"/>
                <w:lang w:val="en-US" w:eastAsia="zh-CN"/>
              </w:rPr>
              <w:t>2</w:t>
            </w:r>
            <w:r>
              <w:rPr>
                <w:rFonts w:hint="default" w:ascii="Times New Roman" w:hAnsi="Times New Roman" w:cs="Times New Roman" w:eastAsiaTheme="minorEastAsia"/>
                <w:b/>
                <w:bCs/>
                <w:color w:val="auto"/>
                <w:kern w:val="0"/>
                <w:sz w:val="24"/>
                <w:szCs w:val="20"/>
                <w:highlight w:val="none"/>
                <w:lang w:val="zh-CN"/>
              </w:rPr>
              <w:t xml:space="preserve">   现有项目污染物排放情况表   单位：t/a</w:t>
            </w:r>
          </w:p>
          <w:tbl>
            <w:tblPr>
              <w:tblStyle w:val="61"/>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8"/>
              <w:gridCol w:w="1732"/>
              <w:gridCol w:w="1718"/>
              <w:gridCol w:w="1043"/>
              <w:gridCol w:w="1718"/>
              <w:gridCol w:w="1711"/>
            </w:tblGrid>
            <w:tr w14:paraId="4A84B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Align w:val="center"/>
                </w:tcPr>
                <w:p w14:paraId="2429A745">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4493" w:type="dxa"/>
                  <w:gridSpan w:val="3"/>
                  <w:vAlign w:val="center"/>
                </w:tcPr>
                <w:p w14:paraId="1F3B50F6">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1718" w:type="dxa"/>
                  <w:vAlign w:val="center"/>
                </w:tcPr>
                <w:p w14:paraId="14980921">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现有项目排放量</w:t>
                  </w:r>
                </w:p>
              </w:tc>
              <w:tc>
                <w:tcPr>
                  <w:tcW w:w="1711" w:type="dxa"/>
                  <w:vAlign w:val="center"/>
                </w:tcPr>
                <w:p w14:paraId="10BB7C9E">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color w:val="auto"/>
                      <w:highlight w:val="none"/>
                    </w:rPr>
                    <w:t>批复许可排放量</w:t>
                  </w:r>
                </w:p>
              </w:tc>
            </w:tr>
            <w:tr w14:paraId="0A99B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58" w:type="dxa"/>
                  <w:vMerge w:val="restart"/>
                  <w:vAlign w:val="center"/>
                </w:tcPr>
                <w:p w14:paraId="1176B603">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4493" w:type="dxa"/>
                  <w:gridSpan w:val="3"/>
                  <w:vAlign w:val="center"/>
                </w:tcPr>
                <w:p w14:paraId="1FBC8819">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排放量</w:t>
                  </w:r>
                </w:p>
              </w:tc>
              <w:tc>
                <w:tcPr>
                  <w:tcW w:w="1718" w:type="dxa"/>
                  <w:vAlign w:val="center"/>
                </w:tcPr>
                <w:p w14:paraId="53D06F9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360</w:t>
                  </w:r>
                </w:p>
              </w:tc>
              <w:tc>
                <w:tcPr>
                  <w:tcW w:w="1711" w:type="dxa"/>
                  <w:vAlign w:val="center"/>
                </w:tcPr>
                <w:p w14:paraId="36053FF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14:paraId="214F1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Merge w:val="continue"/>
                  <w:vAlign w:val="center"/>
                </w:tcPr>
                <w:p w14:paraId="676D1EE3">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4493" w:type="dxa"/>
                  <w:gridSpan w:val="3"/>
                  <w:vAlign w:val="center"/>
                </w:tcPr>
                <w:p w14:paraId="2BDEAD48">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szCs w:val="21"/>
                      <w:highlight w:val="none"/>
                    </w:rPr>
                    <w:t>COD</w:t>
                  </w:r>
                  <w:r>
                    <w:rPr>
                      <w:rFonts w:hint="eastAsia" w:cs="Times New Roman"/>
                      <w:color w:val="auto"/>
                      <w:szCs w:val="21"/>
                      <w:highlight w:val="none"/>
                      <w:lang w:val="en-US" w:eastAsia="zh-CN"/>
                    </w:rPr>
                    <w:t>*</w:t>
                  </w:r>
                </w:p>
              </w:tc>
              <w:tc>
                <w:tcPr>
                  <w:tcW w:w="1718" w:type="dxa"/>
                  <w:shd w:val="clear" w:color="auto" w:fill="auto"/>
                  <w:vAlign w:val="center"/>
                </w:tcPr>
                <w:p w14:paraId="238261E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0.018</w:t>
                  </w:r>
                </w:p>
              </w:tc>
              <w:tc>
                <w:tcPr>
                  <w:tcW w:w="1711" w:type="dxa"/>
                  <w:shd w:val="clear" w:color="auto" w:fill="auto"/>
                  <w:vAlign w:val="center"/>
                </w:tcPr>
                <w:p w14:paraId="757D0D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0.048</w:t>
                  </w:r>
                </w:p>
              </w:tc>
            </w:tr>
            <w:tr w14:paraId="57699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Merge w:val="continue"/>
                  <w:vAlign w:val="center"/>
                </w:tcPr>
                <w:p w14:paraId="5C3B2073">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4493" w:type="dxa"/>
                  <w:gridSpan w:val="3"/>
                  <w:tcBorders>
                    <w:bottom w:val="single" w:color="000000" w:sz="4" w:space="0"/>
                  </w:tcBorders>
                  <w:vAlign w:val="center"/>
                </w:tcPr>
                <w:p w14:paraId="4D05E3B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氨氮</w:t>
                  </w:r>
                  <w:r>
                    <w:rPr>
                      <w:rFonts w:hint="eastAsia" w:cs="Times New Roman"/>
                      <w:color w:val="auto"/>
                      <w:szCs w:val="21"/>
                      <w:highlight w:val="none"/>
                      <w:lang w:val="en-US" w:eastAsia="zh-CN"/>
                    </w:rPr>
                    <w:t>*</w:t>
                  </w:r>
                </w:p>
              </w:tc>
              <w:tc>
                <w:tcPr>
                  <w:tcW w:w="1718" w:type="dxa"/>
                  <w:tcBorders>
                    <w:bottom w:val="single" w:color="000000" w:sz="4" w:space="0"/>
                  </w:tcBorders>
                  <w:shd w:val="clear" w:color="auto" w:fill="auto"/>
                  <w:vAlign w:val="center"/>
                </w:tcPr>
                <w:p w14:paraId="50F5CB8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0.003</w:t>
                  </w:r>
                </w:p>
              </w:tc>
              <w:tc>
                <w:tcPr>
                  <w:tcW w:w="1711" w:type="dxa"/>
                  <w:tcBorders>
                    <w:bottom w:val="single" w:color="000000" w:sz="4" w:space="0"/>
                  </w:tcBorders>
                  <w:shd w:val="clear" w:color="auto" w:fill="auto"/>
                  <w:vAlign w:val="center"/>
                </w:tcPr>
                <w:p w14:paraId="4988FE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0.004</w:t>
                  </w:r>
                </w:p>
              </w:tc>
            </w:tr>
            <w:tr w14:paraId="30384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558" w:type="dxa"/>
                  <w:vMerge w:val="continue"/>
                  <w:vAlign w:val="center"/>
                </w:tcPr>
                <w:p w14:paraId="147B07FC">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4493" w:type="dxa"/>
                  <w:gridSpan w:val="3"/>
                  <w:tcBorders>
                    <w:top w:val="single" w:color="000000" w:sz="4" w:space="0"/>
                  </w:tcBorders>
                  <w:vAlign w:val="center"/>
                </w:tcPr>
                <w:p w14:paraId="65BA25D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BOD</w:t>
                  </w:r>
                  <w:r>
                    <w:rPr>
                      <w:rFonts w:hint="default" w:ascii="Times New Roman" w:hAnsi="Times New Roman" w:cs="Times New Roman"/>
                      <w:color w:val="auto"/>
                      <w:szCs w:val="21"/>
                      <w:highlight w:val="none"/>
                      <w:vertAlign w:val="subscript"/>
                    </w:rPr>
                    <w:t>5</w:t>
                  </w:r>
                </w:p>
              </w:tc>
              <w:tc>
                <w:tcPr>
                  <w:tcW w:w="1718" w:type="dxa"/>
                  <w:tcBorders>
                    <w:top w:val="single" w:color="000000" w:sz="4" w:space="0"/>
                  </w:tcBorders>
                  <w:shd w:val="clear" w:color="auto" w:fill="auto"/>
                  <w:vAlign w:val="center"/>
                </w:tcPr>
                <w:p w14:paraId="0713990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0.024</w:t>
                  </w:r>
                </w:p>
              </w:tc>
              <w:tc>
                <w:tcPr>
                  <w:tcW w:w="1711" w:type="dxa"/>
                  <w:tcBorders>
                    <w:top w:val="single" w:color="000000" w:sz="4" w:space="0"/>
                  </w:tcBorders>
                  <w:shd w:val="clear" w:color="auto" w:fill="auto"/>
                  <w:vAlign w:val="center"/>
                </w:tcPr>
                <w:p w14:paraId="6A637BC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14:paraId="79E3B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558" w:type="dxa"/>
                  <w:vMerge w:val="continue"/>
                  <w:vAlign w:val="center"/>
                </w:tcPr>
                <w:p w14:paraId="48B71272">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4493" w:type="dxa"/>
                  <w:gridSpan w:val="3"/>
                  <w:vAlign w:val="center"/>
                </w:tcPr>
                <w:p w14:paraId="14BA041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SS</w:t>
                  </w:r>
                </w:p>
              </w:tc>
              <w:tc>
                <w:tcPr>
                  <w:tcW w:w="1718" w:type="dxa"/>
                  <w:shd w:val="clear" w:color="auto" w:fill="auto"/>
                  <w:vAlign w:val="center"/>
                </w:tcPr>
                <w:p w14:paraId="31BAD08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0.018</w:t>
                  </w:r>
                </w:p>
              </w:tc>
              <w:tc>
                <w:tcPr>
                  <w:tcW w:w="1711" w:type="dxa"/>
                  <w:shd w:val="clear" w:color="auto" w:fill="auto"/>
                  <w:vAlign w:val="center"/>
                </w:tcPr>
                <w:p w14:paraId="51461E3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14:paraId="199FF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558" w:type="dxa"/>
                  <w:vMerge w:val="continue"/>
                  <w:vAlign w:val="center"/>
                </w:tcPr>
                <w:p w14:paraId="582D7700">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4493" w:type="dxa"/>
                  <w:gridSpan w:val="3"/>
                  <w:vAlign w:val="center"/>
                </w:tcPr>
                <w:p w14:paraId="5A8459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总磷*</w:t>
                  </w:r>
                </w:p>
              </w:tc>
              <w:tc>
                <w:tcPr>
                  <w:tcW w:w="1718" w:type="dxa"/>
                  <w:shd w:val="clear" w:color="auto" w:fill="auto"/>
                  <w:vAlign w:val="center"/>
                </w:tcPr>
                <w:p w14:paraId="17FDD47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0.0003</w:t>
                  </w:r>
                </w:p>
              </w:tc>
              <w:tc>
                <w:tcPr>
                  <w:tcW w:w="1711" w:type="dxa"/>
                  <w:shd w:val="clear" w:color="auto" w:fill="auto"/>
                  <w:vAlign w:val="center"/>
                </w:tcPr>
                <w:p w14:paraId="77D693C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highlight w:val="none"/>
                      <w:lang w:eastAsia="zh-CN"/>
                    </w:rPr>
                    <w:t>0.001</w:t>
                  </w:r>
                </w:p>
              </w:tc>
            </w:tr>
            <w:tr w14:paraId="62F5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Merge w:val="restart"/>
                  <w:vAlign w:val="center"/>
                </w:tcPr>
                <w:p w14:paraId="4692E6F8">
                  <w:pPr>
                    <w:keepNext w:val="0"/>
                    <w:keepLines w:val="0"/>
                    <w:suppressLineNumbers w:val="0"/>
                    <w:spacing w:before="0" w:beforeAutospacing="0" w:after="0" w:afterAutospacing="0" w:line="320" w:lineRule="exact"/>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废气</w:t>
                  </w:r>
                </w:p>
              </w:tc>
              <w:tc>
                <w:tcPr>
                  <w:tcW w:w="3450" w:type="dxa"/>
                  <w:gridSpan w:val="2"/>
                  <w:vMerge w:val="restart"/>
                  <w:vAlign w:val="center"/>
                </w:tcPr>
                <w:p w14:paraId="26B99CE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eastAsia="宋体" w:cs="Times New Roman"/>
                      <w:sz w:val="21"/>
                      <w:szCs w:val="21"/>
                      <w:highlight w:val="none"/>
                      <w:lang w:eastAsia="zh-CN"/>
                    </w:rPr>
                    <w:t>颗粒物</w:t>
                  </w:r>
                </w:p>
              </w:tc>
              <w:tc>
                <w:tcPr>
                  <w:tcW w:w="1043" w:type="dxa"/>
                  <w:vAlign w:val="center"/>
                </w:tcPr>
                <w:p w14:paraId="47DA071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有组织</w:t>
                  </w:r>
                </w:p>
              </w:tc>
              <w:tc>
                <w:tcPr>
                  <w:tcW w:w="1718" w:type="dxa"/>
                  <w:vAlign w:val="center"/>
                </w:tcPr>
                <w:p w14:paraId="4FF370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c>
                <w:tcPr>
                  <w:tcW w:w="1711" w:type="dxa"/>
                  <w:vAlign w:val="center"/>
                </w:tcPr>
                <w:p w14:paraId="3738E7D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rPr>
                  </w:pPr>
                  <w:r>
                    <w:rPr>
                      <w:rFonts w:hint="default" w:ascii="Times New Roman" w:hAnsi="Times New Roman" w:eastAsia="宋体" w:cs="Times New Roman"/>
                      <w:sz w:val="21"/>
                      <w:szCs w:val="21"/>
                      <w:highlight w:val="none"/>
                      <w:lang w:eastAsia="zh-CN"/>
                    </w:rPr>
                    <w:t>0.043</w:t>
                  </w:r>
                  <w:r>
                    <w:rPr>
                      <w:rFonts w:hint="eastAsia" w:eastAsia="宋体" w:cs="Times New Roman"/>
                      <w:sz w:val="21"/>
                      <w:szCs w:val="21"/>
                      <w:highlight w:val="none"/>
                      <w:lang w:val="en-US" w:eastAsia="zh-CN"/>
                    </w:rPr>
                    <w:t>*</w:t>
                  </w:r>
                </w:p>
              </w:tc>
            </w:tr>
            <w:tr w14:paraId="3B7E3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58" w:type="dxa"/>
                  <w:vMerge w:val="continue"/>
                  <w:vAlign w:val="center"/>
                </w:tcPr>
                <w:p w14:paraId="58A4915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3450" w:type="dxa"/>
                  <w:gridSpan w:val="2"/>
                  <w:vMerge w:val="continue"/>
                  <w:vAlign w:val="center"/>
                </w:tcPr>
                <w:p w14:paraId="30FF695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043" w:type="dxa"/>
                  <w:vAlign w:val="center"/>
                </w:tcPr>
                <w:p w14:paraId="019ABA5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无组织</w:t>
                  </w:r>
                </w:p>
              </w:tc>
              <w:tc>
                <w:tcPr>
                  <w:tcW w:w="1718" w:type="dxa"/>
                  <w:vAlign w:val="center"/>
                </w:tcPr>
                <w:p w14:paraId="5630FE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c>
                <w:tcPr>
                  <w:tcW w:w="1711" w:type="dxa"/>
                  <w:vAlign w:val="center"/>
                </w:tcPr>
                <w:p w14:paraId="714F6E2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r>
            <w:tr w14:paraId="45B2C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55376D6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3450" w:type="dxa"/>
                  <w:gridSpan w:val="2"/>
                  <w:vMerge w:val="restart"/>
                  <w:vAlign w:val="center"/>
                </w:tcPr>
                <w:p w14:paraId="789A60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rPr>
                    <w:t>非甲烷总烃</w:t>
                  </w:r>
                </w:p>
              </w:tc>
              <w:tc>
                <w:tcPr>
                  <w:tcW w:w="1043" w:type="dxa"/>
                  <w:vAlign w:val="center"/>
                </w:tcPr>
                <w:p w14:paraId="0C0B61C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有组织</w:t>
                  </w:r>
                </w:p>
              </w:tc>
              <w:tc>
                <w:tcPr>
                  <w:tcW w:w="1718" w:type="dxa"/>
                  <w:vAlign w:val="center"/>
                </w:tcPr>
                <w:p w14:paraId="01BE63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eastAsia="宋体" w:cs="Times New Roman"/>
                      <w:sz w:val="21"/>
                      <w:szCs w:val="21"/>
                      <w:lang w:val="en-US" w:eastAsia="zh-CN"/>
                    </w:rPr>
                    <w:t>0</w:t>
                  </w:r>
                </w:p>
              </w:tc>
              <w:tc>
                <w:tcPr>
                  <w:tcW w:w="1711" w:type="dxa"/>
                  <w:vAlign w:val="center"/>
                </w:tcPr>
                <w:p w14:paraId="0D3D1AF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rPr>
                  </w:pPr>
                  <w:r>
                    <w:rPr>
                      <w:rFonts w:hint="eastAsia" w:ascii="Times New Roman" w:hAnsi="Times New Roman" w:eastAsia="宋体" w:cs="Times New Roman"/>
                      <w:sz w:val="21"/>
                      <w:szCs w:val="21"/>
                      <w:highlight w:val="none"/>
                      <w:lang w:val="en-US" w:eastAsia="zh-CN"/>
                    </w:rPr>
                    <w:t>0.114</w:t>
                  </w:r>
                  <w:r>
                    <w:rPr>
                      <w:rFonts w:hint="eastAsia" w:eastAsia="宋体" w:cs="Times New Roman"/>
                      <w:sz w:val="21"/>
                      <w:szCs w:val="21"/>
                      <w:highlight w:val="none"/>
                      <w:lang w:val="en-US" w:eastAsia="zh-CN"/>
                    </w:rPr>
                    <w:t>*</w:t>
                  </w:r>
                </w:p>
              </w:tc>
            </w:tr>
            <w:tr w14:paraId="713A8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371368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3450" w:type="dxa"/>
                  <w:gridSpan w:val="2"/>
                  <w:vMerge w:val="continue"/>
                  <w:vAlign w:val="center"/>
                </w:tcPr>
                <w:p w14:paraId="257325F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043" w:type="dxa"/>
                  <w:vAlign w:val="center"/>
                </w:tcPr>
                <w:p w14:paraId="015D2F0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无组织</w:t>
                  </w:r>
                </w:p>
              </w:tc>
              <w:tc>
                <w:tcPr>
                  <w:tcW w:w="1718" w:type="dxa"/>
                  <w:vAlign w:val="center"/>
                </w:tcPr>
                <w:p w14:paraId="4AC1839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c>
                <w:tcPr>
                  <w:tcW w:w="1711" w:type="dxa"/>
                  <w:vAlign w:val="center"/>
                </w:tcPr>
                <w:p w14:paraId="293BCBA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eastAsia="zh-CN"/>
                    </w:rPr>
                  </w:pPr>
                  <w:r>
                    <w:rPr>
                      <w:rFonts w:hint="eastAsia" w:cs="Times New Roman"/>
                      <w:color w:val="auto"/>
                      <w:szCs w:val="21"/>
                      <w:highlight w:val="none"/>
                      <w:lang w:val="en-US" w:eastAsia="zh-CN"/>
                    </w:rPr>
                    <w:t>0</w:t>
                  </w:r>
                </w:p>
              </w:tc>
            </w:tr>
            <w:tr w14:paraId="0C7D2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170841B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3450" w:type="dxa"/>
                  <w:gridSpan w:val="2"/>
                  <w:vMerge w:val="restart"/>
                  <w:vAlign w:val="center"/>
                </w:tcPr>
                <w:p w14:paraId="634CE1A7">
                  <w:pPr>
                    <w:keepNext w:val="0"/>
                    <w:keepLines w:val="0"/>
                    <w:suppressLineNumbers w:val="0"/>
                    <w:adjustRightInd w:val="0"/>
                    <w:spacing w:before="0" w:beforeAutospacing="0" w:after="0" w:afterAutospacing="0"/>
                    <w:ind w:left="0" w:right="0"/>
                    <w:jc w:val="center"/>
                    <w:rPr>
                      <w:rFonts w:hint="default" w:cs="Times New Roman"/>
                      <w:color w:val="auto"/>
                      <w:kern w:val="0"/>
                      <w:szCs w:val="21"/>
                      <w:highlight w:val="none"/>
                      <w:lang w:val="en-US" w:eastAsia="zh-CN"/>
                    </w:rPr>
                  </w:pPr>
                  <w:r>
                    <w:rPr>
                      <w:rFonts w:hint="default" w:cs="Times New Roman"/>
                      <w:color w:val="auto"/>
                      <w:kern w:val="0"/>
                      <w:szCs w:val="21"/>
                      <w:highlight w:val="none"/>
                      <w:lang w:val="en-US" w:eastAsia="zh-CN"/>
                    </w:rPr>
                    <w:t>二氧化硫</w:t>
                  </w:r>
                </w:p>
              </w:tc>
              <w:tc>
                <w:tcPr>
                  <w:tcW w:w="1043" w:type="dxa"/>
                  <w:shd w:val="clear" w:color="auto" w:fill="auto"/>
                  <w:vAlign w:val="center"/>
                </w:tcPr>
                <w:p w14:paraId="4DA4F50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有组织</w:t>
                  </w:r>
                </w:p>
              </w:tc>
              <w:tc>
                <w:tcPr>
                  <w:tcW w:w="1718" w:type="dxa"/>
                  <w:shd w:val="clear" w:color="auto" w:fill="auto"/>
                  <w:vAlign w:val="center"/>
                </w:tcPr>
                <w:p w14:paraId="363FCAA9">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color w:val="auto"/>
                      <w:szCs w:val="21"/>
                      <w:highlight w:val="none"/>
                      <w:lang w:val="en-US" w:eastAsia="zh-CN"/>
                    </w:rPr>
                  </w:pPr>
                  <w:r>
                    <w:rPr>
                      <w:rFonts w:hint="eastAsia" w:cs="Times New Roman"/>
                      <w:b w:val="0"/>
                      <w:bCs/>
                      <w:color w:val="auto"/>
                      <w:szCs w:val="21"/>
                      <w:highlight w:val="none"/>
                      <w:lang w:val="en-US" w:eastAsia="zh-CN"/>
                    </w:rPr>
                    <w:t>0</w:t>
                  </w:r>
                </w:p>
              </w:tc>
              <w:tc>
                <w:tcPr>
                  <w:tcW w:w="1711" w:type="dxa"/>
                  <w:shd w:val="clear" w:color="auto" w:fill="auto"/>
                  <w:vAlign w:val="center"/>
                </w:tcPr>
                <w:p w14:paraId="01A39F0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rPr>
                  </w:pPr>
                  <w:r>
                    <w:rPr>
                      <w:rFonts w:hint="default" w:ascii="Times New Roman" w:hAnsi="Times New Roman" w:eastAsia="宋体" w:cs="Times New Roman"/>
                      <w:sz w:val="21"/>
                      <w:szCs w:val="21"/>
                      <w:highlight w:val="none"/>
                      <w:lang w:eastAsia="zh-CN"/>
                    </w:rPr>
                    <w:t>0.002</w:t>
                  </w:r>
                  <w:r>
                    <w:rPr>
                      <w:rFonts w:hint="eastAsia" w:eastAsia="宋体" w:cs="Times New Roman"/>
                      <w:sz w:val="21"/>
                      <w:szCs w:val="21"/>
                      <w:highlight w:val="none"/>
                      <w:lang w:val="en-US" w:eastAsia="zh-CN"/>
                    </w:rPr>
                    <w:t>*</w:t>
                  </w:r>
                </w:p>
              </w:tc>
            </w:tr>
            <w:tr w14:paraId="7631C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4163BC3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3450" w:type="dxa"/>
                  <w:gridSpan w:val="2"/>
                  <w:vMerge w:val="continue"/>
                  <w:vAlign w:val="center"/>
                </w:tcPr>
                <w:p w14:paraId="2DC15BD4">
                  <w:pPr>
                    <w:keepNext w:val="0"/>
                    <w:keepLines w:val="0"/>
                    <w:suppressLineNumbers w:val="0"/>
                    <w:adjustRightInd w:val="0"/>
                    <w:spacing w:before="0" w:beforeAutospacing="0" w:after="0" w:afterAutospacing="0"/>
                    <w:ind w:left="0" w:right="0"/>
                    <w:jc w:val="center"/>
                    <w:rPr>
                      <w:rFonts w:hint="default" w:cs="Times New Roman"/>
                      <w:color w:val="auto"/>
                      <w:kern w:val="0"/>
                      <w:szCs w:val="21"/>
                      <w:highlight w:val="none"/>
                      <w:lang w:val="en-US" w:eastAsia="zh-CN"/>
                    </w:rPr>
                  </w:pPr>
                </w:p>
              </w:tc>
              <w:tc>
                <w:tcPr>
                  <w:tcW w:w="1043" w:type="dxa"/>
                  <w:shd w:val="clear" w:color="auto" w:fill="auto"/>
                  <w:vAlign w:val="center"/>
                </w:tcPr>
                <w:p w14:paraId="1053747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无组织</w:t>
                  </w:r>
                </w:p>
              </w:tc>
              <w:tc>
                <w:tcPr>
                  <w:tcW w:w="1718" w:type="dxa"/>
                  <w:shd w:val="clear" w:color="auto" w:fill="auto"/>
                  <w:vAlign w:val="center"/>
                </w:tcPr>
                <w:p w14:paraId="3D76CED4">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color w:val="auto"/>
                      <w:szCs w:val="21"/>
                      <w:highlight w:val="none"/>
                      <w:lang w:val="en-US" w:eastAsia="zh-CN"/>
                    </w:rPr>
                  </w:pPr>
                  <w:r>
                    <w:rPr>
                      <w:rFonts w:hint="eastAsia" w:cs="Times New Roman"/>
                      <w:b w:val="0"/>
                      <w:bCs/>
                      <w:color w:val="auto"/>
                      <w:szCs w:val="21"/>
                      <w:highlight w:val="none"/>
                      <w:lang w:val="en-US" w:eastAsia="zh-CN"/>
                    </w:rPr>
                    <w:t>0</w:t>
                  </w:r>
                </w:p>
              </w:tc>
              <w:tc>
                <w:tcPr>
                  <w:tcW w:w="1711" w:type="dxa"/>
                  <w:shd w:val="clear" w:color="auto" w:fill="auto"/>
                  <w:vAlign w:val="center"/>
                </w:tcPr>
                <w:p w14:paraId="5472B57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r>
            <w:tr w14:paraId="1A53F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0461CA7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3450" w:type="dxa"/>
                  <w:gridSpan w:val="2"/>
                  <w:vMerge w:val="restart"/>
                  <w:vAlign w:val="center"/>
                </w:tcPr>
                <w:p w14:paraId="573E48D7">
                  <w:pPr>
                    <w:keepNext w:val="0"/>
                    <w:keepLines w:val="0"/>
                    <w:suppressLineNumbers w:val="0"/>
                    <w:adjustRightInd w:val="0"/>
                    <w:spacing w:before="0" w:beforeAutospacing="0" w:after="0" w:afterAutospacing="0"/>
                    <w:ind w:left="0" w:right="0"/>
                    <w:jc w:val="center"/>
                    <w:rPr>
                      <w:rFonts w:hint="default" w:cs="Times New Roman"/>
                      <w:color w:val="auto"/>
                      <w:kern w:val="0"/>
                      <w:szCs w:val="21"/>
                      <w:highlight w:val="none"/>
                      <w:lang w:val="en-US" w:eastAsia="zh-CN"/>
                    </w:rPr>
                  </w:pPr>
                  <w:r>
                    <w:rPr>
                      <w:rFonts w:hint="default" w:cs="Times New Roman"/>
                      <w:color w:val="auto"/>
                      <w:kern w:val="0"/>
                      <w:szCs w:val="21"/>
                      <w:highlight w:val="none"/>
                      <w:lang w:val="en-US" w:eastAsia="zh-CN"/>
                    </w:rPr>
                    <w:t>氮氧化物</w:t>
                  </w:r>
                </w:p>
              </w:tc>
              <w:tc>
                <w:tcPr>
                  <w:tcW w:w="1043" w:type="dxa"/>
                  <w:shd w:val="clear" w:color="auto" w:fill="auto"/>
                  <w:vAlign w:val="center"/>
                </w:tcPr>
                <w:p w14:paraId="0948DA7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有组织</w:t>
                  </w:r>
                </w:p>
              </w:tc>
              <w:tc>
                <w:tcPr>
                  <w:tcW w:w="1718" w:type="dxa"/>
                  <w:shd w:val="clear" w:color="auto" w:fill="auto"/>
                  <w:vAlign w:val="center"/>
                </w:tcPr>
                <w:p w14:paraId="257B2543">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color w:val="auto"/>
                      <w:szCs w:val="21"/>
                      <w:highlight w:val="none"/>
                      <w:lang w:val="en-US" w:eastAsia="zh-CN"/>
                    </w:rPr>
                  </w:pPr>
                  <w:r>
                    <w:rPr>
                      <w:rFonts w:hint="eastAsia" w:cs="Times New Roman"/>
                      <w:b w:val="0"/>
                      <w:bCs/>
                      <w:color w:val="auto"/>
                      <w:szCs w:val="21"/>
                      <w:highlight w:val="none"/>
                      <w:lang w:val="en-US" w:eastAsia="zh-CN"/>
                    </w:rPr>
                    <w:t>0</w:t>
                  </w:r>
                </w:p>
              </w:tc>
              <w:tc>
                <w:tcPr>
                  <w:tcW w:w="1711" w:type="dxa"/>
                  <w:shd w:val="clear" w:color="auto" w:fill="auto"/>
                  <w:vAlign w:val="center"/>
                </w:tcPr>
                <w:p w14:paraId="40CAC6B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en-US"/>
                    </w:rPr>
                  </w:pPr>
                  <w:r>
                    <w:rPr>
                      <w:rFonts w:hint="default" w:ascii="Times New Roman" w:hAnsi="Times New Roman" w:eastAsia="宋体" w:cs="Times New Roman"/>
                      <w:sz w:val="21"/>
                      <w:szCs w:val="21"/>
                      <w:highlight w:val="none"/>
                      <w:lang w:eastAsia="zh-CN"/>
                    </w:rPr>
                    <w:t>0.084</w:t>
                  </w:r>
                  <w:r>
                    <w:rPr>
                      <w:rFonts w:hint="eastAsia" w:eastAsia="宋体" w:cs="Times New Roman"/>
                      <w:sz w:val="21"/>
                      <w:szCs w:val="21"/>
                      <w:highlight w:val="none"/>
                      <w:lang w:val="en-US" w:eastAsia="zh-CN"/>
                    </w:rPr>
                    <w:t>*</w:t>
                  </w:r>
                </w:p>
              </w:tc>
            </w:tr>
            <w:tr w14:paraId="1548B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Merge w:val="continue"/>
                  <w:vAlign w:val="center"/>
                </w:tcPr>
                <w:p w14:paraId="4E39A37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3450" w:type="dxa"/>
                  <w:gridSpan w:val="2"/>
                  <w:vMerge w:val="continue"/>
                  <w:vAlign w:val="center"/>
                </w:tcPr>
                <w:p w14:paraId="6992F929">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highlight w:val="none"/>
                    </w:rPr>
                  </w:pPr>
                </w:p>
              </w:tc>
              <w:tc>
                <w:tcPr>
                  <w:tcW w:w="1043" w:type="dxa"/>
                  <w:shd w:val="clear" w:color="auto" w:fill="auto"/>
                  <w:vAlign w:val="center"/>
                </w:tcPr>
                <w:p w14:paraId="1F9E23E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无组织</w:t>
                  </w:r>
                </w:p>
              </w:tc>
              <w:tc>
                <w:tcPr>
                  <w:tcW w:w="1718" w:type="dxa"/>
                  <w:shd w:val="clear" w:color="auto" w:fill="auto"/>
                  <w:vAlign w:val="center"/>
                </w:tcPr>
                <w:p w14:paraId="5849FC1C">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color w:val="auto"/>
                      <w:szCs w:val="21"/>
                      <w:highlight w:val="none"/>
                      <w:lang w:val="en-US" w:eastAsia="zh-CN"/>
                    </w:rPr>
                  </w:pPr>
                  <w:r>
                    <w:rPr>
                      <w:rFonts w:hint="eastAsia" w:cs="Times New Roman"/>
                      <w:b w:val="0"/>
                      <w:bCs/>
                      <w:color w:val="auto"/>
                      <w:szCs w:val="21"/>
                      <w:highlight w:val="none"/>
                      <w:lang w:val="en-US" w:eastAsia="zh-CN"/>
                    </w:rPr>
                    <w:t>0</w:t>
                  </w:r>
                </w:p>
              </w:tc>
              <w:tc>
                <w:tcPr>
                  <w:tcW w:w="1711" w:type="dxa"/>
                  <w:shd w:val="clear" w:color="auto" w:fill="auto"/>
                  <w:vAlign w:val="center"/>
                </w:tcPr>
                <w:p w14:paraId="0AAF397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r>
            <w:tr w14:paraId="5D3C9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restart"/>
                  <w:vAlign w:val="center"/>
                </w:tcPr>
                <w:p w14:paraId="210CAA8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1732" w:type="dxa"/>
                  <w:vAlign w:val="center"/>
                </w:tcPr>
                <w:p w14:paraId="1FD8A15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
                      <w:color w:val="auto"/>
                      <w:szCs w:val="21"/>
                      <w:highlight w:val="none"/>
                    </w:rPr>
                    <w:t>类别</w:t>
                  </w:r>
                </w:p>
              </w:tc>
              <w:tc>
                <w:tcPr>
                  <w:tcW w:w="1718" w:type="dxa"/>
                  <w:vAlign w:val="center"/>
                </w:tcPr>
                <w:p w14:paraId="2BED765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
                      <w:color w:val="auto"/>
                      <w:szCs w:val="21"/>
                      <w:highlight w:val="none"/>
                    </w:rPr>
                    <w:t>名称</w:t>
                  </w:r>
                </w:p>
              </w:tc>
              <w:tc>
                <w:tcPr>
                  <w:tcW w:w="1043" w:type="dxa"/>
                  <w:shd w:val="clear" w:color="auto" w:fill="auto"/>
                  <w:vAlign w:val="center"/>
                </w:tcPr>
                <w:p w14:paraId="226CAC38">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产生量</w:t>
                  </w:r>
                </w:p>
              </w:tc>
              <w:tc>
                <w:tcPr>
                  <w:tcW w:w="1718" w:type="dxa"/>
                  <w:shd w:val="clear" w:color="auto" w:fill="auto"/>
                  <w:vAlign w:val="center"/>
                </w:tcPr>
                <w:p w14:paraId="0E6D7DF4">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排放量</w:t>
                  </w:r>
                </w:p>
              </w:tc>
              <w:tc>
                <w:tcPr>
                  <w:tcW w:w="1711" w:type="dxa"/>
                  <w:shd w:val="clear" w:color="auto" w:fill="auto"/>
                  <w:vAlign w:val="center"/>
                </w:tcPr>
                <w:p w14:paraId="3E0E0957">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color w:val="auto"/>
                      <w:szCs w:val="21"/>
                      <w:highlight w:val="none"/>
                    </w:rPr>
                    <w:t>/</w:t>
                  </w:r>
                </w:p>
              </w:tc>
            </w:tr>
            <w:tr w14:paraId="2F095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388BAC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restart"/>
                  <w:vAlign w:val="center"/>
                </w:tcPr>
                <w:p w14:paraId="1BBF2F4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一般固废</w:t>
                  </w:r>
                </w:p>
              </w:tc>
              <w:tc>
                <w:tcPr>
                  <w:tcW w:w="1718" w:type="dxa"/>
                  <w:shd w:val="clear" w:color="auto" w:fill="auto"/>
                  <w:vAlign w:val="center"/>
                </w:tcPr>
                <w:p w14:paraId="442EFD5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1043" w:type="dxa"/>
                  <w:shd w:val="clear" w:color="auto" w:fill="auto"/>
                  <w:vAlign w:val="center"/>
                </w:tcPr>
                <w:p w14:paraId="55B6CE1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bCs/>
                      <w:color w:val="auto"/>
                      <w:kern w:val="0"/>
                      <w:szCs w:val="21"/>
                      <w:highlight w:val="none"/>
                      <w:lang w:val="en-US" w:eastAsia="zh-CN"/>
                    </w:rPr>
                    <w:t>0.1</w:t>
                  </w:r>
                </w:p>
              </w:tc>
              <w:tc>
                <w:tcPr>
                  <w:tcW w:w="1718" w:type="dxa"/>
                  <w:vAlign w:val="center"/>
                </w:tcPr>
                <w:p w14:paraId="3624B81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Cs/>
                      <w:color w:val="auto"/>
                      <w:kern w:val="0"/>
                      <w:szCs w:val="21"/>
                      <w:highlight w:val="none"/>
                    </w:rPr>
                    <w:t>0</w:t>
                  </w:r>
                </w:p>
              </w:tc>
              <w:tc>
                <w:tcPr>
                  <w:tcW w:w="1711" w:type="dxa"/>
                  <w:vAlign w:val="center"/>
                </w:tcPr>
                <w:p w14:paraId="7E2CFD97">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w:t>
                  </w:r>
                </w:p>
              </w:tc>
            </w:tr>
            <w:tr w14:paraId="74316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396F43D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continue"/>
                  <w:vAlign w:val="center"/>
                </w:tcPr>
                <w:p w14:paraId="019F29C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18" w:type="dxa"/>
                  <w:shd w:val="clear" w:color="auto" w:fill="auto"/>
                  <w:vAlign w:val="center"/>
                </w:tcPr>
                <w:p w14:paraId="4E093EE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含油金属屑</w:t>
                  </w:r>
                </w:p>
              </w:tc>
              <w:tc>
                <w:tcPr>
                  <w:tcW w:w="1043" w:type="dxa"/>
                  <w:shd w:val="clear" w:color="auto" w:fill="auto"/>
                  <w:vAlign w:val="center"/>
                </w:tcPr>
                <w:p w14:paraId="36D7733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cs="Times New Roman"/>
                      <w:bCs/>
                      <w:color w:val="auto"/>
                      <w:kern w:val="0"/>
                      <w:szCs w:val="21"/>
                      <w:highlight w:val="none"/>
                    </w:rPr>
                    <w:t>0.3</w:t>
                  </w:r>
                </w:p>
              </w:tc>
              <w:tc>
                <w:tcPr>
                  <w:tcW w:w="1718" w:type="dxa"/>
                  <w:vAlign w:val="center"/>
                </w:tcPr>
                <w:p w14:paraId="14D07CD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Cs/>
                      <w:color w:val="auto"/>
                      <w:kern w:val="0"/>
                      <w:szCs w:val="21"/>
                      <w:highlight w:val="none"/>
                    </w:rPr>
                    <w:t>0</w:t>
                  </w:r>
                </w:p>
              </w:tc>
              <w:tc>
                <w:tcPr>
                  <w:tcW w:w="1711" w:type="dxa"/>
                  <w:vAlign w:val="center"/>
                </w:tcPr>
                <w:p w14:paraId="79EB29B7">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w:t>
                  </w:r>
                </w:p>
              </w:tc>
            </w:tr>
            <w:tr w14:paraId="2987F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0ADD2D1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continue"/>
                  <w:vAlign w:val="center"/>
                </w:tcPr>
                <w:p w14:paraId="02AFA32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18" w:type="dxa"/>
                  <w:shd w:val="clear" w:color="auto" w:fill="auto"/>
                  <w:vAlign w:val="center"/>
                </w:tcPr>
                <w:p w14:paraId="3E3A58D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废包装材料</w:t>
                  </w:r>
                </w:p>
              </w:tc>
              <w:tc>
                <w:tcPr>
                  <w:tcW w:w="1043" w:type="dxa"/>
                  <w:shd w:val="clear" w:color="auto" w:fill="auto"/>
                  <w:vAlign w:val="center"/>
                </w:tcPr>
                <w:p w14:paraId="4059574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cs="Times New Roman"/>
                      <w:bCs/>
                      <w:color w:val="auto"/>
                      <w:kern w:val="0"/>
                      <w:szCs w:val="21"/>
                      <w:highlight w:val="none"/>
                    </w:rPr>
                    <w:t>0.5</w:t>
                  </w:r>
                </w:p>
              </w:tc>
              <w:tc>
                <w:tcPr>
                  <w:tcW w:w="1718" w:type="dxa"/>
                  <w:vAlign w:val="center"/>
                </w:tcPr>
                <w:p w14:paraId="2B7DA705">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1711" w:type="dxa"/>
                  <w:vAlign w:val="center"/>
                </w:tcPr>
                <w:p w14:paraId="4DDAE77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14:paraId="78D34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521198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continue"/>
                  <w:vAlign w:val="center"/>
                </w:tcPr>
                <w:p w14:paraId="026A063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18" w:type="dxa"/>
                  <w:shd w:val="clear" w:color="auto" w:fill="auto"/>
                  <w:vAlign w:val="center"/>
                </w:tcPr>
                <w:p w14:paraId="0BB10F6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1043" w:type="dxa"/>
                  <w:shd w:val="clear" w:color="auto" w:fill="auto"/>
                  <w:vAlign w:val="center"/>
                </w:tcPr>
                <w:p w14:paraId="51B726D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bCs/>
                      <w:color w:val="auto"/>
                      <w:kern w:val="0"/>
                      <w:szCs w:val="21"/>
                      <w:highlight w:val="none"/>
                      <w:lang w:val="en-US" w:eastAsia="zh-CN"/>
                    </w:rPr>
                    <w:t>0.35</w:t>
                  </w:r>
                </w:p>
              </w:tc>
              <w:tc>
                <w:tcPr>
                  <w:tcW w:w="1718" w:type="dxa"/>
                  <w:vAlign w:val="center"/>
                </w:tcPr>
                <w:p w14:paraId="09976D24">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0</w:t>
                  </w:r>
                </w:p>
              </w:tc>
              <w:tc>
                <w:tcPr>
                  <w:tcW w:w="1711" w:type="dxa"/>
                  <w:vAlign w:val="center"/>
                </w:tcPr>
                <w:p w14:paraId="33DF646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14:paraId="0FB3F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E16076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restart"/>
                  <w:vAlign w:val="center"/>
                </w:tcPr>
                <w:p w14:paraId="788E458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危险废物</w:t>
                  </w:r>
                </w:p>
              </w:tc>
              <w:tc>
                <w:tcPr>
                  <w:tcW w:w="1718" w:type="dxa"/>
                  <w:shd w:val="clear" w:color="auto" w:fill="auto"/>
                  <w:vAlign w:val="center"/>
                </w:tcPr>
                <w:p w14:paraId="298DAD87">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1043" w:type="dxa"/>
                  <w:shd w:val="clear" w:color="auto" w:fill="auto"/>
                  <w:vAlign w:val="center"/>
                </w:tcPr>
                <w:p w14:paraId="763C9B24">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cs="Times New Roman"/>
                      <w:bCs/>
                      <w:color w:val="auto"/>
                      <w:kern w:val="0"/>
                      <w:szCs w:val="21"/>
                      <w:highlight w:val="none"/>
                    </w:rPr>
                    <w:t>0.2</w:t>
                  </w:r>
                </w:p>
              </w:tc>
              <w:tc>
                <w:tcPr>
                  <w:tcW w:w="1718" w:type="dxa"/>
                  <w:vAlign w:val="center"/>
                </w:tcPr>
                <w:p w14:paraId="13AD3F7D">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bCs/>
                      <w:color w:val="auto"/>
                      <w:kern w:val="0"/>
                      <w:szCs w:val="21"/>
                      <w:highlight w:val="none"/>
                    </w:rPr>
                    <w:t>0</w:t>
                  </w:r>
                </w:p>
              </w:tc>
              <w:tc>
                <w:tcPr>
                  <w:tcW w:w="1711" w:type="dxa"/>
                  <w:vAlign w:val="center"/>
                </w:tcPr>
                <w:p w14:paraId="24F36EC9">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w:t>
                  </w:r>
                </w:p>
              </w:tc>
            </w:tr>
            <w:tr w14:paraId="7E3FF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1C7C41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continue"/>
                  <w:vAlign w:val="center"/>
                </w:tcPr>
                <w:p w14:paraId="595F086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18" w:type="dxa"/>
                  <w:shd w:val="clear" w:color="auto" w:fill="auto"/>
                  <w:vAlign w:val="center"/>
                </w:tcPr>
                <w:p w14:paraId="186B0E4B">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废切削液</w:t>
                  </w:r>
                </w:p>
              </w:tc>
              <w:tc>
                <w:tcPr>
                  <w:tcW w:w="1043" w:type="dxa"/>
                  <w:shd w:val="clear" w:color="auto" w:fill="auto"/>
                  <w:vAlign w:val="center"/>
                </w:tcPr>
                <w:p w14:paraId="2A63283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bCs/>
                      <w:color w:val="auto"/>
                      <w:kern w:val="0"/>
                      <w:szCs w:val="21"/>
                      <w:highlight w:val="none"/>
                      <w:lang w:val="en-US" w:eastAsia="zh-CN"/>
                    </w:rPr>
                    <w:t>0.3</w:t>
                  </w:r>
                </w:p>
              </w:tc>
              <w:tc>
                <w:tcPr>
                  <w:tcW w:w="1718" w:type="dxa"/>
                  <w:vAlign w:val="center"/>
                </w:tcPr>
                <w:p w14:paraId="111CDD0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bCs/>
                      <w:color w:val="auto"/>
                      <w:kern w:val="0"/>
                      <w:szCs w:val="21"/>
                      <w:highlight w:val="none"/>
                    </w:rPr>
                    <w:t>0</w:t>
                  </w:r>
                </w:p>
              </w:tc>
              <w:tc>
                <w:tcPr>
                  <w:tcW w:w="1711" w:type="dxa"/>
                  <w:vAlign w:val="center"/>
                </w:tcPr>
                <w:p w14:paraId="7E030BC8">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w:t>
                  </w:r>
                </w:p>
              </w:tc>
            </w:tr>
            <w:tr w14:paraId="26774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635CEC7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continue"/>
                  <w:vAlign w:val="center"/>
                </w:tcPr>
                <w:p w14:paraId="08CF4F1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18" w:type="dxa"/>
                  <w:shd w:val="clear" w:color="auto" w:fill="auto"/>
                  <w:vAlign w:val="center"/>
                </w:tcPr>
                <w:p w14:paraId="004857B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废机油（润滑油、液压油）</w:t>
                  </w:r>
                </w:p>
              </w:tc>
              <w:tc>
                <w:tcPr>
                  <w:tcW w:w="1043" w:type="dxa"/>
                  <w:shd w:val="clear" w:color="auto" w:fill="auto"/>
                  <w:vAlign w:val="center"/>
                </w:tcPr>
                <w:p w14:paraId="23F00894">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bCs/>
                      <w:color w:val="auto"/>
                      <w:kern w:val="0"/>
                      <w:szCs w:val="21"/>
                      <w:highlight w:val="none"/>
                      <w:lang w:val="en-US" w:eastAsia="zh-CN"/>
                    </w:rPr>
                    <w:t>0.5</w:t>
                  </w:r>
                </w:p>
              </w:tc>
              <w:tc>
                <w:tcPr>
                  <w:tcW w:w="1718" w:type="dxa"/>
                  <w:vAlign w:val="center"/>
                </w:tcPr>
                <w:p w14:paraId="010D4FFE">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bCs/>
                      <w:color w:val="auto"/>
                      <w:kern w:val="0"/>
                      <w:szCs w:val="21"/>
                      <w:highlight w:val="none"/>
                    </w:rPr>
                    <w:t>0</w:t>
                  </w:r>
                </w:p>
              </w:tc>
              <w:tc>
                <w:tcPr>
                  <w:tcW w:w="1711" w:type="dxa"/>
                  <w:vAlign w:val="center"/>
                </w:tcPr>
                <w:p w14:paraId="619C093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w:t>
                  </w:r>
                </w:p>
              </w:tc>
            </w:tr>
            <w:tr w14:paraId="39119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3303A7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32" w:type="dxa"/>
                  <w:vMerge w:val="continue"/>
                  <w:vAlign w:val="center"/>
                </w:tcPr>
                <w:p w14:paraId="1190CB0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718" w:type="dxa"/>
                  <w:shd w:val="clear" w:color="auto" w:fill="auto"/>
                  <w:vAlign w:val="center"/>
                </w:tcPr>
                <w:p w14:paraId="7FE0DD0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1043" w:type="dxa"/>
                  <w:shd w:val="clear" w:color="auto" w:fill="auto"/>
                  <w:vAlign w:val="center"/>
                </w:tcPr>
                <w:p w14:paraId="0348FA1F">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bCs/>
                      <w:color w:val="auto"/>
                      <w:kern w:val="0"/>
                      <w:szCs w:val="21"/>
                      <w:highlight w:val="none"/>
                      <w:lang w:val="en-US" w:eastAsia="zh-CN"/>
                    </w:rPr>
                    <w:t>0.7</w:t>
                  </w:r>
                </w:p>
              </w:tc>
              <w:tc>
                <w:tcPr>
                  <w:tcW w:w="1718" w:type="dxa"/>
                  <w:vAlign w:val="center"/>
                </w:tcPr>
                <w:p w14:paraId="267C566F">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Cs/>
                      <w:color w:val="auto"/>
                      <w:kern w:val="0"/>
                      <w:szCs w:val="21"/>
                      <w:highlight w:val="none"/>
                      <w:lang w:val="en-US" w:eastAsia="zh-CN"/>
                    </w:rPr>
                  </w:pPr>
                  <w:r>
                    <w:rPr>
                      <w:rFonts w:hint="default" w:ascii="Times New Roman" w:hAnsi="Times New Roman" w:cs="Times New Roman"/>
                      <w:bCs/>
                      <w:color w:val="auto"/>
                      <w:kern w:val="0"/>
                      <w:szCs w:val="21"/>
                      <w:highlight w:val="none"/>
                    </w:rPr>
                    <w:t>0</w:t>
                  </w:r>
                </w:p>
              </w:tc>
              <w:tc>
                <w:tcPr>
                  <w:tcW w:w="1711" w:type="dxa"/>
                  <w:vAlign w:val="center"/>
                </w:tcPr>
                <w:p w14:paraId="003FC7C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14:paraId="7B496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4008" w:type="dxa"/>
                  <w:gridSpan w:val="3"/>
                  <w:vAlign w:val="center"/>
                </w:tcPr>
                <w:p w14:paraId="14CEB6C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生活垃圾</w:t>
                  </w:r>
                </w:p>
              </w:tc>
              <w:tc>
                <w:tcPr>
                  <w:tcW w:w="1043" w:type="dxa"/>
                  <w:vAlign w:val="center"/>
                </w:tcPr>
                <w:p w14:paraId="13CBAADA">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pacing w:val="-4"/>
                      <w:szCs w:val="21"/>
                      <w:highlight w:val="none"/>
                      <w:lang w:val="en-US" w:eastAsia="zh-CN"/>
                    </w:rPr>
                    <w:t>4.5</w:t>
                  </w:r>
                </w:p>
              </w:tc>
              <w:tc>
                <w:tcPr>
                  <w:tcW w:w="1718" w:type="dxa"/>
                  <w:shd w:val="clear" w:color="auto" w:fill="auto"/>
                  <w:vAlign w:val="center"/>
                </w:tcPr>
                <w:p w14:paraId="2A4778A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w:t>
                  </w:r>
                </w:p>
              </w:tc>
              <w:tc>
                <w:tcPr>
                  <w:tcW w:w="1711" w:type="dxa"/>
                  <w:vAlign w:val="center"/>
                </w:tcPr>
                <w:p w14:paraId="0C076D09">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Cs w:val="21"/>
                      <w:highlight w:val="none"/>
                    </w:rPr>
                  </w:pPr>
                  <w:r>
                    <w:rPr>
                      <w:rFonts w:hint="default" w:ascii="Times New Roman" w:hAnsi="Times New Roman" w:cs="Times New Roman"/>
                      <w:color w:val="auto"/>
                      <w:szCs w:val="21"/>
                      <w:highlight w:val="none"/>
                    </w:rPr>
                    <w:t>/</w:t>
                  </w:r>
                </w:p>
              </w:tc>
            </w:tr>
            <w:tr w14:paraId="4E078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8480" w:type="dxa"/>
                  <w:gridSpan w:val="6"/>
                  <w:vAlign w:val="center"/>
                </w:tcPr>
                <w:p w14:paraId="59EA1188">
                  <w:pPr>
                    <w:keepNext w:val="0"/>
                    <w:keepLines w:val="0"/>
                    <w:suppressLineNumbers w:val="0"/>
                    <w:spacing w:before="0" w:beforeAutospacing="0" w:after="0" w:afterAutospacing="0"/>
                    <w:ind w:left="0" w:right="0"/>
                    <w:rPr>
                      <w:rFonts w:hint="default" w:eastAsia="宋体"/>
                      <w:lang w:val="en-US" w:eastAsia="zh-CN"/>
                    </w:rPr>
                  </w:pPr>
                  <w:r>
                    <w:rPr>
                      <w:rFonts w:hint="default" w:ascii="Times New Roman" w:hAnsi="Times New Roman" w:cs="Times New Roman"/>
                      <w:color w:val="auto"/>
                      <w:szCs w:val="21"/>
                      <w:highlight w:val="none"/>
                    </w:rPr>
                    <w:t>注：1</w:t>
                  </w:r>
                  <w:r>
                    <w:rPr>
                      <w:rFonts w:hint="default" w:ascii="Times New Roman" w:hAnsi="Times New Roman" w:cs="Times New Roman"/>
                      <w:color w:val="auto"/>
                      <w:highlight w:val="none"/>
                    </w:rPr>
                    <w:t>、</w:t>
                  </w:r>
                  <w:r>
                    <w:rPr>
                      <w:rFonts w:hint="eastAsia" w:cs="Times New Roman"/>
                      <w:color w:val="auto"/>
                      <w:highlight w:val="none"/>
                      <w:lang w:val="en-US" w:eastAsia="zh-CN"/>
                    </w:rPr>
                    <w:t>现有项目</w:t>
                  </w:r>
                  <w:r>
                    <w:rPr>
                      <w:rFonts w:hint="default" w:ascii="Times New Roman" w:hAnsi="Times New Roman" w:cs="Times New Roman"/>
                      <w:color w:val="auto"/>
                      <w:szCs w:val="21"/>
                      <w:highlight w:val="none"/>
                    </w:rPr>
                    <w:t>COD、氨氮、</w:t>
                  </w:r>
                  <w:r>
                    <w:rPr>
                      <w:rFonts w:hint="eastAsia" w:cs="Times New Roman"/>
                      <w:color w:val="auto"/>
                      <w:szCs w:val="21"/>
                      <w:highlight w:val="none"/>
                      <w:lang w:val="en-US" w:eastAsia="zh-CN"/>
                    </w:rPr>
                    <w:t>总磷排放量参照现有项目验收报告中的数据，现有项目</w:t>
                  </w:r>
                  <w:r>
                    <w:rPr>
                      <w:rFonts w:hint="default" w:ascii="Times New Roman" w:hAnsi="Times New Roman" w:cs="Times New Roman"/>
                      <w:color w:val="auto"/>
                      <w:szCs w:val="21"/>
                      <w:highlight w:val="none"/>
                    </w:rPr>
                    <w:t>BOD</w:t>
                  </w:r>
                  <w:r>
                    <w:rPr>
                      <w:rFonts w:hint="default" w:ascii="Times New Roman" w:hAnsi="Times New Roman" w:cs="Times New Roman"/>
                      <w:color w:val="auto"/>
                      <w:szCs w:val="21"/>
                      <w:highlight w:val="none"/>
                      <w:vertAlign w:val="subscript"/>
                    </w:rPr>
                    <w:t>5</w:t>
                  </w:r>
                  <w:r>
                    <w:rPr>
                      <w:rFonts w:hint="default" w:ascii="Times New Roman" w:hAnsi="Times New Roman" w:cs="Times New Roman"/>
                      <w:color w:val="auto"/>
                      <w:szCs w:val="21"/>
                      <w:highlight w:val="none"/>
                    </w:rPr>
                    <w:t>、SS</w:t>
                  </w:r>
                  <w:r>
                    <w:rPr>
                      <w:rFonts w:hint="default" w:ascii="Times New Roman" w:hAnsi="Times New Roman" w:cs="Times New Roman"/>
                      <w:color w:val="auto"/>
                      <w:highlight w:val="none"/>
                    </w:rPr>
                    <w:t>根据废水排放量及检测报告中废水污染物最大排放浓度，可以计算出废水中各污染物排放量。</w:t>
                  </w:r>
                </w:p>
              </w:tc>
            </w:tr>
          </w:tbl>
          <w:p w14:paraId="06CB99A6">
            <w:pPr>
              <w:keepNext w:val="0"/>
              <w:keepLines w:val="0"/>
              <w:suppressLineNumbers w:val="0"/>
              <w:spacing w:before="100" w:beforeAutospacing="1"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7、现有项目存在的主要环境问题及整改措</w:t>
            </w:r>
            <w:r>
              <w:rPr>
                <w:rFonts w:hint="default"/>
              </w:rPr>
              <w:commentReference w:id="26"/>
            </w:r>
            <w:r>
              <w:rPr>
                <w:rFonts w:hint="default" w:ascii="Times New Roman" w:hAnsi="Times New Roman" w:cs="Times New Roman"/>
                <w:b/>
                <w:bCs/>
                <w:color w:val="auto"/>
                <w:sz w:val="24"/>
                <w:highlight w:val="none"/>
              </w:rPr>
              <w:t>施</w:t>
            </w:r>
          </w:p>
          <w:p w14:paraId="7B63F4F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经排查，企业现有项目环评手续齐全，填报了固定污染源排污登记，污染防治措施均按环评批复执行，未发生过环境事故；现有项目污染因子均能达标排放，企业自生产以来，未发生过污染事故及企业、群众投诉等。根据现有项目例行检测报告可知，已建项目各污染物均能达标排放。</w:t>
            </w:r>
          </w:p>
          <w:p w14:paraId="3A7A37D9">
            <w:pPr>
              <w:pStyle w:val="5"/>
              <w:suppressLineNumbers w:val="0"/>
              <w:spacing w:beforeAutospacing="0" w:afterAutospacing="0"/>
              <w:ind w:right="0"/>
              <w:rPr>
                <w:rFonts w:hint="default" w:ascii="Times New Roman" w:hAnsi="Times New Roman" w:cs="Times New Roman"/>
                <w:color w:val="auto"/>
                <w:highlight w:val="none"/>
              </w:rPr>
            </w:pPr>
          </w:p>
          <w:p w14:paraId="02A8C830">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4712823E">
            <w:pPr>
              <w:pStyle w:val="5"/>
              <w:suppressLineNumbers w:val="0"/>
              <w:spacing w:beforeAutospacing="0" w:afterAutospacing="0"/>
              <w:ind w:right="0"/>
              <w:rPr>
                <w:rFonts w:hint="default" w:ascii="Times New Roman" w:hAnsi="Times New Roman" w:cs="Times New Roman"/>
                <w:color w:val="auto"/>
                <w:highlight w:val="none"/>
              </w:rPr>
            </w:pPr>
          </w:p>
          <w:p w14:paraId="707447DB">
            <w:pPr>
              <w:pStyle w:val="5"/>
              <w:suppressLineNumbers w:val="0"/>
              <w:spacing w:beforeAutospacing="0" w:afterAutospacing="0"/>
              <w:ind w:left="0" w:right="0" w:firstLine="0"/>
              <w:rPr>
                <w:rFonts w:hint="default" w:ascii="Times New Roman" w:hAnsi="Times New Roman" w:cs="Times New Roman"/>
                <w:color w:val="auto"/>
                <w:highlight w:val="none"/>
              </w:rPr>
            </w:pPr>
          </w:p>
        </w:tc>
      </w:tr>
    </w:tbl>
    <w:p w14:paraId="6B602F6D">
      <w:pPr>
        <w:pStyle w:val="57"/>
        <w:jc w:val="center"/>
        <w:outlineLvl w:val="0"/>
        <w:rPr>
          <w:rFonts w:hint="default" w:ascii="Times New Roman" w:hAnsi="Times New Roman" w:cs="Times New Roman"/>
          <w:snapToGrid w:val="0"/>
          <w:color w:val="auto"/>
          <w:sz w:val="30"/>
          <w:szCs w:val="30"/>
          <w:highlight w:val="none"/>
        </w:rPr>
        <w:sectPr>
          <w:pgSz w:w="11905" w:h="16838"/>
          <w:pgMar w:top="1701" w:right="1531" w:bottom="2126" w:left="1531" w:header="851" w:footer="850" w:gutter="0"/>
          <w:pgBorders>
            <w:top w:val="none" w:sz="0" w:space="0"/>
            <w:left w:val="none" w:sz="0" w:space="0"/>
            <w:bottom w:val="none" w:sz="0" w:space="0"/>
            <w:right w:val="none" w:sz="0" w:space="0"/>
          </w:pgBorders>
          <w:cols w:space="0" w:num="1"/>
          <w:docGrid w:linePitch="312" w:charSpace="0"/>
        </w:sectPr>
      </w:pPr>
    </w:p>
    <w:p w14:paraId="180CA043">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r>
        <w:rPr>
          <w:rFonts w:hint="default" w:ascii="Times New Roman" w:hAnsi="Times New Roman" w:cs="Times New Roman"/>
          <w:b/>
          <w:snapToGrid w:val="0"/>
          <w:color w:val="auto"/>
          <w:sz w:val="30"/>
          <w:szCs w:val="30"/>
          <w:highlight w:val="none"/>
        </w:rPr>
        <w:t>三、区域环境质量现状、环境保护目标及评价标准</w:t>
      </w:r>
    </w:p>
    <w:tbl>
      <w:tblPr>
        <w:tblStyle w:val="61"/>
        <w:tblW w:w="90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8607"/>
      </w:tblGrid>
      <w:tr w14:paraId="6DBF3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523" w:type="dxa"/>
            <w:vAlign w:val="center"/>
          </w:tcPr>
          <w:p w14:paraId="435A1E7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区域</w:t>
            </w:r>
          </w:p>
          <w:p w14:paraId="2FA31EC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环境</w:t>
            </w:r>
          </w:p>
          <w:p w14:paraId="31224C0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质量</w:t>
            </w:r>
          </w:p>
          <w:p w14:paraId="13DFEEB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现状</w:t>
            </w:r>
          </w:p>
        </w:tc>
        <w:tc>
          <w:tcPr>
            <w:tcW w:w="8536" w:type="dxa"/>
            <w:vAlign w:val="center"/>
          </w:tcPr>
          <w:p w14:paraId="26CCD8D7">
            <w:pPr>
              <w:keepNext w:val="0"/>
              <w:keepLines w:val="0"/>
              <w:widowControl/>
              <w:suppressLineNumbers w:val="0"/>
              <w:tabs>
                <w:tab w:val="left" w:pos="1418"/>
              </w:tabs>
              <w:spacing w:before="100" w:beforeAutospacing="1" w:after="0" w:afterAutospacing="0" w:line="360" w:lineRule="auto"/>
              <w:ind w:left="0" w:right="0" w:firstLine="482" w:firstLineChars="200"/>
              <w:jc w:val="lef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1、环境空气质量</w:t>
            </w:r>
          </w:p>
          <w:p w14:paraId="7E1A2504">
            <w:pPr>
              <w:pStyle w:val="1103"/>
              <w:keepNext w:val="0"/>
              <w:keepLines w:val="0"/>
              <w:suppressLineNumbers w:val="0"/>
              <w:spacing w:before="0" w:beforeAutospacing="0" w:after="0" w:afterAutospacing="0" w:line="360" w:lineRule="auto"/>
              <w:ind w:left="0" w:right="0" w:firstLine="482" w:firstLineChars="200"/>
              <w:jc w:val="both"/>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（1）基本污染物</w:t>
            </w:r>
          </w:p>
          <w:p w14:paraId="5ECDC742">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 xml:space="preserve">根据污染影响类建设项目环境影响报告表编制要求：“常规污染物引用与建 </w:t>
            </w:r>
          </w:p>
          <w:p w14:paraId="3A3918DE">
            <w:pPr>
              <w:keepNext w:val="0"/>
              <w:keepLines w:val="0"/>
              <w:suppressLineNumbers w:val="0"/>
              <w:spacing w:before="0" w:beforeAutospacing="0" w:after="0" w:afterAutospacing="0" w:line="360" w:lineRule="auto"/>
              <w:ind w:left="0" w:right="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设项目距离近的有效数据，包括近3年的规划环境影响评价的监测数据，国家、地方环境空气质量监测网数据或生态环境主管部门公开发布的质量数据等。”本次常规污染源引用</w:t>
            </w:r>
            <w:r>
              <w:rPr>
                <w:rFonts w:hint="default" w:ascii="Times New Roman" w:hAnsi="Times New Roman" w:cs="Times New Roman"/>
                <w:bCs/>
                <w:color w:val="auto"/>
                <w:sz w:val="24"/>
                <w:highlight w:val="none"/>
              </w:rPr>
              <w:t>芜湖市湾沚区环境空气质量自动监测站点2024年监测全年统计结果，项目所在区域环境空气质量现状如下表</w:t>
            </w:r>
            <w:r>
              <w:rPr>
                <w:rFonts w:hint="default" w:ascii="Times New Roman" w:hAnsi="Times New Roman" w:cs="Times New Roman"/>
                <w:color w:val="auto"/>
                <w:kern w:val="0"/>
                <w:sz w:val="24"/>
                <w:highlight w:val="none"/>
              </w:rPr>
              <w:t>。</w:t>
            </w:r>
          </w:p>
          <w:p w14:paraId="61541FBA">
            <w:pPr>
              <w:pStyle w:val="77"/>
              <w:keepNext w:val="0"/>
              <w:keepLines w:val="0"/>
              <w:suppressLineNumbers w:val="0"/>
              <w:spacing w:before="0" w:beforeAutospacing="0" w:after="0" w:afterAutospacing="0" w:line="240" w:lineRule="auto"/>
              <w:ind w:left="0" w:right="0" w:firstLine="474"/>
              <w:jc w:val="center"/>
              <w:rPr>
                <w:rFonts w:hint="default" w:ascii="Times New Roman" w:hAnsi="Times New Roman" w:cs="Times New Roman"/>
                <w:b/>
                <w:color w:val="auto"/>
                <w:spacing w:val="-2"/>
                <w:kern w:val="28"/>
                <w:highlight w:val="none"/>
                <w:vertAlign w:val="superscript"/>
              </w:rPr>
            </w:pPr>
            <w:r>
              <w:rPr>
                <w:rFonts w:hint="default" w:ascii="Times New Roman" w:hAnsi="Times New Roman" w:cs="Times New Roman"/>
                <w:b/>
                <w:color w:val="auto"/>
                <w:spacing w:val="-2"/>
                <w:kern w:val="28"/>
                <w:highlight w:val="none"/>
              </w:rPr>
              <w:t xml:space="preserve">表3-1  </w:t>
            </w:r>
            <w:r>
              <w:rPr>
                <w:rFonts w:hint="default" w:ascii="Times New Roman" w:hAnsi="Times New Roman" w:cs="Times New Roman"/>
                <w:b/>
                <w:color w:val="auto"/>
                <w:kern w:val="0"/>
                <w:highlight w:val="none"/>
              </w:rPr>
              <w:t>区域环境空气质量现状监测</w:t>
            </w:r>
            <w:r>
              <w:rPr>
                <w:rFonts w:hint="default" w:ascii="Times New Roman" w:hAnsi="Times New Roman" w:cs="Times New Roman"/>
                <w:b/>
                <w:color w:val="auto"/>
                <w:spacing w:val="-2"/>
                <w:kern w:val="28"/>
                <w:highlight w:val="none"/>
              </w:rPr>
              <w:t>结果  单位：μg/m</w:t>
            </w:r>
            <w:r>
              <w:rPr>
                <w:rFonts w:hint="default" w:ascii="Times New Roman" w:hAnsi="Times New Roman" w:cs="Times New Roman"/>
                <w:b/>
                <w:color w:val="auto"/>
                <w:spacing w:val="-2"/>
                <w:kern w:val="28"/>
                <w:highlight w:val="none"/>
                <w:vertAlign w:val="superscript"/>
              </w:rPr>
              <w:t>3</w:t>
            </w:r>
          </w:p>
          <w:tbl>
            <w:tblPr>
              <w:tblStyle w:val="61"/>
              <w:tblW w:w="8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1663"/>
              <w:gridCol w:w="1022"/>
              <w:gridCol w:w="1235"/>
              <w:gridCol w:w="1181"/>
              <w:gridCol w:w="1259"/>
              <w:gridCol w:w="1260"/>
            </w:tblGrid>
            <w:tr w14:paraId="245DE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shd w:val="clear" w:color="auto" w:fill="FFFFFF"/>
                  <w:vAlign w:val="center"/>
                </w:tcPr>
                <w:p w14:paraId="406952A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站点</w:t>
                  </w:r>
                </w:p>
              </w:tc>
              <w:tc>
                <w:tcPr>
                  <w:tcW w:w="1663" w:type="dxa"/>
                  <w:shd w:val="clear" w:color="auto" w:fill="FFFFFF"/>
                  <w:vAlign w:val="center"/>
                </w:tcPr>
                <w:p w14:paraId="1C0CB90F">
                  <w:pPr>
                    <w:pStyle w:val="77"/>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sz w:val="21"/>
                      <w:szCs w:val="21"/>
                      <w:highlight w:val="none"/>
                    </w:rPr>
                    <w:t>污染物</w:t>
                  </w:r>
                </w:p>
              </w:tc>
              <w:tc>
                <w:tcPr>
                  <w:tcW w:w="1022" w:type="dxa"/>
                  <w:shd w:val="clear" w:color="auto" w:fill="FFFFFF"/>
                  <w:vAlign w:val="center"/>
                </w:tcPr>
                <w:p w14:paraId="21A6852E">
                  <w:pPr>
                    <w:pStyle w:val="77"/>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年评价</w:t>
                  </w:r>
                </w:p>
                <w:p w14:paraId="1DD3D497">
                  <w:pPr>
                    <w:pStyle w:val="77"/>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sz w:val="21"/>
                      <w:szCs w:val="21"/>
                      <w:highlight w:val="none"/>
                    </w:rPr>
                    <w:t>指标</w:t>
                  </w:r>
                </w:p>
              </w:tc>
              <w:tc>
                <w:tcPr>
                  <w:tcW w:w="1235" w:type="dxa"/>
                  <w:shd w:val="clear" w:color="auto" w:fill="FFFFFF"/>
                  <w:vAlign w:val="center"/>
                </w:tcPr>
                <w:p w14:paraId="6369967B">
                  <w:pPr>
                    <w:pStyle w:val="77"/>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sz w:val="21"/>
                      <w:szCs w:val="21"/>
                      <w:highlight w:val="none"/>
                    </w:rPr>
                    <w:t>现状浓度/（μg/m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1181" w:type="dxa"/>
                  <w:shd w:val="clear" w:color="auto" w:fill="FFFFFF"/>
                  <w:vAlign w:val="center"/>
                </w:tcPr>
                <w:p w14:paraId="34B9BBF1">
                  <w:pPr>
                    <w:pStyle w:val="77"/>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标准值/（μg/m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1259" w:type="dxa"/>
                  <w:shd w:val="clear" w:color="auto" w:fill="FFFFFF"/>
                  <w:vAlign w:val="center"/>
                </w:tcPr>
                <w:p w14:paraId="77C292F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占标率%</w:t>
                  </w:r>
                </w:p>
              </w:tc>
              <w:tc>
                <w:tcPr>
                  <w:tcW w:w="1260" w:type="dxa"/>
                  <w:shd w:val="clear" w:color="auto" w:fill="FFFFFF"/>
                  <w:vAlign w:val="center"/>
                </w:tcPr>
                <w:p w14:paraId="3EE1D21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szCs w:val="21"/>
                      <w:highlight w:val="none"/>
                    </w:rPr>
                    <w:t>达标情况</w:t>
                  </w:r>
                </w:p>
              </w:tc>
            </w:tr>
            <w:tr w14:paraId="59091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restart"/>
                  <w:shd w:val="clear" w:color="auto" w:fill="FFFFFF"/>
                  <w:vAlign w:val="center"/>
                </w:tcPr>
                <w:p w14:paraId="754424F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湾沚区环境空气质量自动监测站点</w:t>
                  </w:r>
                </w:p>
              </w:tc>
              <w:tc>
                <w:tcPr>
                  <w:tcW w:w="1663" w:type="dxa"/>
                  <w:shd w:val="clear" w:color="auto" w:fill="FFFFFF"/>
                  <w:vAlign w:val="center"/>
                </w:tcPr>
                <w:p w14:paraId="4CB201B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SO</w:t>
                  </w:r>
                  <w:r>
                    <w:rPr>
                      <w:rFonts w:hint="default" w:ascii="Times New Roman" w:hAnsi="Times New Roman" w:cs="Times New Roman"/>
                      <w:color w:val="auto"/>
                      <w:kern w:val="0"/>
                      <w:szCs w:val="21"/>
                      <w:highlight w:val="none"/>
                      <w:vertAlign w:val="subscript"/>
                    </w:rPr>
                    <w:t>2</w:t>
                  </w:r>
                </w:p>
              </w:tc>
              <w:tc>
                <w:tcPr>
                  <w:tcW w:w="1022" w:type="dxa"/>
                  <w:vMerge w:val="restart"/>
                  <w:shd w:val="clear" w:color="auto" w:fill="FFFFFF"/>
                  <w:vAlign w:val="center"/>
                </w:tcPr>
                <w:p w14:paraId="4809FA8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2024年</w:t>
                  </w:r>
                </w:p>
                <w:p w14:paraId="51E2B53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年均值</w:t>
                  </w:r>
                </w:p>
              </w:tc>
              <w:tc>
                <w:tcPr>
                  <w:tcW w:w="1235" w:type="dxa"/>
                  <w:shd w:val="clear" w:color="auto" w:fill="auto"/>
                  <w:vAlign w:val="center"/>
                </w:tcPr>
                <w:p w14:paraId="3F39E950">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w:t>
                  </w:r>
                </w:p>
              </w:tc>
              <w:tc>
                <w:tcPr>
                  <w:tcW w:w="1181" w:type="dxa"/>
                  <w:shd w:val="clear" w:color="auto" w:fill="auto"/>
                  <w:vAlign w:val="center"/>
                </w:tcPr>
                <w:p w14:paraId="414D6316">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60</w:t>
                  </w:r>
                </w:p>
              </w:tc>
              <w:tc>
                <w:tcPr>
                  <w:tcW w:w="1259" w:type="dxa"/>
                  <w:shd w:val="clear" w:color="auto" w:fill="auto"/>
                  <w:vAlign w:val="center"/>
                </w:tcPr>
                <w:p w14:paraId="5506C381">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18.3</w:t>
                  </w:r>
                </w:p>
              </w:tc>
              <w:tc>
                <w:tcPr>
                  <w:tcW w:w="1260" w:type="dxa"/>
                  <w:shd w:val="clear" w:color="auto" w:fill="FFFFFF"/>
                  <w:vAlign w:val="center"/>
                </w:tcPr>
                <w:p w14:paraId="50ED941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达标</w:t>
                  </w:r>
                </w:p>
              </w:tc>
            </w:tr>
            <w:tr w14:paraId="2A89D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83" w:type="dxa"/>
                  <w:vMerge w:val="continue"/>
                  <w:shd w:val="clear" w:color="auto" w:fill="FFFFFF"/>
                  <w:vAlign w:val="center"/>
                </w:tcPr>
                <w:p w14:paraId="4C25003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663" w:type="dxa"/>
                  <w:shd w:val="clear" w:color="auto" w:fill="FFFFFF"/>
                  <w:vAlign w:val="center"/>
                </w:tcPr>
                <w:p w14:paraId="3634367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NO</w:t>
                  </w:r>
                  <w:r>
                    <w:rPr>
                      <w:rFonts w:hint="default" w:ascii="Times New Roman" w:hAnsi="Times New Roman" w:cs="Times New Roman"/>
                      <w:color w:val="auto"/>
                      <w:kern w:val="0"/>
                      <w:szCs w:val="21"/>
                      <w:highlight w:val="none"/>
                      <w:vertAlign w:val="subscript"/>
                    </w:rPr>
                    <w:t>2</w:t>
                  </w:r>
                </w:p>
              </w:tc>
              <w:tc>
                <w:tcPr>
                  <w:tcW w:w="1022" w:type="dxa"/>
                  <w:vMerge w:val="continue"/>
                  <w:shd w:val="clear" w:color="auto" w:fill="FFFFFF"/>
                  <w:vAlign w:val="center"/>
                </w:tcPr>
                <w:p w14:paraId="797284E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235" w:type="dxa"/>
                  <w:shd w:val="clear" w:color="auto" w:fill="auto"/>
                  <w:vAlign w:val="center"/>
                </w:tcPr>
                <w:p w14:paraId="70DD361A">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1181" w:type="dxa"/>
                  <w:shd w:val="clear" w:color="auto" w:fill="auto"/>
                  <w:vAlign w:val="center"/>
                </w:tcPr>
                <w:p w14:paraId="2D3C857F">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40</w:t>
                  </w:r>
                </w:p>
              </w:tc>
              <w:tc>
                <w:tcPr>
                  <w:tcW w:w="1259" w:type="dxa"/>
                  <w:shd w:val="clear" w:color="auto" w:fill="auto"/>
                  <w:vAlign w:val="center"/>
                </w:tcPr>
                <w:p w14:paraId="6E70F316">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52.5</w:t>
                  </w:r>
                </w:p>
              </w:tc>
              <w:tc>
                <w:tcPr>
                  <w:tcW w:w="1260" w:type="dxa"/>
                  <w:shd w:val="clear" w:color="auto" w:fill="FFFFFF"/>
                  <w:vAlign w:val="center"/>
                </w:tcPr>
                <w:p w14:paraId="10BDDE6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达标</w:t>
                  </w:r>
                </w:p>
              </w:tc>
            </w:tr>
            <w:tr w14:paraId="15CA2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continue"/>
                  <w:shd w:val="clear" w:color="auto" w:fill="FFFFFF"/>
                  <w:vAlign w:val="center"/>
                </w:tcPr>
                <w:p w14:paraId="1B70C9F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663" w:type="dxa"/>
                  <w:shd w:val="clear" w:color="auto" w:fill="FFFFFF"/>
                  <w:vAlign w:val="center"/>
                </w:tcPr>
                <w:p w14:paraId="51AC1CB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PM</w:t>
                  </w:r>
                  <w:r>
                    <w:rPr>
                      <w:rFonts w:hint="default" w:ascii="Times New Roman" w:hAnsi="Times New Roman" w:cs="Times New Roman"/>
                      <w:color w:val="auto"/>
                      <w:kern w:val="0"/>
                      <w:szCs w:val="21"/>
                      <w:highlight w:val="none"/>
                      <w:vertAlign w:val="subscript"/>
                    </w:rPr>
                    <w:t>10</w:t>
                  </w:r>
                </w:p>
              </w:tc>
              <w:tc>
                <w:tcPr>
                  <w:tcW w:w="1022" w:type="dxa"/>
                  <w:vMerge w:val="continue"/>
                  <w:shd w:val="clear" w:color="auto" w:fill="FFFFFF"/>
                  <w:vAlign w:val="center"/>
                </w:tcPr>
                <w:p w14:paraId="15FF7F7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235" w:type="dxa"/>
                  <w:shd w:val="clear" w:color="auto" w:fill="auto"/>
                  <w:vAlign w:val="center"/>
                </w:tcPr>
                <w:p w14:paraId="7EE303EB">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51</w:t>
                  </w:r>
                </w:p>
              </w:tc>
              <w:tc>
                <w:tcPr>
                  <w:tcW w:w="1181" w:type="dxa"/>
                  <w:shd w:val="clear" w:color="auto" w:fill="auto"/>
                  <w:vAlign w:val="center"/>
                </w:tcPr>
                <w:p w14:paraId="21C475C3">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70</w:t>
                  </w:r>
                </w:p>
              </w:tc>
              <w:tc>
                <w:tcPr>
                  <w:tcW w:w="1259" w:type="dxa"/>
                  <w:shd w:val="clear" w:color="auto" w:fill="auto"/>
                  <w:vAlign w:val="center"/>
                </w:tcPr>
                <w:p w14:paraId="59D91F88">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72.9</w:t>
                  </w:r>
                </w:p>
              </w:tc>
              <w:tc>
                <w:tcPr>
                  <w:tcW w:w="1260" w:type="dxa"/>
                  <w:shd w:val="clear" w:color="auto" w:fill="FFFFFF"/>
                  <w:vAlign w:val="center"/>
                </w:tcPr>
                <w:p w14:paraId="5450B84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达标</w:t>
                  </w:r>
                </w:p>
              </w:tc>
            </w:tr>
            <w:tr w14:paraId="75BBB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continue"/>
                  <w:shd w:val="clear" w:color="auto" w:fill="FFFFFF"/>
                  <w:vAlign w:val="center"/>
                </w:tcPr>
                <w:p w14:paraId="373B803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663" w:type="dxa"/>
                  <w:shd w:val="clear" w:color="auto" w:fill="FFFFFF"/>
                  <w:vAlign w:val="center"/>
                </w:tcPr>
                <w:p w14:paraId="23EDE29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PM</w:t>
                  </w:r>
                  <w:r>
                    <w:rPr>
                      <w:rFonts w:hint="default" w:ascii="Times New Roman" w:hAnsi="Times New Roman" w:cs="Times New Roman"/>
                      <w:color w:val="auto"/>
                      <w:kern w:val="0"/>
                      <w:szCs w:val="21"/>
                      <w:highlight w:val="none"/>
                      <w:vertAlign w:val="subscript"/>
                    </w:rPr>
                    <w:t>2.5</w:t>
                  </w:r>
                </w:p>
              </w:tc>
              <w:tc>
                <w:tcPr>
                  <w:tcW w:w="1022" w:type="dxa"/>
                  <w:vMerge w:val="continue"/>
                  <w:shd w:val="clear" w:color="auto" w:fill="FFFFFF"/>
                  <w:vAlign w:val="center"/>
                </w:tcPr>
                <w:p w14:paraId="7C6D180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235" w:type="dxa"/>
                  <w:shd w:val="clear" w:color="auto" w:fill="auto"/>
                  <w:vAlign w:val="center"/>
                </w:tcPr>
                <w:p w14:paraId="5600DDBB">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27</w:t>
                  </w:r>
                </w:p>
              </w:tc>
              <w:tc>
                <w:tcPr>
                  <w:tcW w:w="1181" w:type="dxa"/>
                  <w:shd w:val="clear" w:color="auto" w:fill="auto"/>
                  <w:vAlign w:val="center"/>
                </w:tcPr>
                <w:p w14:paraId="5E091D77">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35</w:t>
                  </w:r>
                </w:p>
              </w:tc>
              <w:tc>
                <w:tcPr>
                  <w:tcW w:w="1259" w:type="dxa"/>
                  <w:shd w:val="clear" w:color="auto" w:fill="auto"/>
                  <w:vAlign w:val="center"/>
                </w:tcPr>
                <w:p w14:paraId="42990342">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77.1</w:t>
                  </w:r>
                </w:p>
              </w:tc>
              <w:tc>
                <w:tcPr>
                  <w:tcW w:w="1260" w:type="dxa"/>
                  <w:shd w:val="clear" w:color="auto" w:fill="FFFFFF"/>
                  <w:vAlign w:val="center"/>
                </w:tcPr>
                <w:p w14:paraId="314663B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达标</w:t>
                  </w:r>
                </w:p>
              </w:tc>
            </w:tr>
            <w:tr w14:paraId="19C13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continue"/>
                  <w:shd w:val="clear" w:color="auto" w:fill="FFFFFF"/>
                  <w:vAlign w:val="center"/>
                </w:tcPr>
                <w:p w14:paraId="7648883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663" w:type="dxa"/>
                  <w:shd w:val="clear" w:color="auto" w:fill="FFFFFF"/>
                  <w:vAlign w:val="center"/>
                </w:tcPr>
                <w:p w14:paraId="58C7ABE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CO-95</w:t>
                  </w:r>
                </w:p>
                <w:p w14:paraId="44BF70A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百分位(mg/m³)</w:t>
                  </w:r>
                </w:p>
              </w:tc>
              <w:tc>
                <w:tcPr>
                  <w:tcW w:w="1022" w:type="dxa"/>
                  <w:vMerge w:val="continue"/>
                  <w:shd w:val="clear" w:color="auto" w:fill="FFFFFF"/>
                  <w:vAlign w:val="center"/>
                </w:tcPr>
                <w:p w14:paraId="510C849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235" w:type="dxa"/>
                  <w:shd w:val="clear" w:color="auto" w:fill="auto"/>
                  <w:vAlign w:val="center"/>
                </w:tcPr>
                <w:p w14:paraId="4B43D42C">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1100</w:t>
                  </w:r>
                </w:p>
              </w:tc>
              <w:tc>
                <w:tcPr>
                  <w:tcW w:w="1181" w:type="dxa"/>
                  <w:shd w:val="clear" w:color="auto" w:fill="auto"/>
                  <w:vAlign w:val="center"/>
                </w:tcPr>
                <w:p w14:paraId="6792366C">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4000</w:t>
                  </w:r>
                </w:p>
              </w:tc>
              <w:tc>
                <w:tcPr>
                  <w:tcW w:w="1259" w:type="dxa"/>
                  <w:shd w:val="clear" w:color="auto" w:fill="auto"/>
                  <w:vAlign w:val="center"/>
                </w:tcPr>
                <w:p w14:paraId="4554240D">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27.5</w:t>
                  </w:r>
                </w:p>
              </w:tc>
              <w:tc>
                <w:tcPr>
                  <w:tcW w:w="1260" w:type="dxa"/>
                  <w:shd w:val="clear" w:color="auto" w:fill="FFFFFF"/>
                  <w:vAlign w:val="center"/>
                </w:tcPr>
                <w:p w14:paraId="4AEBF5C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达标</w:t>
                  </w:r>
                </w:p>
              </w:tc>
            </w:tr>
            <w:tr w14:paraId="684C7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continue"/>
                  <w:shd w:val="clear" w:color="auto" w:fill="FFFFFF"/>
                  <w:vAlign w:val="center"/>
                </w:tcPr>
                <w:p w14:paraId="33C7043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663" w:type="dxa"/>
                  <w:shd w:val="clear" w:color="auto" w:fill="FFFFFF"/>
                  <w:vAlign w:val="center"/>
                </w:tcPr>
                <w:p w14:paraId="256CA9C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O</w:t>
                  </w:r>
                  <w:r>
                    <w:rPr>
                      <w:rFonts w:hint="default" w:ascii="Times New Roman" w:hAnsi="Times New Roman" w:cs="Times New Roman"/>
                      <w:color w:val="auto"/>
                      <w:kern w:val="0"/>
                      <w:szCs w:val="21"/>
                      <w:highlight w:val="none"/>
                      <w:vertAlign w:val="subscript"/>
                    </w:rPr>
                    <w:t>3</w:t>
                  </w:r>
                  <w:r>
                    <w:rPr>
                      <w:rFonts w:hint="default" w:ascii="Times New Roman" w:hAnsi="Times New Roman" w:cs="Times New Roman"/>
                      <w:color w:val="auto"/>
                      <w:kern w:val="0"/>
                      <w:szCs w:val="21"/>
                      <w:highlight w:val="none"/>
                    </w:rPr>
                    <w:t>-8H-90百分位</w:t>
                  </w:r>
                </w:p>
              </w:tc>
              <w:tc>
                <w:tcPr>
                  <w:tcW w:w="1022" w:type="dxa"/>
                  <w:vMerge w:val="continue"/>
                  <w:shd w:val="clear" w:color="auto" w:fill="FFFFFF"/>
                  <w:vAlign w:val="center"/>
                </w:tcPr>
                <w:p w14:paraId="17FBDB3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235" w:type="dxa"/>
                  <w:shd w:val="clear" w:color="auto" w:fill="auto"/>
                  <w:vAlign w:val="center"/>
                </w:tcPr>
                <w:p w14:paraId="671A54D3">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158</w:t>
                  </w:r>
                </w:p>
              </w:tc>
              <w:tc>
                <w:tcPr>
                  <w:tcW w:w="1181" w:type="dxa"/>
                  <w:shd w:val="clear" w:color="auto" w:fill="auto"/>
                  <w:vAlign w:val="center"/>
                </w:tcPr>
                <w:p w14:paraId="5FEF810D">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160</w:t>
                  </w:r>
                </w:p>
              </w:tc>
              <w:tc>
                <w:tcPr>
                  <w:tcW w:w="1259" w:type="dxa"/>
                  <w:shd w:val="clear" w:color="auto" w:fill="auto"/>
                  <w:vAlign w:val="center"/>
                </w:tcPr>
                <w:p w14:paraId="7732F8D7">
                  <w:pPr>
                    <w:keepNext/>
                    <w:keepLines/>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98.8</w:t>
                  </w:r>
                </w:p>
              </w:tc>
              <w:tc>
                <w:tcPr>
                  <w:tcW w:w="1260" w:type="dxa"/>
                  <w:shd w:val="clear" w:color="auto" w:fill="FFFFFF"/>
                  <w:vAlign w:val="center"/>
                </w:tcPr>
                <w:p w14:paraId="5D6F613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达标</w:t>
                  </w:r>
                </w:p>
              </w:tc>
            </w:tr>
          </w:tbl>
          <w:p w14:paraId="287A71F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由上表监测数据判定，湾沚区域环境空气执行《环境空气质量标准》</w:t>
            </w:r>
          </w:p>
          <w:p w14:paraId="506EF37E">
            <w:pPr>
              <w:keepNext w:val="0"/>
              <w:keepLines w:val="0"/>
              <w:suppressLineNumbers w:val="0"/>
              <w:spacing w:before="0" w:beforeAutospacing="0" w:after="0" w:afterAutospacing="0" w:line="360" w:lineRule="auto"/>
              <w:ind w:left="0" w:right="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（GB3095-2012）中二类区标准，湾沚区环境空气为“达标区”。</w:t>
            </w:r>
          </w:p>
          <w:p w14:paraId="7B9EB996">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kern w:val="0"/>
                <w:sz w:val="24"/>
                <w:highlight w:val="none"/>
                <w:lang w:bidi="ar"/>
              </w:rPr>
            </w:pPr>
            <w:r>
              <w:rPr>
                <w:rFonts w:hint="default" w:ascii="Times New Roman" w:hAnsi="Times New Roman" w:cs="Times New Roman"/>
                <w:b/>
                <w:bCs/>
                <w:color w:val="auto"/>
                <w:kern w:val="0"/>
                <w:sz w:val="24"/>
                <w:highlight w:val="none"/>
              </w:rPr>
              <w:t>（2）特征污染物</w:t>
            </w:r>
            <w:r>
              <w:rPr>
                <w:rFonts w:hint="default" w:ascii="Times New Roman" w:hAnsi="Times New Roman" w:cs="Times New Roman"/>
                <w:b/>
                <w:color w:val="auto"/>
                <w:kern w:val="0"/>
                <w:sz w:val="24"/>
                <w:highlight w:val="none"/>
              </w:rPr>
              <w:t>环境质量现状</w:t>
            </w:r>
          </w:p>
          <w:p w14:paraId="4884DFE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根据《建设项目环境影响报告表编制技术指南（污染影响类）（试行）》中规定“排放国家、地方环境空气质量标准中有标准限值要求的特征污染物时，引用建设项目周边5千米范围内近3年的现有监测数据”，本项目涉及的特征污染物有TSP、非甲烷总烃，</w:t>
            </w:r>
            <w:r>
              <w:rPr>
                <w:rFonts w:hint="default" w:ascii="Times New Roman" w:hAnsi="Times New Roman" w:cs="Times New Roman"/>
                <w:color w:val="auto"/>
                <w:kern w:val="0"/>
                <w:sz w:val="24"/>
                <w:highlight w:val="none"/>
              </w:rPr>
              <w:t>其中非甲烷总烃</w:t>
            </w:r>
            <w:r>
              <w:rPr>
                <w:rFonts w:hint="eastAsia"/>
                <w:color w:val="auto"/>
                <w:kern w:val="0"/>
                <w:sz w:val="24"/>
                <w:lang w:val="en-US" w:eastAsia="zh-CN"/>
              </w:rPr>
              <w:t>不在</w:t>
            </w:r>
            <w:r>
              <w:rPr>
                <w:rFonts w:hint="eastAsia"/>
                <w:color w:val="auto"/>
                <w:kern w:val="0"/>
                <w:sz w:val="24"/>
              </w:rPr>
              <w:t>《环境空气质量标准》（GB3095-2012）及修改单中</w:t>
            </w:r>
            <w:r>
              <w:rPr>
                <w:rFonts w:hint="default"/>
                <w:color w:val="auto"/>
                <w:kern w:val="0"/>
                <w:sz w:val="24"/>
              </w:rPr>
              <w:t>，因此非甲烷总烃不进行现状评价。</w:t>
            </w:r>
            <w:r>
              <w:rPr>
                <w:rFonts w:hint="default" w:ascii="Times New Roman" w:hAnsi="Times New Roman" w:cs="Times New Roman"/>
                <w:color w:val="auto"/>
                <w:kern w:val="0"/>
                <w:sz w:val="24"/>
                <w:highlight w:val="none"/>
              </w:rPr>
              <w:t>。</w:t>
            </w:r>
          </w:p>
          <w:p w14:paraId="77457AFF">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为了解区域大气环境质量现状，TSP监测数据引用《安徽新芜经济开发区扩区总体发展规划（2023-2035年）环境影响报告书》中的环境空气质量现状监测数据，引用监测点位G6肯昌机电，</w:t>
            </w:r>
            <w:r>
              <w:rPr>
                <w:rFonts w:hint="default" w:ascii="Times New Roman" w:hAnsi="Times New Roman" w:cs="Times New Roman"/>
                <w:color w:val="auto"/>
                <w:spacing w:val="-6"/>
                <w:sz w:val="24"/>
                <w:highlight w:val="none"/>
              </w:rPr>
              <w:t>监测点位</w:t>
            </w:r>
            <w:r>
              <w:rPr>
                <w:rFonts w:hint="default" w:ascii="Times New Roman" w:hAnsi="Times New Roman" w:cs="Times New Roman"/>
                <w:color w:val="auto"/>
                <w:kern w:val="0"/>
                <w:sz w:val="24"/>
                <w:highlight w:val="none"/>
              </w:rPr>
              <w:t>位于本项目</w:t>
            </w:r>
            <w:r>
              <w:rPr>
                <w:rFonts w:hint="eastAsia" w:cs="Times New Roman"/>
                <w:color w:val="auto"/>
                <w:kern w:val="0"/>
                <w:sz w:val="24"/>
                <w:highlight w:val="none"/>
                <w:lang w:val="en-US" w:eastAsia="zh-CN"/>
              </w:rPr>
              <w:t>东</w:t>
            </w:r>
            <w:r>
              <w:rPr>
                <w:rFonts w:hint="default" w:ascii="Times New Roman" w:hAnsi="Times New Roman" w:cs="Times New Roman"/>
                <w:color w:val="auto"/>
                <w:kern w:val="0"/>
                <w:sz w:val="24"/>
                <w:highlight w:val="none"/>
              </w:rPr>
              <w:t>南侧</w:t>
            </w:r>
            <w:r>
              <w:rPr>
                <w:rFonts w:hint="eastAsia" w:cs="Times New Roman"/>
                <w:color w:val="auto"/>
                <w:kern w:val="0"/>
                <w:sz w:val="24"/>
                <w:highlight w:val="none"/>
                <w:lang w:val="en-US" w:eastAsia="zh-CN"/>
              </w:rPr>
              <w:t>4.03k</w:t>
            </w:r>
            <w:r>
              <w:rPr>
                <w:rFonts w:hint="default" w:ascii="Times New Roman" w:hAnsi="Times New Roman" w:cs="Times New Roman"/>
                <w:color w:val="auto"/>
                <w:kern w:val="0"/>
                <w:sz w:val="24"/>
                <w:highlight w:val="none"/>
              </w:rPr>
              <w:t>m，监测时间为2024年4月18日~4月24日，监测时间在3年内，引用数据满足要求。</w:t>
            </w:r>
            <w:r>
              <w:rPr>
                <w:rFonts w:hint="default" w:ascii="Times New Roman" w:hAnsi="Times New Roman" w:cs="Times New Roman"/>
                <w:color w:val="auto"/>
                <w:sz w:val="24"/>
                <w:highlight w:val="none"/>
              </w:rPr>
              <w:t>监测结果详见下表。</w:t>
            </w:r>
          </w:p>
          <w:p w14:paraId="2352EB1E">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表3-2  环境空气质量现状监测结果 单位：mg/m</w:t>
            </w:r>
            <w:r>
              <w:rPr>
                <w:rFonts w:hint="default" w:ascii="Times New Roman" w:hAnsi="Times New Roman" w:cs="Times New Roman"/>
                <w:b/>
                <w:color w:val="auto"/>
                <w:sz w:val="24"/>
                <w:highlight w:val="none"/>
                <w:vertAlign w:val="superscript"/>
              </w:rPr>
              <w:t>3</w:t>
            </w:r>
          </w:p>
          <w:tbl>
            <w:tblPr>
              <w:tblStyle w:val="61"/>
              <w:tblW w:w="4998"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1220"/>
              <w:gridCol w:w="713"/>
              <w:gridCol w:w="1537"/>
              <w:gridCol w:w="1162"/>
              <w:gridCol w:w="832"/>
              <w:gridCol w:w="1051"/>
              <w:gridCol w:w="1236"/>
              <w:gridCol w:w="627"/>
            </w:tblGrid>
            <w:tr w14:paraId="2AC803B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restart"/>
                  <w:vAlign w:val="center"/>
                </w:tcPr>
                <w:p w14:paraId="55CA95A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监测点位</w:t>
                  </w:r>
                </w:p>
              </w:tc>
              <w:tc>
                <w:tcPr>
                  <w:tcW w:w="425" w:type="pct"/>
                  <w:vMerge w:val="restart"/>
                  <w:vAlign w:val="center"/>
                </w:tcPr>
                <w:p w14:paraId="6B07CA8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监测</w:t>
                  </w:r>
                </w:p>
                <w:p w14:paraId="22EF5E7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项目</w:t>
                  </w:r>
                </w:p>
              </w:tc>
              <w:tc>
                <w:tcPr>
                  <w:tcW w:w="2733" w:type="pct"/>
                  <w:gridSpan w:val="4"/>
                  <w:vAlign w:val="center"/>
                </w:tcPr>
                <w:p w14:paraId="7D7413EB">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日平均值</w:t>
                  </w:r>
                </w:p>
              </w:tc>
              <w:tc>
                <w:tcPr>
                  <w:tcW w:w="737" w:type="pct"/>
                  <w:vMerge w:val="restart"/>
                  <w:vAlign w:val="center"/>
                </w:tcPr>
                <w:p w14:paraId="03B81AFA">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标准限值（mg/m</w:t>
                  </w:r>
                  <w:r>
                    <w:rPr>
                      <w:rFonts w:hint="default" w:ascii="Times New Roman" w:hAnsi="Times New Roman" w:cs="Times New Roman"/>
                      <w:b/>
                      <w:bCs/>
                      <w:color w:val="auto"/>
                      <w:kern w:val="0"/>
                      <w:szCs w:val="21"/>
                      <w:highlight w:val="none"/>
                      <w:vertAlign w:val="superscript"/>
                    </w:rPr>
                    <w:t>3</w:t>
                  </w:r>
                  <w:r>
                    <w:rPr>
                      <w:rFonts w:hint="default" w:ascii="Times New Roman" w:hAnsi="Times New Roman" w:cs="Times New Roman"/>
                      <w:b/>
                      <w:bCs/>
                      <w:color w:val="auto"/>
                      <w:kern w:val="0"/>
                      <w:szCs w:val="21"/>
                      <w:highlight w:val="none"/>
                    </w:rPr>
                    <w:t>）</w:t>
                  </w:r>
                </w:p>
              </w:tc>
              <w:tc>
                <w:tcPr>
                  <w:tcW w:w="374" w:type="pct"/>
                  <w:vMerge w:val="restart"/>
                  <w:vAlign w:val="center"/>
                </w:tcPr>
                <w:p w14:paraId="5F20B31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达标</w:t>
                  </w:r>
                </w:p>
                <w:p w14:paraId="22E39F0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情况</w:t>
                  </w:r>
                </w:p>
              </w:tc>
            </w:tr>
            <w:tr w14:paraId="58EE3E0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continue"/>
                  <w:vAlign w:val="center"/>
                </w:tcPr>
                <w:p w14:paraId="42B8AD3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425" w:type="pct"/>
                  <w:vMerge w:val="continue"/>
                  <w:vAlign w:val="center"/>
                </w:tcPr>
                <w:p w14:paraId="01497DD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917" w:type="pct"/>
                  <w:vAlign w:val="center"/>
                </w:tcPr>
                <w:p w14:paraId="521C44E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浓度范围（mg/m</w:t>
                  </w:r>
                  <w:r>
                    <w:rPr>
                      <w:rFonts w:hint="default" w:ascii="Times New Roman" w:hAnsi="Times New Roman" w:cs="Times New Roman"/>
                      <w:b/>
                      <w:bCs/>
                      <w:color w:val="auto"/>
                      <w:kern w:val="0"/>
                      <w:szCs w:val="21"/>
                      <w:highlight w:val="none"/>
                      <w:vertAlign w:val="superscript"/>
                    </w:rPr>
                    <w:t>3</w:t>
                  </w:r>
                  <w:r>
                    <w:rPr>
                      <w:rFonts w:hint="default" w:ascii="Times New Roman" w:hAnsi="Times New Roman" w:cs="Times New Roman"/>
                      <w:b/>
                      <w:bCs/>
                      <w:color w:val="auto"/>
                      <w:kern w:val="0"/>
                      <w:szCs w:val="21"/>
                      <w:highlight w:val="none"/>
                    </w:rPr>
                    <w:t>）</w:t>
                  </w:r>
                </w:p>
              </w:tc>
              <w:tc>
                <w:tcPr>
                  <w:tcW w:w="693" w:type="pct"/>
                  <w:vAlign w:val="center"/>
                </w:tcPr>
                <w:p w14:paraId="1076A04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占标率</w:t>
                  </w:r>
                </w:p>
                <w:p w14:paraId="13BCDDB8">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最大值</w:t>
                  </w:r>
                </w:p>
              </w:tc>
              <w:tc>
                <w:tcPr>
                  <w:tcW w:w="496" w:type="pct"/>
                  <w:vAlign w:val="center"/>
                </w:tcPr>
                <w:p w14:paraId="1DF8AC1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超标数</w:t>
                  </w:r>
                </w:p>
              </w:tc>
              <w:tc>
                <w:tcPr>
                  <w:tcW w:w="625" w:type="pct"/>
                  <w:vAlign w:val="center"/>
                </w:tcPr>
                <w:p w14:paraId="1E172137">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超标率</w:t>
                  </w:r>
                </w:p>
              </w:tc>
              <w:tc>
                <w:tcPr>
                  <w:tcW w:w="737" w:type="pct"/>
                  <w:vMerge w:val="continue"/>
                  <w:vAlign w:val="center"/>
                </w:tcPr>
                <w:p w14:paraId="0A4B582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p>
              </w:tc>
              <w:tc>
                <w:tcPr>
                  <w:tcW w:w="374" w:type="pct"/>
                  <w:vMerge w:val="continue"/>
                  <w:vAlign w:val="center"/>
                </w:tcPr>
                <w:p w14:paraId="1B06474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Cs w:val="21"/>
                      <w:highlight w:val="none"/>
                    </w:rPr>
                  </w:pPr>
                </w:p>
              </w:tc>
            </w:tr>
            <w:tr w14:paraId="5A1DF1E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340" w:hRule="atLeast"/>
                <w:jc w:val="center"/>
              </w:trPr>
              <w:tc>
                <w:tcPr>
                  <w:tcW w:w="728" w:type="pct"/>
                  <w:vAlign w:val="center"/>
                </w:tcPr>
                <w:p w14:paraId="39EDCD3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肯昌机电G6</w:t>
                  </w:r>
                </w:p>
              </w:tc>
              <w:tc>
                <w:tcPr>
                  <w:tcW w:w="425" w:type="pct"/>
                  <w:vAlign w:val="center"/>
                </w:tcPr>
                <w:p w14:paraId="3174CD9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TSP</w:t>
                  </w:r>
                </w:p>
              </w:tc>
              <w:tc>
                <w:tcPr>
                  <w:tcW w:w="917" w:type="pct"/>
                  <w:vAlign w:val="center"/>
                </w:tcPr>
                <w:p w14:paraId="388D23A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0.125-0.156</w:t>
                  </w:r>
                </w:p>
              </w:tc>
              <w:tc>
                <w:tcPr>
                  <w:tcW w:w="693" w:type="pct"/>
                  <w:vAlign w:val="center"/>
                </w:tcPr>
                <w:p w14:paraId="3B066FB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0.52</w:t>
                  </w:r>
                </w:p>
              </w:tc>
              <w:tc>
                <w:tcPr>
                  <w:tcW w:w="496" w:type="pct"/>
                  <w:vAlign w:val="center"/>
                </w:tcPr>
                <w:p w14:paraId="415F736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625" w:type="pct"/>
                  <w:vAlign w:val="center"/>
                </w:tcPr>
                <w:p w14:paraId="2ED2110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737" w:type="pct"/>
                  <w:vAlign w:val="center"/>
                </w:tcPr>
                <w:p w14:paraId="7D6111B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0.3</w:t>
                  </w:r>
                </w:p>
              </w:tc>
              <w:tc>
                <w:tcPr>
                  <w:tcW w:w="374" w:type="pct"/>
                  <w:vAlign w:val="center"/>
                </w:tcPr>
                <w:p w14:paraId="7005FEC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达标</w:t>
                  </w:r>
                </w:p>
              </w:tc>
            </w:tr>
          </w:tbl>
          <w:p w14:paraId="3253BE5F">
            <w:pPr>
              <w:pStyle w:val="1103"/>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bCs/>
                <w:color w:val="auto"/>
                <w:highlight w:val="none"/>
              </w:rPr>
              <w:t>由上表可知，</w:t>
            </w:r>
            <w:r>
              <w:rPr>
                <w:rFonts w:hint="default" w:ascii="Times New Roman" w:hAnsi="Times New Roman" w:cs="Times New Roman"/>
                <w:color w:val="auto"/>
                <w:kern w:val="2"/>
                <w:highlight w:val="none"/>
              </w:rPr>
              <w:t>评价范围内TSP的浓度值</w:t>
            </w:r>
            <w:r>
              <w:rPr>
                <w:rFonts w:hint="default" w:ascii="Times New Roman" w:hAnsi="Times New Roman" w:cs="Times New Roman"/>
                <w:bCs/>
                <w:color w:val="auto"/>
                <w:highlight w:val="none"/>
              </w:rPr>
              <w:t>满足</w:t>
            </w:r>
            <w:r>
              <w:rPr>
                <w:rFonts w:hint="default" w:ascii="Times New Roman" w:hAnsi="Times New Roman" w:cs="Times New Roman"/>
                <w:color w:val="auto"/>
                <w:kern w:val="2"/>
                <w:highlight w:val="none"/>
              </w:rPr>
              <w:t>《环境空气质量标准》（GB3095-2012）及2018年修改单中二级标准要求，区域环境质量较好。</w:t>
            </w:r>
          </w:p>
          <w:p w14:paraId="259395EE">
            <w:pPr>
              <w:pStyle w:val="1103"/>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auto"/>
                <w:kern w:val="2"/>
                <w:highlight w:val="none"/>
              </w:rPr>
            </w:pPr>
            <w:r>
              <w:rPr>
                <w:rFonts w:hint="default"/>
              </w:rPr>
              <w:drawing>
                <wp:inline distT="0" distB="0" distL="114300" distR="114300">
                  <wp:extent cx="5376545" cy="3512185"/>
                  <wp:effectExtent l="9525" t="9525" r="24130" b="2159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pic:cNvPicPr>
                        </pic:nvPicPr>
                        <pic:blipFill>
                          <a:blip r:embed="rId23"/>
                          <a:stretch>
                            <a:fillRect/>
                          </a:stretch>
                        </pic:blipFill>
                        <pic:spPr>
                          <a:xfrm>
                            <a:off x="0" y="0"/>
                            <a:ext cx="5376545" cy="3512185"/>
                          </a:xfrm>
                          <a:prstGeom prst="rect">
                            <a:avLst/>
                          </a:prstGeom>
                          <a:noFill/>
                          <a:ln>
                            <a:solidFill>
                              <a:schemeClr val="tx1"/>
                            </a:solidFill>
                          </a:ln>
                        </pic:spPr>
                      </pic:pic>
                    </a:graphicData>
                  </a:graphic>
                </wp:inline>
              </w:drawing>
            </w:r>
            <w:r>
              <w:rPr>
                <w:rFonts w:hint="default" w:ascii="Times New Roman" w:hAnsi="Times New Roman" w:cs="Times New Roman"/>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1636395</wp:posOffset>
                      </wp:positionH>
                      <wp:positionV relativeFrom="paragraph">
                        <wp:posOffset>1304925</wp:posOffset>
                      </wp:positionV>
                      <wp:extent cx="2623820" cy="1567180"/>
                      <wp:effectExtent l="3175" t="5715" r="1905" b="8255"/>
                      <wp:wrapNone/>
                      <wp:docPr id="13" name="直接箭头连接符 13"/>
                      <wp:cNvGraphicFramePr/>
                      <a:graphic xmlns:a="http://schemas.openxmlformats.org/drawingml/2006/main">
                        <a:graphicData uri="http://schemas.microsoft.com/office/word/2010/wordprocessingShape">
                          <wps:wsp>
                            <wps:cNvCnPr/>
                            <wps:spPr>
                              <a:xfrm>
                                <a:off x="2989580" y="4057015"/>
                                <a:ext cx="2623820" cy="1567180"/>
                              </a:xfrm>
                              <a:prstGeom prst="straightConnector1">
                                <a:avLst/>
                              </a:prstGeom>
                              <a:ln w="12700">
                                <a:solidFill>
                                  <a:srgbClr val="FFFF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28.85pt;margin-top:102.75pt;height:123.4pt;width:206.6pt;z-index:251660288;mso-width-relative:page;mso-height-relative:page;" filled="f" stroked="t" coordsize="21600,21600" o:gfxdata="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kZ5PZAAAACwEAAA8AAAAAAAAAAQAg&#10;AAAAIgAAAGRycy9kb3ducmV2LnhtbFBLAQIUABQAAAAIAIdO4kDK4/udDQIAANwDAAAOAAAAAAAA&#10;AAEAIAAAACgBAABkcnMvZTJvRG9jLnhtbFBLBQYAAAAABgAGAFkBAACnBQAAAAA=&#10;">
                      <v:fill on="f" focussize="0,0"/>
                      <v:stroke weight="1pt" color="#FFFF00 [3204]" joinstyle="round" endarrow="open"/>
                      <v:imagedata o:title=""/>
                      <o:lock v:ext="edit" aspectratio="f"/>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2416175</wp:posOffset>
                      </wp:positionH>
                      <wp:positionV relativeFrom="paragraph">
                        <wp:posOffset>1657350</wp:posOffset>
                      </wp:positionV>
                      <wp:extent cx="842645" cy="387985"/>
                      <wp:effectExtent l="0" t="0" r="0" b="0"/>
                      <wp:wrapNone/>
                      <wp:docPr id="24" name="矩形 24"/>
                      <wp:cNvGraphicFramePr/>
                      <a:graphic xmlns:a="http://schemas.openxmlformats.org/drawingml/2006/main">
                        <a:graphicData uri="http://schemas.microsoft.com/office/word/2010/wordprocessingShape">
                          <wps:wsp>
                            <wps:cNvSpPr/>
                            <wps:spPr>
                              <a:xfrm>
                                <a:off x="0" y="0"/>
                                <a:ext cx="842645" cy="38798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60E2B21">
                                  <w:pPr>
                                    <w:jc w:val="center"/>
                                    <w:rPr>
                                      <w:b/>
                                      <w:bCs/>
                                      <w:color w:val="FFFF00"/>
                                      <w:sz w:val="18"/>
                                      <w:szCs w:val="18"/>
                                    </w:rPr>
                                  </w:pPr>
                                  <w:r>
                                    <w:rPr>
                                      <w:rFonts w:hint="eastAsia"/>
                                      <w:b/>
                                      <w:bCs/>
                                      <w:color w:val="FFFF00"/>
                                      <w:sz w:val="18"/>
                                      <w:szCs w:val="18"/>
                                    </w:rPr>
                                    <w:t>460m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0.25pt;margin-top:130.5pt;height:30.55pt;width:66.35pt;z-index:251661312;v-text-anchor:middle;mso-width-relative:page;mso-height-relative:page;" filled="f" stroked="f" coordsize="21600,21600" o:gfxdata="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FTEIX2QAAAAsB&#10;AAAPAAAAAAAAAAEAIAAAACIAAABkcnMvZG93bnJldi54bWxQSwECFAAUAAAACACHTuJAKZ1oWlMC&#10;AACXBAAADgAAAAAAAAABACAAAAAoAQAAZHJzL2Uyb0RvYy54bWxQSwUGAAAAAAYABgBZAQAA7QUA&#10;AAAA&#10;">
                      <v:fill on="f" focussize="0,0"/>
                      <v:stroke on="f" weight="2pt"/>
                      <v:imagedata o:title=""/>
                      <o:lock v:ext="edit" aspectratio="f"/>
                      <v:textbox>
                        <w:txbxContent>
                          <w:p w14:paraId="660E2B21">
                            <w:pPr>
                              <w:jc w:val="center"/>
                              <w:rPr>
                                <w:b/>
                                <w:bCs/>
                                <w:color w:val="FFFF00"/>
                                <w:sz w:val="18"/>
                                <w:szCs w:val="18"/>
                              </w:rPr>
                            </w:pPr>
                            <w:r>
                              <w:rPr>
                                <w:rFonts w:hint="eastAsia"/>
                                <w:b/>
                                <w:bCs/>
                                <w:color w:val="FFFF00"/>
                                <w:sz w:val="18"/>
                                <w:szCs w:val="18"/>
                              </w:rPr>
                              <w:t>460m</w:t>
                            </w:r>
                          </w:p>
                        </w:txbxContent>
                      </v:textbox>
                    </v:rect>
                  </w:pict>
                </mc:Fallback>
              </mc:AlternateContent>
            </w:r>
          </w:p>
          <w:p w14:paraId="6D01143C">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图3-1  引用监测点位图</w:t>
            </w:r>
          </w:p>
          <w:p w14:paraId="3C946E81">
            <w:pPr>
              <w:keepNext w:val="0"/>
              <w:keepLines w:val="0"/>
              <w:widowControl/>
              <w:suppressLineNumbers w:val="0"/>
              <w:spacing w:before="0" w:beforeAutospacing="0" w:after="0" w:afterAutospacing="0" w:line="360" w:lineRule="auto"/>
              <w:ind w:left="0" w:right="0" w:firstLine="458" w:firstLineChars="190"/>
              <w:jc w:val="lef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2、地表水环境质量</w:t>
            </w:r>
          </w:p>
          <w:p w14:paraId="3FEE87C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建设项目环境影响报告表编制技术指南（污染影响类）（试行）》要求，引用与建设项目距离近的有效数据，包括近3年的规划环境影响评价的监测数据，所在流域控制单元内国家、地方控制断面监测数据，生态环境主管部门发布的水环境质量数据或地表水达标情况的结论。</w:t>
            </w:r>
          </w:p>
          <w:p w14:paraId="52FBADE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本项目污水纳管后经芜湖县新芜开发区城东污水处理厂处理后排放，纳污水体为裘公河，属于“间接排放”。</w:t>
            </w:r>
          </w:p>
          <w:p w14:paraId="2C39AF04">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根据《安徽省水环境功能区划分方案》，裘公河水体环境质量执行《地表水环境质量标准》（GB3838-2002）中Ⅲ类水质标准。</w:t>
            </w:r>
            <w:r>
              <w:rPr>
                <w:rFonts w:hint="eastAsia"/>
                <w:color w:val="auto"/>
                <w:sz w:val="24"/>
                <w:lang w:val="en-US" w:eastAsia="zh-CN"/>
              </w:rPr>
              <w:t>本环评引用《安徽新芜经济开发区扩区总体发展规划（</w:t>
            </w:r>
            <w:r>
              <w:rPr>
                <w:rFonts w:hint="default"/>
                <w:color w:val="auto"/>
                <w:sz w:val="24"/>
                <w:lang w:val="en-US" w:eastAsia="zh-CN"/>
              </w:rPr>
              <w:t xml:space="preserve">2023-2035 </w:t>
            </w:r>
            <w:r>
              <w:rPr>
                <w:rFonts w:hint="eastAsia"/>
                <w:color w:val="auto"/>
                <w:sz w:val="24"/>
                <w:lang w:val="en-US" w:eastAsia="zh-CN"/>
              </w:rPr>
              <w:t>年）环境影响报告书》中对汪溪坝撇洪沟、裘公河地表水环境质量现状监测数据，采样时间为</w:t>
            </w:r>
            <w:r>
              <w:rPr>
                <w:rFonts w:hint="default"/>
                <w:color w:val="auto"/>
                <w:sz w:val="24"/>
                <w:lang w:val="en-US" w:eastAsia="zh-CN"/>
              </w:rPr>
              <w:t xml:space="preserve">2023 </w:t>
            </w:r>
            <w:r>
              <w:rPr>
                <w:rFonts w:hint="eastAsia"/>
                <w:color w:val="auto"/>
                <w:sz w:val="24"/>
                <w:lang w:val="en-US" w:eastAsia="zh-CN"/>
              </w:rPr>
              <w:t xml:space="preserve">年 </w:t>
            </w:r>
            <w:r>
              <w:rPr>
                <w:rFonts w:hint="default"/>
                <w:color w:val="auto"/>
                <w:sz w:val="24"/>
                <w:lang w:val="en-US" w:eastAsia="zh-CN"/>
              </w:rPr>
              <w:t xml:space="preserve">8 </w:t>
            </w:r>
            <w:r>
              <w:rPr>
                <w:rFonts w:hint="eastAsia"/>
                <w:color w:val="auto"/>
                <w:sz w:val="24"/>
                <w:lang w:val="en-US" w:eastAsia="zh-CN"/>
              </w:rPr>
              <w:t xml:space="preserve">月 </w:t>
            </w:r>
            <w:r>
              <w:rPr>
                <w:rFonts w:hint="default"/>
                <w:color w:val="auto"/>
                <w:sz w:val="24"/>
                <w:lang w:val="en-US" w:eastAsia="zh-CN"/>
              </w:rPr>
              <w:t xml:space="preserve">30 </w:t>
            </w:r>
            <w:r>
              <w:rPr>
                <w:rFonts w:hint="eastAsia"/>
                <w:color w:val="auto"/>
                <w:sz w:val="24"/>
                <w:lang w:val="en-US" w:eastAsia="zh-CN"/>
              </w:rPr>
              <w:t>日</w:t>
            </w:r>
            <w:r>
              <w:rPr>
                <w:rFonts w:hint="default"/>
                <w:color w:val="auto"/>
                <w:sz w:val="24"/>
                <w:lang w:val="en-US" w:eastAsia="zh-CN"/>
              </w:rPr>
              <w:t xml:space="preserve">~2023 </w:t>
            </w:r>
            <w:r>
              <w:rPr>
                <w:rFonts w:hint="eastAsia"/>
                <w:color w:val="auto"/>
                <w:sz w:val="24"/>
                <w:lang w:val="en-US" w:eastAsia="zh-CN"/>
              </w:rPr>
              <w:t xml:space="preserve">年 </w:t>
            </w:r>
            <w:r>
              <w:rPr>
                <w:rFonts w:hint="default"/>
                <w:color w:val="auto"/>
                <w:sz w:val="24"/>
                <w:lang w:val="en-US" w:eastAsia="zh-CN"/>
              </w:rPr>
              <w:t xml:space="preserve">9 </w:t>
            </w:r>
            <w:r>
              <w:rPr>
                <w:rFonts w:hint="eastAsia"/>
                <w:color w:val="auto"/>
                <w:sz w:val="24"/>
                <w:lang w:val="en-US" w:eastAsia="zh-CN"/>
              </w:rPr>
              <w:t xml:space="preserve">月 </w:t>
            </w:r>
            <w:r>
              <w:rPr>
                <w:rFonts w:hint="default"/>
                <w:color w:val="auto"/>
                <w:sz w:val="24"/>
                <w:lang w:val="en-US" w:eastAsia="zh-CN"/>
              </w:rPr>
              <w:t xml:space="preserve">1 </w:t>
            </w:r>
            <w:r>
              <w:rPr>
                <w:rFonts w:hint="eastAsia"/>
                <w:color w:val="auto"/>
                <w:sz w:val="24"/>
                <w:lang w:val="en-US" w:eastAsia="zh-CN"/>
              </w:rPr>
              <w:t>日。引用监测因子：</w:t>
            </w:r>
            <w:r>
              <w:rPr>
                <w:rFonts w:hint="default"/>
                <w:color w:val="auto"/>
                <w:sz w:val="24"/>
                <w:lang w:val="en-US" w:eastAsia="zh-CN"/>
              </w:rPr>
              <w:t>pH</w:t>
            </w:r>
            <w:r>
              <w:rPr>
                <w:rFonts w:hint="eastAsia"/>
                <w:color w:val="auto"/>
                <w:sz w:val="24"/>
                <w:lang w:val="en-US" w:eastAsia="zh-CN"/>
              </w:rPr>
              <w:t>、</w:t>
            </w:r>
            <w:r>
              <w:rPr>
                <w:rFonts w:hint="default"/>
                <w:color w:val="auto"/>
                <w:sz w:val="24"/>
                <w:lang w:val="en-US" w:eastAsia="zh-CN"/>
              </w:rPr>
              <w:t>DO</w:t>
            </w:r>
            <w:r>
              <w:rPr>
                <w:rFonts w:hint="eastAsia"/>
                <w:color w:val="auto"/>
                <w:sz w:val="24"/>
                <w:lang w:val="en-US" w:eastAsia="zh-CN"/>
              </w:rPr>
              <w:t>、</w:t>
            </w:r>
            <w:r>
              <w:rPr>
                <w:rFonts w:hint="default"/>
                <w:color w:val="auto"/>
                <w:sz w:val="24"/>
                <w:lang w:val="en-US" w:eastAsia="zh-CN"/>
              </w:rPr>
              <w:t>COD</w:t>
            </w:r>
            <w:r>
              <w:rPr>
                <w:rFonts w:hint="eastAsia"/>
                <w:color w:val="auto"/>
                <w:sz w:val="24"/>
                <w:lang w:val="en-US" w:eastAsia="zh-CN"/>
              </w:rPr>
              <w:t>、</w:t>
            </w:r>
            <w:r>
              <w:rPr>
                <w:rFonts w:hint="default"/>
                <w:color w:val="auto"/>
                <w:sz w:val="24"/>
                <w:lang w:val="en-US" w:eastAsia="zh-CN"/>
              </w:rPr>
              <w:t>BOD</w:t>
            </w:r>
            <w:r>
              <w:rPr>
                <w:rFonts w:hint="default"/>
                <w:color w:val="auto"/>
                <w:sz w:val="24"/>
                <w:vertAlign w:val="subscript"/>
                <w:lang w:val="en-US" w:eastAsia="zh-CN"/>
              </w:rPr>
              <w:t>5</w:t>
            </w:r>
            <w:r>
              <w:rPr>
                <w:rFonts w:hint="eastAsia"/>
                <w:color w:val="auto"/>
                <w:sz w:val="24"/>
                <w:lang w:val="en-US" w:eastAsia="zh-CN"/>
              </w:rPr>
              <w:t>、氨氮、</w:t>
            </w:r>
            <w:r>
              <w:rPr>
                <w:rFonts w:hint="default"/>
                <w:color w:val="auto"/>
                <w:sz w:val="24"/>
                <w:lang w:val="en-US" w:eastAsia="zh-CN"/>
              </w:rPr>
              <w:t>TP</w:t>
            </w:r>
            <w:r>
              <w:rPr>
                <w:rFonts w:hint="eastAsia"/>
                <w:color w:val="auto"/>
                <w:sz w:val="24"/>
                <w:lang w:val="en-US" w:eastAsia="zh-CN"/>
              </w:rPr>
              <w:t>。具体检测布点如下：</w:t>
            </w:r>
          </w:p>
          <w:p w14:paraId="1FB2A9E3">
            <w:pPr>
              <w:keepNext w:val="0"/>
              <w:keepLines w:val="0"/>
              <w:widowControl/>
              <w:suppressLineNumbers w:val="0"/>
              <w:adjustRightInd w:val="0"/>
              <w:snapToGrid w:val="0"/>
              <w:spacing w:before="0" w:beforeAutospacing="0" w:after="0" w:afterAutospacing="0" w:line="440" w:lineRule="exact"/>
              <w:ind w:left="0" w:right="0"/>
              <w:jc w:val="center"/>
              <w:rPr>
                <w:rFonts w:hint="default"/>
                <w:b/>
                <w:color w:val="auto"/>
                <w:sz w:val="24"/>
              </w:rPr>
            </w:pPr>
            <w:r>
              <w:rPr>
                <w:rFonts w:hint="eastAsia"/>
                <w:b/>
                <w:bCs/>
                <w:color w:val="auto"/>
                <w:sz w:val="24"/>
              </w:rPr>
              <w:t>表3</w:t>
            </w:r>
            <w:r>
              <w:rPr>
                <w:rFonts w:hint="default"/>
                <w:b/>
                <w:bCs/>
                <w:color w:val="auto"/>
                <w:sz w:val="24"/>
              </w:rPr>
              <w:t>-</w:t>
            </w:r>
            <w:r>
              <w:rPr>
                <w:rFonts w:hint="eastAsia"/>
                <w:b/>
                <w:bCs/>
                <w:color w:val="auto"/>
                <w:sz w:val="24"/>
              </w:rPr>
              <w:t>3</w:t>
            </w:r>
            <w:r>
              <w:rPr>
                <w:rFonts w:hint="default"/>
                <w:b/>
                <w:bCs/>
                <w:color w:val="auto"/>
                <w:sz w:val="24"/>
              </w:rPr>
              <w:t xml:space="preserve"> </w:t>
            </w:r>
            <w:r>
              <w:rPr>
                <w:rFonts w:hint="default"/>
                <w:b/>
                <w:color w:val="auto"/>
                <w:sz w:val="24"/>
              </w:rPr>
              <w:t>地表水水质监测布点一览表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93"/>
              <w:gridCol w:w="1204"/>
              <w:gridCol w:w="1827"/>
              <w:gridCol w:w="1817"/>
              <w:gridCol w:w="2137"/>
            </w:tblGrid>
            <w:tr w14:paraId="263B0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3" w:hRule="atLeast"/>
                <w:jc w:val="center"/>
              </w:trPr>
              <w:tc>
                <w:tcPr>
                  <w:tcW w:w="831" w:type="pct"/>
                  <w:noWrap w:val="0"/>
                  <w:vAlign w:val="center"/>
                </w:tcPr>
                <w:p w14:paraId="11DCCF8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河流名称</w:t>
                  </w:r>
                </w:p>
              </w:tc>
              <w:tc>
                <w:tcPr>
                  <w:tcW w:w="718" w:type="pct"/>
                  <w:noWrap w:val="0"/>
                  <w:vAlign w:val="center"/>
                </w:tcPr>
                <w:p w14:paraId="5B141768">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断面编号</w:t>
                  </w:r>
                </w:p>
              </w:tc>
              <w:tc>
                <w:tcPr>
                  <w:tcW w:w="1090" w:type="pct"/>
                  <w:noWrap w:val="0"/>
                  <w:vAlign w:val="center"/>
                </w:tcPr>
                <w:p w14:paraId="639CAAFA">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位置名称</w:t>
                  </w:r>
                </w:p>
              </w:tc>
              <w:tc>
                <w:tcPr>
                  <w:tcW w:w="1084" w:type="pct"/>
                  <w:noWrap w:val="0"/>
                  <w:vAlign w:val="center"/>
                </w:tcPr>
                <w:p w14:paraId="5B1AB7AF">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监测项目</w:t>
                  </w:r>
                </w:p>
              </w:tc>
              <w:tc>
                <w:tcPr>
                  <w:tcW w:w="1275" w:type="pct"/>
                  <w:noWrap w:val="0"/>
                  <w:vAlign w:val="center"/>
                </w:tcPr>
                <w:p w14:paraId="1D0696CA">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监测时段、频率</w:t>
                  </w:r>
                </w:p>
              </w:tc>
            </w:tr>
            <w:tr w14:paraId="44733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 w:hRule="atLeast"/>
                <w:jc w:val="center"/>
              </w:trPr>
              <w:tc>
                <w:tcPr>
                  <w:tcW w:w="831" w:type="pct"/>
                  <w:vMerge w:val="restart"/>
                  <w:noWrap w:val="0"/>
                  <w:vAlign w:val="center"/>
                </w:tcPr>
                <w:p w14:paraId="516E082F">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汪溪坝撇洪 </w:t>
                  </w:r>
                </w:p>
                <w:p w14:paraId="3EA3038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沟</w:t>
                  </w:r>
                </w:p>
              </w:tc>
              <w:tc>
                <w:tcPr>
                  <w:tcW w:w="718" w:type="pct"/>
                  <w:noWrap w:val="0"/>
                  <w:vAlign w:val="center"/>
                </w:tcPr>
                <w:p w14:paraId="288C07A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SW9</w:t>
                  </w:r>
                </w:p>
              </w:tc>
              <w:tc>
                <w:tcPr>
                  <w:tcW w:w="1090" w:type="pct"/>
                  <w:noWrap w:val="0"/>
                  <w:vAlign w:val="center"/>
                </w:tcPr>
                <w:p w14:paraId="5813730F">
                  <w:pPr>
                    <w:keepNext w:val="0"/>
                    <w:keepLines w:val="0"/>
                    <w:widowControl/>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城东污水处理厂排污口上游</w:t>
                  </w:r>
                  <w:r>
                    <w:rPr>
                      <w:rFonts w:hint="default"/>
                      <w:color w:val="auto"/>
                      <w:szCs w:val="21"/>
                      <w:lang w:val="en-US" w:eastAsia="zh-CN"/>
                    </w:rPr>
                    <w:t>500m</w:t>
                  </w:r>
                </w:p>
              </w:tc>
              <w:tc>
                <w:tcPr>
                  <w:tcW w:w="1084" w:type="pct"/>
                  <w:vMerge w:val="restart"/>
                  <w:noWrap w:val="0"/>
                  <w:vAlign w:val="center"/>
                </w:tcPr>
                <w:p w14:paraId="3A7ECB4E">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default"/>
                      <w:color w:val="auto"/>
                      <w:szCs w:val="21"/>
                    </w:rPr>
                    <w:t>pH、COD、BOD</w:t>
                  </w:r>
                  <w:r>
                    <w:rPr>
                      <w:rFonts w:hint="default"/>
                      <w:color w:val="auto"/>
                      <w:szCs w:val="21"/>
                      <w:vertAlign w:val="subscript"/>
                    </w:rPr>
                    <w:t>5</w:t>
                  </w:r>
                  <w:r>
                    <w:rPr>
                      <w:rFonts w:hint="default"/>
                      <w:color w:val="auto"/>
                      <w:szCs w:val="21"/>
                    </w:rPr>
                    <w:t>、NH</w:t>
                  </w:r>
                  <w:r>
                    <w:rPr>
                      <w:rFonts w:hint="default"/>
                      <w:color w:val="auto"/>
                      <w:szCs w:val="21"/>
                      <w:vertAlign w:val="subscript"/>
                    </w:rPr>
                    <w:t>3</w:t>
                  </w:r>
                  <w:r>
                    <w:rPr>
                      <w:rFonts w:hint="default"/>
                      <w:color w:val="auto"/>
                      <w:szCs w:val="21"/>
                    </w:rPr>
                    <w:t>-N、</w:t>
                  </w:r>
                  <w:r>
                    <w:rPr>
                      <w:rFonts w:hint="eastAsia"/>
                      <w:color w:val="auto"/>
                      <w:szCs w:val="21"/>
                      <w:lang w:val="en-US" w:eastAsia="zh-CN"/>
                    </w:rPr>
                    <w:t>DO、总磷</w:t>
                  </w:r>
                </w:p>
              </w:tc>
              <w:tc>
                <w:tcPr>
                  <w:tcW w:w="1275" w:type="pct"/>
                  <w:vMerge w:val="restart"/>
                  <w:noWrap w:val="0"/>
                  <w:vAlign w:val="center"/>
                </w:tcPr>
                <w:p w14:paraId="011F5431">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连续监测3天，每天1次。</w:t>
                  </w:r>
                </w:p>
              </w:tc>
            </w:tr>
            <w:tr w14:paraId="20F3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 w:hRule="atLeast"/>
                <w:jc w:val="center"/>
              </w:trPr>
              <w:tc>
                <w:tcPr>
                  <w:tcW w:w="831" w:type="pct"/>
                  <w:vMerge w:val="continue"/>
                  <w:noWrap w:val="0"/>
                  <w:vAlign w:val="center"/>
                </w:tcPr>
                <w:p w14:paraId="2653075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718" w:type="pct"/>
                  <w:noWrap w:val="0"/>
                  <w:vAlign w:val="center"/>
                </w:tcPr>
                <w:p w14:paraId="07112B5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SW10</w:t>
                  </w:r>
                </w:p>
              </w:tc>
              <w:tc>
                <w:tcPr>
                  <w:tcW w:w="1090" w:type="pct"/>
                  <w:noWrap w:val="0"/>
                  <w:vAlign w:val="center"/>
                </w:tcPr>
                <w:p w14:paraId="300253F9">
                  <w:pPr>
                    <w:keepNext w:val="0"/>
                    <w:keepLines w:val="0"/>
                    <w:widowControl/>
                    <w:suppressLineNumbers w:val="0"/>
                    <w:spacing w:before="0" w:beforeAutospacing="0" w:after="0" w:afterAutospacing="0"/>
                    <w:ind w:left="0" w:right="0"/>
                    <w:jc w:val="center"/>
                    <w:rPr>
                      <w:rFonts w:hint="default"/>
                      <w:color w:val="auto"/>
                      <w:kern w:val="0"/>
                      <w:szCs w:val="21"/>
                      <w:lang w:bidi="ar"/>
                    </w:rPr>
                  </w:pPr>
                  <w:r>
                    <w:rPr>
                      <w:rFonts w:hint="eastAsia"/>
                      <w:color w:val="auto"/>
                      <w:szCs w:val="21"/>
                      <w:lang w:val="en-US" w:eastAsia="zh-CN"/>
                    </w:rPr>
                    <w:t>城东污水处理厂排污口下游</w:t>
                  </w:r>
                  <w:r>
                    <w:rPr>
                      <w:rFonts w:hint="default"/>
                      <w:color w:val="auto"/>
                      <w:szCs w:val="21"/>
                      <w:lang w:val="en-US" w:eastAsia="zh-CN"/>
                    </w:rPr>
                    <w:t>500m</w:t>
                  </w:r>
                </w:p>
              </w:tc>
              <w:tc>
                <w:tcPr>
                  <w:tcW w:w="1084" w:type="pct"/>
                  <w:vMerge w:val="continue"/>
                  <w:noWrap w:val="0"/>
                  <w:vAlign w:val="center"/>
                </w:tcPr>
                <w:p w14:paraId="254DE9E1">
                  <w:pPr>
                    <w:keepNext w:val="0"/>
                    <w:keepLines w:val="0"/>
                    <w:suppressLineNumbers w:val="0"/>
                    <w:spacing w:before="0" w:beforeAutospacing="0" w:after="0" w:afterAutospacing="0"/>
                    <w:ind w:left="0" w:right="0"/>
                    <w:jc w:val="center"/>
                    <w:rPr>
                      <w:rFonts w:hint="default"/>
                      <w:color w:val="auto"/>
                      <w:szCs w:val="21"/>
                    </w:rPr>
                  </w:pPr>
                </w:p>
              </w:tc>
              <w:tc>
                <w:tcPr>
                  <w:tcW w:w="1275" w:type="pct"/>
                  <w:vMerge w:val="continue"/>
                  <w:noWrap w:val="0"/>
                  <w:vAlign w:val="center"/>
                </w:tcPr>
                <w:p w14:paraId="12661090">
                  <w:pPr>
                    <w:keepNext w:val="0"/>
                    <w:keepLines w:val="0"/>
                    <w:suppressLineNumbers w:val="0"/>
                    <w:spacing w:before="0" w:beforeAutospacing="0" w:after="0" w:afterAutospacing="0"/>
                    <w:ind w:left="0" w:right="0"/>
                    <w:jc w:val="center"/>
                    <w:rPr>
                      <w:rFonts w:hint="default"/>
                      <w:color w:val="auto"/>
                      <w:szCs w:val="21"/>
                    </w:rPr>
                  </w:pPr>
                </w:p>
              </w:tc>
            </w:tr>
            <w:tr w14:paraId="24C6A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 w:hRule="atLeast"/>
                <w:jc w:val="center"/>
              </w:trPr>
              <w:tc>
                <w:tcPr>
                  <w:tcW w:w="831" w:type="pct"/>
                  <w:vMerge w:val="continue"/>
                  <w:noWrap w:val="0"/>
                  <w:vAlign w:val="center"/>
                </w:tcPr>
                <w:p w14:paraId="1BBF58A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718" w:type="pct"/>
                  <w:noWrap w:val="0"/>
                  <w:vAlign w:val="center"/>
                </w:tcPr>
                <w:p w14:paraId="2B550D0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SW11</w:t>
                  </w:r>
                </w:p>
              </w:tc>
              <w:tc>
                <w:tcPr>
                  <w:tcW w:w="1090" w:type="pct"/>
                  <w:noWrap w:val="0"/>
                  <w:vAlign w:val="center"/>
                </w:tcPr>
                <w:p w14:paraId="7B967E7B">
                  <w:pPr>
                    <w:keepNext w:val="0"/>
                    <w:keepLines w:val="0"/>
                    <w:widowControl/>
                    <w:suppressLineNumbers w:val="0"/>
                    <w:spacing w:before="0" w:beforeAutospacing="0" w:after="0" w:afterAutospacing="0"/>
                    <w:ind w:left="0" w:right="0"/>
                    <w:jc w:val="center"/>
                    <w:rPr>
                      <w:rFonts w:hint="default"/>
                      <w:color w:val="auto"/>
                      <w:kern w:val="0"/>
                      <w:szCs w:val="21"/>
                      <w:lang w:bidi="ar"/>
                    </w:rPr>
                  </w:pPr>
                  <w:r>
                    <w:rPr>
                      <w:rFonts w:hint="eastAsia"/>
                      <w:color w:val="auto"/>
                      <w:szCs w:val="21"/>
                      <w:lang w:val="en-US" w:eastAsia="zh-CN"/>
                    </w:rPr>
                    <w:t>汪溪坝撇洪沟汇入裘公河上游</w:t>
                  </w:r>
                  <w:r>
                    <w:rPr>
                      <w:rFonts w:hint="default"/>
                      <w:color w:val="auto"/>
                      <w:szCs w:val="21"/>
                      <w:lang w:val="en-US" w:eastAsia="zh-CN"/>
                    </w:rPr>
                    <w:t>500m</w:t>
                  </w:r>
                </w:p>
              </w:tc>
              <w:tc>
                <w:tcPr>
                  <w:tcW w:w="1084" w:type="pct"/>
                  <w:vMerge w:val="continue"/>
                  <w:noWrap w:val="0"/>
                  <w:vAlign w:val="center"/>
                </w:tcPr>
                <w:p w14:paraId="53076712">
                  <w:pPr>
                    <w:keepNext w:val="0"/>
                    <w:keepLines w:val="0"/>
                    <w:suppressLineNumbers w:val="0"/>
                    <w:spacing w:before="0" w:beforeAutospacing="0" w:after="0" w:afterAutospacing="0"/>
                    <w:ind w:left="0" w:right="0"/>
                    <w:jc w:val="center"/>
                    <w:rPr>
                      <w:rFonts w:hint="default"/>
                      <w:color w:val="auto"/>
                      <w:szCs w:val="21"/>
                    </w:rPr>
                  </w:pPr>
                </w:p>
              </w:tc>
              <w:tc>
                <w:tcPr>
                  <w:tcW w:w="1275" w:type="pct"/>
                  <w:vMerge w:val="continue"/>
                  <w:noWrap w:val="0"/>
                  <w:vAlign w:val="center"/>
                </w:tcPr>
                <w:p w14:paraId="7F11A2BA">
                  <w:pPr>
                    <w:keepNext w:val="0"/>
                    <w:keepLines w:val="0"/>
                    <w:suppressLineNumbers w:val="0"/>
                    <w:spacing w:before="0" w:beforeAutospacing="0" w:after="0" w:afterAutospacing="0"/>
                    <w:ind w:left="0" w:right="0"/>
                    <w:jc w:val="center"/>
                    <w:rPr>
                      <w:rFonts w:hint="default"/>
                      <w:color w:val="auto"/>
                      <w:szCs w:val="21"/>
                    </w:rPr>
                  </w:pPr>
                </w:p>
              </w:tc>
            </w:tr>
            <w:tr w14:paraId="2BFB6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 w:hRule="atLeast"/>
                <w:jc w:val="center"/>
              </w:trPr>
              <w:tc>
                <w:tcPr>
                  <w:tcW w:w="831" w:type="pct"/>
                  <w:vMerge w:val="restart"/>
                  <w:noWrap w:val="0"/>
                  <w:vAlign w:val="center"/>
                </w:tcPr>
                <w:p w14:paraId="6B488281">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裘公河</w:t>
                  </w:r>
                </w:p>
              </w:tc>
              <w:tc>
                <w:tcPr>
                  <w:tcW w:w="718" w:type="pct"/>
                  <w:noWrap w:val="0"/>
                  <w:vAlign w:val="center"/>
                </w:tcPr>
                <w:p w14:paraId="1F9CFD9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SW12</w:t>
                  </w:r>
                </w:p>
              </w:tc>
              <w:tc>
                <w:tcPr>
                  <w:tcW w:w="1090" w:type="pct"/>
                  <w:noWrap w:val="0"/>
                  <w:vAlign w:val="center"/>
                </w:tcPr>
                <w:p w14:paraId="06245EE4">
                  <w:pPr>
                    <w:keepNext w:val="0"/>
                    <w:keepLines w:val="0"/>
                    <w:widowControl/>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汪溪坝撇洪沟汇入口上游</w:t>
                  </w:r>
                  <w:r>
                    <w:rPr>
                      <w:rFonts w:hint="default"/>
                      <w:color w:val="auto"/>
                      <w:szCs w:val="21"/>
                      <w:lang w:val="en-US" w:eastAsia="zh-CN"/>
                    </w:rPr>
                    <w:t>500m</w:t>
                  </w:r>
                </w:p>
              </w:tc>
              <w:tc>
                <w:tcPr>
                  <w:tcW w:w="1084" w:type="pct"/>
                  <w:vMerge w:val="continue"/>
                  <w:noWrap w:val="0"/>
                  <w:vAlign w:val="center"/>
                </w:tcPr>
                <w:p w14:paraId="594BFDA0">
                  <w:pPr>
                    <w:keepNext w:val="0"/>
                    <w:keepLines w:val="0"/>
                    <w:suppressLineNumbers w:val="0"/>
                    <w:spacing w:before="0" w:beforeAutospacing="0" w:after="0" w:afterAutospacing="0"/>
                    <w:ind w:left="0" w:right="0"/>
                    <w:jc w:val="center"/>
                    <w:rPr>
                      <w:rFonts w:hint="default"/>
                      <w:color w:val="auto"/>
                      <w:szCs w:val="21"/>
                    </w:rPr>
                  </w:pPr>
                </w:p>
              </w:tc>
              <w:tc>
                <w:tcPr>
                  <w:tcW w:w="1275" w:type="pct"/>
                  <w:vMerge w:val="continue"/>
                  <w:noWrap w:val="0"/>
                  <w:vAlign w:val="center"/>
                </w:tcPr>
                <w:p w14:paraId="313AA2B0">
                  <w:pPr>
                    <w:keepNext w:val="0"/>
                    <w:keepLines w:val="0"/>
                    <w:suppressLineNumbers w:val="0"/>
                    <w:spacing w:before="0" w:beforeAutospacing="0" w:after="0" w:afterAutospacing="0"/>
                    <w:ind w:left="0" w:right="0"/>
                    <w:jc w:val="center"/>
                    <w:rPr>
                      <w:rFonts w:hint="default"/>
                      <w:color w:val="auto"/>
                      <w:szCs w:val="21"/>
                    </w:rPr>
                  </w:pPr>
                </w:p>
              </w:tc>
            </w:tr>
            <w:tr w14:paraId="7A983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 w:hRule="atLeast"/>
                <w:jc w:val="center"/>
              </w:trPr>
              <w:tc>
                <w:tcPr>
                  <w:tcW w:w="831" w:type="pct"/>
                  <w:vMerge w:val="continue"/>
                  <w:noWrap w:val="0"/>
                  <w:vAlign w:val="center"/>
                </w:tcPr>
                <w:p w14:paraId="130D71B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718" w:type="pct"/>
                  <w:noWrap w:val="0"/>
                  <w:vAlign w:val="center"/>
                </w:tcPr>
                <w:p w14:paraId="3585FBA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SW13</w:t>
                  </w:r>
                </w:p>
              </w:tc>
              <w:tc>
                <w:tcPr>
                  <w:tcW w:w="1090" w:type="pct"/>
                  <w:noWrap w:val="0"/>
                  <w:vAlign w:val="center"/>
                </w:tcPr>
                <w:p w14:paraId="37A32092">
                  <w:pPr>
                    <w:keepNext w:val="0"/>
                    <w:keepLines w:val="0"/>
                    <w:widowControl/>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汪溪坝撇洪沟汇入口下游</w:t>
                  </w:r>
                  <w:r>
                    <w:rPr>
                      <w:rFonts w:hint="default"/>
                      <w:color w:val="auto"/>
                      <w:szCs w:val="21"/>
                      <w:lang w:val="en-US" w:eastAsia="zh-CN"/>
                    </w:rPr>
                    <w:t>500m</w:t>
                  </w:r>
                </w:p>
              </w:tc>
              <w:tc>
                <w:tcPr>
                  <w:tcW w:w="1084" w:type="pct"/>
                  <w:vMerge w:val="continue"/>
                  <w:noWrap w:val="0"/>
                  <w:vAlign w:val="center"/>
                </w:tcPr>
                <w:p w14:paraId="54623FF1">
                  <w:pPr>
                    <w:keepNext w:val="0"/>
                    <w:keepLines w:val="0"/>
                    <w:suppressLineNumbers w:val="0"/>
                    <w:spacing w:before="0" w:beforeAutospacing="0" w:after="0" w:afterAutospacing="0"/>
                    <w:ind w:left="0" w:right="0"/>
                    <w:jc w:val="center"/>
                    <w:rPr>
                      <w:rFonts w:hint="default"/>
                      <w:color w:val="auto"/>
                      <w:szCs w:val="21"/>
                    </w:rPr>
                  </w:pPr>
                </w:p>
              </w:tc>
              <w:tc>
                <w:tcPr>
                  <w:tcW w:w="1275" w:type="pct"/>
                  <w:vMerge w:val="continue"/>
                  <w:noWrap w:val="0"/>
                  <w:vAlign w:val="center"/>
                </w:tcPr>
                <w:p w14:paraId="67AEED7B">
                  <w:pPr>
                    <w:keepNext w:val="0"/>
                    <w:keepLines w:val="0"/>
                    <w:suppressLineNumbers w:val="0"/>
                    <w:spacing w:before="0" w:beforeAutospacing="0" w:after="0" w:afterAutospacing="0"/>
                    <w:ind w:left="0" w:right="0"/>
                    <w:jc w:val="center"/>
                    <w:rPr>
                      <w:rFonts w:hint="default"/>
                      <w:color w:val="auto"/>
                      <w:szCs w:val="21"/>
                    </w:rPr>
                  </w:pPr>
                </w:p>
              </w:tc>
            </w:tr>
            <w:tr w14:paraId="2141B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 w:hRule="atLeast"/>
                <w:jc w:val="center"/>
              </w:trPr>
              <w:tc>
                <w:tcPr>
                  <w:tcW w:w="831" w:type="pct"/>
                  <w:vMerge w:val="continue"/>
                  <w:noWrap w:val="0"/>
                  <w:vAlign w:val="center"/>
                </w:tcPr>
                <w:p w14:paraId="47B0AB99">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718" w:type="pct"/>
                  <w:noWrap w:val="0"/>
                  <w:vAlign w:val="center"/>
                </w:tcPr>
                <w:p w14:paraId="4A71B3F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SW14</w:t>
                  </w:r>
                </w:p>
              </w:tc>
              <w:tc>
                <w:tcPr>
                  <w:tcW w:w="1090" w:type="pct"/>
                  <w:noWrap w:val="0"/>
                  <w:vAlign w:val="center"/>
                </w:tcPr>
                <w:p w14:paraId="1C268777">
                  <w:pPr>
                    <w:keepNext w:val="0"/>
                    <w:keepLines w:val="0"/>
                    <w:widowControl/>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汪溪坝撇洪沟汇入口下游10</w:t>
                  </w:r>
                  <w:r>
                    <w:rPr>
                      <w:rFonts w:hint="default"/>
                      <w:color w:val="auto"/>
                      <w:szCs w:val="21"/>
                      <w:lang w:val="en-US" w:eastAsia="zh-CN"/>
                    </w:rPr>
                    <w:t>00m</w:t>
                  </w:r>
                </w:p>
              </w:tc>
              <w:tc>
                <w:tcPr>
                  <w:tcW w:w="1084" w:type="pct"/>
                  <w:vMerge w:val="continue"/>
                  <w:noWrap w:val="0"/>
                  <w:vAlign w:val="center"/>
                </w:tcPr>
                <w:p w14:paraId="24BD3D84">
                  <w:pPr>
                    <w:keepNext w:val="0"/>
                    <w:keepLines w:val="0"/>
                    <w:suppressLineNumbers w:val="0"/>
                    <w:spacing w:before="0" w:beforeAutospacing="0" w:after="0" w:afterAutospacing="0"/>
                    <w:ind w:left="0" w:right="0"/>
                    <w:jc w:val="center"/>
                    <w:rPr>
                      <w:rFonts w:hint="default"/>
                      <w:color w:val="auto"/>
                      <w:szCs w:val="21"/>
                    </w:rPr>
                  </w:pPr>
                </w:p>
              </w:tc>
              <w:tc>
                <w:tcPr>
                  <w:tcW w:w="1275" w:type="pct"/>
                  <w:vMerge w:val="continue"/>
                  <w:noWrap w:val="0"/>
                  <w:vAlign w:val="center"/>
                </w:tcPr>
                <w:p w14:paraId="27D400FC">
                  <w:pPr>
                    <w:keepNext w:val="0"/>
                    <w:keepLines w:val="0"/>
                    <w:suppressLineNumbers w:val="0"/>
                    <w:spacing w:before="0" w:beforeAutospacing="0" w:after="0" w:afterAutospacing="0"/>
                    <w:ind w:left="0" w:right="0"/>
                    <w:jc w:val="center"/>
                    <w:rPr>
                      <w:rFonts w:hint="default"/>
                      <w:color w:val="auto"/>
                      <w:szCs w:val="21"/>
                    </w:rPr>
                  </w:pPr>
                </w:p>
              </w:tc>
            </w:tr>
            <w:tr w14:paraId="7E837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 w:hRule="atLeast"/>
                <w:jc w:val="center"/>
              </w:trPr>
              <w:tc>
                <w:tcPr>
                  <w:tcW w:w="831" w:type="pct"/>
                  <w:vMerge w:val="continue"/>
                  <w:noWrap w:val="0"/>
                  <w:vAlign w:val="center"/>
                </w:tcPr>
                <w:p w14:paraId="3AFE0F8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718" w:type="pct"/>
                  <w:noWrap w:val="0"/>
                  <w:vAlign w:val="center"/>
                </w:tcPr>
                <w:p w14:paraId="2F120E4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SW15</w:t>
                  </w:r>
                </w:p>
              </w:tc>
              <w:tc>
                <w:tcPr>
                  <w:tcW w:w="1090" w:type="pct"/>
                  <w:noWrap w:val="0"/>
                  <w:vAlign w:val="center"/>
                </w:tcPr>
                <w:p w14:paraId="72DA406D">
                  <w:pPr>
                    <w:keepNext w:val="0"/>
                    <w:keepLines w:val="0"/>
                    <w:widowControl/>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汪溪坝撇洪沟汇入口下游3320</w:t>
                  </w:r>
                  <w:r>
                    <w:rPr>
                      <w:rFonts w:hint="default"/>
                      <w:color w:val="auto"/>
                      <w:szCs w:val="21"/>
                      <w:lang w:val="en-US" w:eastAsia="zh-CN"/>
                    </w:rPr>
                    <w:t>m</w:t>
                  </w:r>
                </w:p>
              </w:tc>
              <w:tc>
                <w:tcPr>
                  <w:tcW w:w="1084" w:type="pct"/>
                  <w:vMerge w:val="continue"/>
                  <w:noWrap w:val="0"/>
                  <w:vAlign w:val="center"/>
                </w:tcPr>
                <w:p w14:paraId="75CAD90C">
                  <w:pPr>
                    <w:keepNext w:val="0"/>
                    <w:keepLines w:val="0"/>
                    <w:suppressLineNumbers w:val="0"/>
                    <w:spacing w:before="0" w:beforeAutospacing="0" w:after="0" w:afterAutospacing="0"/>
                    <w:ind w:left="0" w:right="0"/>
                    <w:jc w:val="center"/>
                    <w:rPr>
                      <w:rFonts w:hint="default"/>
                      <w:color w:val="auto"/>
                      <w:szCs w:val="21"/>
                    </w:rPr>
                  </w:pPr>
                </w:p>
              </w:tc>
              <w:tc>
                <w:tcPr>
                  <w:tcW w:w="1275" w:type="pct"/>
                  <w:vMerge w:val="continue"/>
                  <w:noWrap w:val="0"/>
                  <w:vAlign w:val="center"/>
                </w:tcPr>
                <w:p w14:paraId="5C2F0520">
                  <w:pPr>
                    <w:keepNext w:val="0"/>
                    <w:keepLines w:val="0"/>
                    <w:suppressLineNumbers w:val="0"/>
                    <w:spacing w:before="0" w:beforeAutospacing="0" w:after="0" w:afterAutospacing="0"/>
                    <w:ind w:left="0" w:right="0"/>
                    <w:jc w:val="center"/>
                    <w:rPr>
                      <w:rFonts w:hint="default"/>
                      <w:color w:val="auto"/>
                      <w:szCs w:val="21"/>
                    </w:rPr>
                  </w:pPr>
                </w:p>
              </w:tc>
            </w:tr>
          </w:tbl>
          <w:p w14:paraId="5A2ED6D6">
            <w:pPr>
              <w:keepNext w:val="0"/>
              <w:keepLines w:val="0"/>
              <w:suppressLineNumbers w:val="0"/>
              <w:spacing w:before="120" w:beforeLines="50" w:beforeAutospacing="0" w:after="0" w:afterAutospacing="0" w:line="360" w:lineRule="auto"/>
              <w:ind w:left="0" w:right="0" w:firstLine="480" w:firstLineChars="200"/>
              <w:rPr>
                <w:rFonts w:hint="default"/>
                <w:color w:val="auto"/>
                <w:sz w:val="24"/>
              </w:rPr>
            </w:pPr>
            <w:r>
              <w:rPr>
                <w:rFonts w:hint="default"/>
                <w:color w:val="auto"/>
                <w:sz w:val="24"/>
              </w:rPr>
              <w:t>（3）监测结果：监测结果见表3-</w:t>
            </w:r>
            <w:r>
              <w:rPr>
                <w:rFonts w:hint="eastAsia"/>
                <w:color w:val="auto"/>
                <w:sz w:val="24"/>
              </w:rPr>
              <w:t>4</w:t>
            </w:r>
            <w:r>
              <w:rPr>
                <w:rFonts w:hint="default"/>
                <w:color w:val="auto"/>
                <w:sz w:val="24"/>
              </w:rPr>
              <w:t>。</w:t>
            </w:r>
          </w:p>
          <w:p w14:paraId="6317A3AF">
            <w:pPr>
              <w:keepNext w:val="0"/>
              <w:keepLines w:val="0"/>
              <w:widowControl/>
              <w:suppressLineNumbers w:val="0"/>
              <w:adjustRightInd w:val="0"/>
              <w:snapToGrid w:val="0"/>
              <w:spacing w:before="0" w:beforeAutospacing="0" w:after="0" w:afterAutospacing="0" w:line="440" w:lineRule="exact"/>
              <w:ind w:left="0" w:right="0"/>
              <w:jc w:val="center"/>
              <w:rPr>
                <w:rFonts w:hint="default"/>
                <w:b/>
                <w:bCs/>
                <w:color w:val="auto"/>
                <w:sz w:val="24"/>
              </w:rPr>
            </w:pPr>
            <w:r>
              <w:rPr>
                <w:rFonts w:hint="eastAsia"/>
                <w:b/>
                <w:bCs/>
                <w:color w:val="auto"/>
                <w:sz w:val="24"/>
              </w:rPr>
              <w:t>表3</w:t>
            </w:r>
            <w:r>
              <w:rPr>
                <w:rFonts w:hint="default"/>
                <w:b/>
                <w:bCs/>
                <w:color w:val="auto"/>
                <w:sz w:val="24"/>
              </w:rPr>
              <w:t>-</w:t>
            </w:r>
            <w:r>
              <w:rPr>
                <w:rFonts w:hint="eastAsia"/>
                <w:b/>
                <w:bCs/>
                <w:color w:val="auto"/>
                <w:sz w:val="24"/>
              </w:rPr>
              <w:t>4</w:t>
            </w:r>
            <w:r>
              <w:rPr>
                <w:rFonts w:hint="default"/>
                <w:b/>
                <w:bCs/>
                <w:color w:val="auto"/>
                <w:sz w:val="24"/>
              </w:rPr>
              <w:t xml:space="preserve"> 地表水监测结果  单位：mg/L（PH除外）</w:t>
            </w:r>
          </w:p>
          <w:tbl>
            <w:tblPr>
              <w:tblStyle w:val="6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28"/>
              <w:gridCol w:w="861"/>
              <w:gridCol w:w="1120"/>
              <w:gridCol w:w="1076"/>
              <w:gridCol w:w="1309"/>
              <w:gridCol w:w="1269"/>
              <w:gridCol w:w="1215"/>
            </w:tblGrid>
            <w:tr w14:paraId="17AB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912" w:type="pct"/>
                  <w:vMerge w:val="restart"/>
                  <w:noWrap w:val="0"/>
                  <w:vAlign w:val="center"/>
                </w:tcPr>
                <w:p w14:paraId="725C29C0">
                  <w:pPr>
                    <w:pStyle w:val="1094"/>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监测日期</w:t>
                  </w:r>
                </w:p>
              </w:tc>
              <w:tc>
                <w:tcPr>
                  <w:tcW w:w="4087" w:type="pct"/>
                  <w:gridSpan w:val="6"/>
                  <w:noWrap w:val="0"/>
                  <w:vAlign w:val="center"/>
                </w:tcPr>
                <w:p w14:paraId="5807C3CD">
                  <w:pPr>
                    <w:pStyle w:val="1094"/>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监测项目</w:t>
                  </w:r>
                </w:p>
              </w:tc>
            </w:tr>
            <w:tr w14:paraId="1BE1B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 w:hRule="atLeast"/>
              </w:trPr>
              <w:tc>
                <w:tcPr>
                  <w:tcW w:w="912" w:type="pct"/>
                  <w:vMerge w:val="continue"/>
                  <w:noWrap w:val="0"/>
                  <w:vAlign w:val="center"/>
                </w:tcPr>
                <w:p w14:paraId="2523015C">
                  <w:pPr>
                    <w:keepNext w:val="0"/>
                    <w:keepLines w:val="0"/>
                    <w:suppressLineNumbers w:val="0"/>
                    <w:spacing w:before="0" w:beforeAutospacing="0" w:after="0" w:afterAutospacing="0"/>
                    <w:ind w:left="0" w:right="0"/>
                    <w:jc w:val="center"/>
                    <w:rPr>
                      <w:rFonts w:hint="default" w:ascii="Calibri" w:hAnsi="Calibri"/>
                      <w:color w:val="auto"/>
                      <w:sz w:val="22"/>
                      <w:szCs w:val="21"/>
                    </w:rPr>
                  </w:pPr>
                </w:p>
              </w:tc>
              <w:tc>
                <w:tcPr>
                  <w:tcW w:w="514" w:type="pct"/>
                  <w:noWrap w:val="0"/>
                  <w:vAlign w:val="center"/>
                </w:tcPr>
                <w:p w14:paraId="45D2EDD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default" w:ascii="Times New Roman" w:hAnsi="Times New Roman" w:cs="Times New Roman"/>
                      <w:b/>
                      <w:bCs/>
                      <w:color w:val="auto"/>
                      <w:sz w:val="22"/>
                      <w:szCs w:val="21"/>
                    </w:rPr>
                    <w:t>pH</w:t>
                  </w:r>
                </w:p>
              </w:tc>
              <w:tc>
                <w:tcPr>
                  <w:tcW w:w="668" w:type="pct"/>
                  <w:noWrap w:val="0"/>
                  <w:vAlign w:val="center"/>
                </w:tcPr>
                <w:p w14:paraId="2EA362A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2"/>
                      <w:szCs w:val="21"/>
                      <w:lang w:val="en-US" w:eastAsia="zh-CN"/>
                    </w:rPr>
                  </w:pPr>
                  <w:r>
                    <w:rPr>
                      <w:rFonts w:hint="eastAsia" w:ascii="Times New Roman" w:hAnsi="Times New Roman" w:cs="Times New Roman"/>
                      <w:b/>
                      <w:bCs/>
                      <w:color w:val="auto"/>
                      <w:sz w:val="22"/>
                      <w:szCs w:val="21"/>
                      <w:lang w:val="en-US" w:eastAsia="zh-CN"/>
                    </w:rPr>
                    <w:t>DO</w:t>
                  </w:r>
                </w:p>
              </w:tc>
              <w:tc>
                <w:tcPr>
                  <w:tcW w:w="642" w:type="pct"/>
                  <w:noWrap w:val="0"/>
                  <w:vAlign w:val="center"/>
                </w:tcPr>
                <w:p w14:paraId="2C8EB22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default" w:ascii="Times New Roman" w:hAnsi="Times New Roman" w:cs="Times New Roman"/>
                      <w:b/>
                      <w:bCs/>
                      <w:color w:val="auto"/>
                      <w:sz w:val="22"/>
                      <w:szCs w:val="21"/>
                    </w:rPr>
                    <w:t>COD</w:t>
                  </w:r>
                </w:p>
              </w:tc>
              <w:tc>
                <w:tcPr>
                  <w:tcW w:w="781" w:type="pct"/>
                  <w:noWrap w:val="0"/>
                  <w:vAlign w:val="center"/>
                </w:tcPr>
                <w:p w14:paraId="5C2EE08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default" w:ascii="Times New Roman" w:hAnsi="Times New Roman" w:cs="Times New Roman"/>
                      <w:b/>
                      <w:bCs/>
                      <w:color w:val="auto"/>
                      <w:sz w:val="22"/>
                      <w:szCs w:val="21"/>
                    </w:rPr>
                    <w:t>BOD</w:t>
                  </w:r>
                  <w:r>
                    <w:rPr>
                      <w:rFonts w:hint="default" w:ascii="Times New Roman" w:hAnsi="Times New Roman" w:cs="Times New Roman"/>
                      <w:b/>
                      <w:bCs/>
                      <w:color w:val="auto"/>
                      <w:sz w:val="22"/>
                      <w:szCs w:val="21"/>
                      <w:vertAlign w:val="subscript"/>
                    </w:rPr>
                    <w:t>5</w:t>
                  </w:r>
                </w:p>
              </w:tc>
              <w:tc>
                <w:tcPr>
                  <w:tcW w:w="757" w:type="pct"/>
                  <w:noWrap w:val="0"/>
                  <w:vAlign w:val="center"/>
                </w:tcPr>
                <w:p w14:paraId="7CBFD13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default" w:ascii="Times New Roman" w:hAnsi="Times New Roman" w:cs="Times New Roman"/>
                      <w:b/>
                      <w:bCs/>
                      <w:color w:val="auto"/>
                      <w:sz w:val="22"/>
                      <w:szCs w:val="21"/>
                    </w:rPr>
                    <w:t>NH</w:t>
                  </w:r>
                  <w:r>
                    <w:rPr>
                      <w:rFonts w:hint="default" w:ascii="Times New Roman" w:hAnsi="Times New Roman" w:cs="Times New Roman"/>
                      <w:b/>
                      <w:bCs/>
                      <w:color w:val="auto"/>
                      <w:sz w:val="22"/>
                      <w:szCs w:val="21"/>
                      <w:vertAlign w:val="subscript"/>
                    </w:rPr>
                    <w:t>3</w:t>
                  </w:r>
                  <w:r>
                    <w:rPr>
                      <w:rFonts w:hint="default" w:ascii="Times New Roman" w:hAnsi="Times New Roman" w:cs="Times New Roman"/>
                      <w:b/>
                      <w:bCs/>
                      <w:color w:val="auto"/>
                      <w:sz w:val="22"/>
                      <w:szCs w:val="21"/>
                    </w:rPr>
                    <w:t>-N</w:t>
                  </w:r>
                </w:p>
              </w:tc>
              <w:tc>
                <w:tcPr>
                  <w:tcW w:w="722" w:type="pct"/>
                  <w:noWrap w:val="0"/>
                  <w:vAlign w:val="center"/>
                </w:tcPr>
                <w:p w14:paraId="3D02D7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总磷</w:t>
                  </w:r>
                </w:p>
              </w:tc>
            </w:tr>
            <w:tr w14:paraId="5055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912" w:type="pct"/>
                  <w:noWrap w:val="0"/>
                  <w:vAlign w:val="center"/>
                </w:tcPr>
                <w:p w14:paraId="48FC4C7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eastAsia="宋体" w:cs="Times New Roman"/>
                      <w:color w:val="auto"/>
                      <w:szCs w:val="21"/>
                      <w:lang w:val="en-US" w:eastAsia="zh-CN"/>
                    </w:rPr>
                    <w:t>SW9</w:t>
                  </w:r>
                </w:p>
              </w:tc>
              <w:tc>
                <w:tcPr>
                  <w:tcW w:w="514" w:type="pct"/>
                  <w:noWrap w:val="0"/>
                  <w:vAlign w:val="center"/>
                </w:tcPr>
                <w:p w14:paraId="18730B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7.12-7.55</w:t>
                  </w:r>
                </w:p>
              </w:tc>
              <w:tc>
                <w:tcPr>
                  <w:tcW w:w="668" w:type="pct"/>
                  <w:noWrap w:val="0"/>
                  <w:vAlign w:val="center"/>
                </w:tcPr>
                <w:p w14:paraId="29EA1F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8.74-9.82</w:t>
                  </w:r>
                </w:p>
              </w:tc>
              <w:tc>
                <w:tcPr>
                  <w:tcW w:w="642" w:type="pct"/>
                  <w:noWrap w:val="0"/>
                  <w:vAlign w:val="center"/>
                </w:tcPr>
                <w:p w14:paraId="1479604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21-25</w:t>
                  </w:r>
                </w:p>
              </w:tc>
              <w:tc>
                <w:tcPr>
                  <w:tcW w:w="781" w:type="pct"/>
                  <w:noWrap w:val="0"/>
                  <w:vAlign w:val="center"/>
                </w:tcPr>
                <w:p w14:paraId="4F26A4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3.2-3.5</w:t>
                  </w:r>
                </w:p>
              </w:tc>
              <w:tc>
                <w:tcPr>
                  <w:tcW w:w="757" w:type="pct"/>
                  <w:noWrap w:val="0"/>
                  <w:vAlign w:val="center"/>
                </w:tcPr>
                <w:p w14:paraId="0E58FB2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0.61-0.65</w:t>
                  </w:r>
                </w:p>
              </w:tc>
              <w:tc>
                <w:tcPr>
                  <w:tcW w:w="722" w:type="pct"/>
                  <w:noWrap w:val="0"/>
                  <w:vAlign w:val="center"/>
                </w:tcPr>
                <w:p w14:paraId="1FB4D8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0.17-0.18</w:t>
                  </w:r>
                </w:p>
              </w:tc>
            </w:tr>
            <w:tr w14:paraId="61DDF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912" w:type="pct"/>
                  <w:noWrap w:val="0"/>
                  <w:vAlign w:val="center"/>
                </w:tcPr>
                <w:p w14:paraId="7F2D62F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eastAsia="宋体" w:cs="Times New Roman"/>
                      <w:color w:val="auto"/>
                      <w:szCs w:val="21"/>
                      <w:lang w:val="en-US" w:eastAsia="zh-CN"/>
                    </w:rPr>
                    <w:t>SW10</w:t>
                  </w:r>
                </w:p>
              </w:tc>
              <w:tc>
                <w:tcPr>
                  <w:tcW w:w="514" w:type="pct"/>
                  <w:noWrap w:val="0"/>
                  <w:vAlign w:val="center"/>
                </w:tcPr>
                <w:p w14:paraId="2B43F3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7.47-7.53</w:t>
                  </w:r>
                </w:p>
              </w:tc>
              <w:tc>
                <w:tcPr>
                  <w:tcW w:w="668" w:type="pct"/>
                  <w:noWrap w:val="0"/>
                  <w:vAlign w:val="center"/>
                </w:tcPr>
                <w:p w14:paraId="340DB28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cs="Times New Roman"/>
                      <w:color w:val="auto"/>
                      <w:sz w:val="22"/>
                      <w:szCs w:val="21"/>
                      <w:lang w:val="en-US" w:eastAsia="zh-CN"/>
                    </w:rPr>
                    <w:t>8.77-9.88</w:t>
                  </w:r>
                </w:p>
              </w:tc>
              <w:tc>
                <w:tcPr>
                  <w:tcW w:w="642" w:type="pct"/>
                  <w:noWrap w:val="0"/>
                  <w:vAlign w:val="center"/>
                </w:tcPr>
                <w:p w14:paraId="0E0C7D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23-27</w:t>
                  </w:r>
                </w:p>
              </w:tc>
              <w:tc>
                <w:tcPr>
                  <w:tcW w:w="781" w:type="pct"/>
                  <w:noWrap w:val="0"/>
                  <w:vAlign w:val="center"/>
                </w:tcPr>
                <w:p w14:paraId="05498A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3.7-3.9</w:t>
                  </w:r>
                </w:p>
              </w:tc>
              <w:tc>
                <w:tcPr>
                  <w:tcW w:w="757" w:type="pct"/>
                  <w:noWrap w:val="0"/>
                  <w:vAlign w:val="center"/>
                </w:tcPr>
                <w:p w14:paraId="24CC50E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0.41-0.45</w:t>
                  </w:r>
                </w:p>
              </w:tc>
              <w:tc>
                <w:tcPr>
                  <w:tcW w:w="722" w:type="pct"/>
                  <w:noWrap w:val="0"/>
                  <w:vAlign w:val="center"/>
                </w:tcPr>
                <w:p w14:paraId="295FEC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0.16-0.17</w:t>
                  </w:r>
                </w:p>
              </w:tc>
            </w:tr>
            <w:tr w14:paraId="1653C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912" w:type="pct"/>
                  <w:noWrap w:val="0"/>
                  <w:vAlign w:val="center"/>
                </w:tcPr>
                <w:p w14:paraId="4E9144B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eastAsia="宋体" w:cs="Times New Roman"/>
                      <w:color w:val="auto"/>
                      <w:szCs w:val="21"/>
                      <w:lang w:val="en-US" w:eastAsia="zh-CN"/>
                    </w:rPr>
                    <w:t>SW11</w:t>
                  </w:r>
                </w:p>
              </w:tc>
              <w:tc>
                <w:tcPr>
                  <w:tcW w:w="514" w:type="pct"/>
                  <w:noWrap w:val="0"/>
                  <w:vAlign w:val="center"/>
                </w:tcPr>
                <w:p w14:paraId="74FFBB5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7.23-7.53</w:t>
                  </w:r>
                </w:p>
              </w:tc>
              <w:tc>
                <w:tcPr>
                  <w:tcW w:w="668" w:type="pct"/>
                  <w:noWrap w:val="0"/>
                  <w:vAlign w:val="center"/>
                </w:tcPr>
                <w:p w14:paraId="63C5D64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lang w:val="en-US"/>
                    </w:rPr>
                  </w:pPr>
                  <w:r>
                    <w:rPr>
                      <w:rFonts w:hint="eastAsia" w:ascii="Times New Roman" w:hAnsi="Times New Roman" w:cs="Times New Roman"/>
                      <w:color w:val="auto"/>
                      <w:sz w:val="22"/>
                      <w:szCs w:val="21"/>
                      <w:lang w:val="en-US" w:eastAsia="zh-CN"/>
                    </w:rPr>
                    <w:t>8.57-9.3</w:t>
                  </w:r>
                </w:p>
              </w:tc>
              <w:tc>
                <w:tcPr>
                  <w:tcW w:w="642" w:type="pct"/>
                  <w:noWrap w:val="0"/>
                  <w:vAlign w:val="center"/>
                </w:tcPr>
                <w:p w14:paraId="4ECA377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15-19</w:t>
                  </w:r>
                </w:p>
              </w:tc>
              <w:tc>
                <w:tcPr>
                  <w:tcW w:w="781" w:type="pct"/>
                  <w:noWrap w:val="0"/>
                  <w:vAlign w:val="center"/>
                </w:tcPr>
                <w:p w14:paraId="4044DA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2.6-3.2</w:t>
                  </w:r>
                </w:p>
              </w:tc>
              <w:tc>
                <w:tcPr>
                  <w:tcW w:w="757" w:type="pct"/>
                  <w:noWrap w:val="0"/>
                  <w:vAlign w:val="center"/>
                </w:tcPr>
                <w:p w14:paraId="65D496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0.85-0.88</w:t>
                  </w:r>
                </w:p>
              </w:tc>
              <w:tc>
                <w:tcPr>
                  <w:tcW w:w="722" w:type="pct"/>
                  <w:noWrap w:val="0"/>
                  <w:vAlign w:val="center"/>
                </w:tcPr>
                <w:p w14:paraId="605CE21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0.06-0.08</w:t>
                  </w:r>
                </w:p>
              </w:tc>
            </w:tr>
            <w:tr w14:paraId="73209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912" w:type="pct"/>
                  <w:noWrap w:val="0"/>
                  <w:vAlign w:val="center"/>
                </w:tcPr>
                <w:p w14:paraId="482506D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eastAsia="宋体" w:cs="Times New Roman"/>
                      <w:color w:val="auto"/>
                      <w:szCs w:val="21"/>
                      <w:lang w:val="en-US" w:eastAsia="zh-CN"/>
                    </w:rPr>
                    <w:t>SW12</w:t>
                  </w:r>
                </w:p>
              </w:tc>
              <w:tc>
                <w:tcPr>
                  <w:tcW w:w="514" w:type="pct"/>
                  <w:noWrap w:val="0"/>
                  <w:vAlign w:val="center"/>
                </w:tcPr>
                <w:p w14:paraId="0FCB4E3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7.46-7.64</w:t>
                  </w:r>
                </w:p>
              </w:tc>
              <w:tc>
                <w:tcPr>
                  <w:tcW w:w="668" w:type="pct"/>
                  <w:noWrap w:val="0"/>
                  <w:vAlign w:val="center"/>
                </w:tcPr>
                <w:p w14:paraId="79549AF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lang w:val="en-US"/>
                    </w:rPr>
                  </w:pPr>
                  <w:r>
                    <w:rPr>
                      <w:rFonts w:hint="eastAsia" w:ascii="Times New Roman" w:hAnsi="Times New Roman" w:cs="Times New Roman"/>
                      <w:color w:val="auto"/>
                      <w:sz w:val="22"/>
                      <w:szCs w:val="21"/>
                      <w:lang w:val="en-US" w:eastAsia="zh-CN"/>
                    </w:rPr>
                    <w:t>6.52-7.63</w:t>
                  </w:r>
                </w:p>
              </w:tc>
              <w:tc>
                <w:tcPr>
                  <w:tcW w:w="642" w:type="pct"/>
                  <w:noWrap w:val="0"/>
                  <w:vAlign w:val="center"/>
                </w:tcPr>
                <w:p w14:paraId="2D1C41D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11-15</w:t>
                  </w:r>
                </w:p>
              </w:tc>
              <w:tc>
                <w:tcPr>
                  <w:tcW w:w="781" w:type="pct"/>
                  <w:noWrap w:val="0"/>
                  <w:vAlign w:val="center"/>
                </w:tcPr>
                <w:p w14:paraId="31456F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2.1-2.3</w:t>
                  </w:r>
                </w:p>
              </w:tc>
              <w:tc>
                <w:tcPr>
                  <w:tcW w:w="757" w:type="pct"/>
                  <w:noWrap w:val="0"/>
                  <w:vAlign w:val="center"/>
                </w:tcPr>
                <w:p w14:paraId="250A48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0.47-0.56</w:t>
                  </w:r>
                </w:p>
              </w:tc>
              <w:tc>
                <w:tcPr>
                  <w:tcW w:w="722" w:type="pct"/>
                  <w:noWrap w:val="0"/>
                  <w:vAlign w:val="center"/>
                </w:tcPr>
                <w:p w14:paraId="3875CFD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0..04-0.05</w:t>
                  </w:r>
                </w:p>
              </w:tc>
            </w:tr>
            <w:tr w14:paraId="7D086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912" w:type="pct"/>
                  <w:noWrap w:val="0"/>
                  <w:vAlign w:val="center"/>
                </w:tcPr>
                <w:p w14:paraId="1C0DC1F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eastAsia="宋体" w:cs="Times New Roman"/>
                      <w:color w:val="auto"/>
                      <w:szCs w:val="21"/>
                      <w:lang w:val="en-US" w:eastAsia="zh-CN"/>
                    </w:rPr>
                    <w:t>SW13</w:t>
                  </w:r>
                </w:p>
              </w:tc>
              <w:tc>
                <w:tcPr>
                  <w:tcW w:w="514" w:type="pct"/>
                  <w:noWrap w:val="0"/>
                  <w:vAlign w:val="center"/>
                </w:tcPr>
                <w:p w14:paraId="377EE6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7.42-7.72</w:t>
                  </w:r>
                </w:p>
              </w:tc>
              <w:tc>
                <w:tcPr>
                  <w:tcW w:w="668" w:type="pct"/>
                  <w:noWrap w:val="0"/>
                  <w:vAlign w:val="center"/>
                </w:tcPr>
                <w:p w14:paraId="63E21C9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lang w:val="en-US"/>
                    </w:rPr>
                  </w:pPr>
                  <w:r>
                    <w:rPr>
                      <w:rFonts w:hint="eastAsia" w:ascii="Times New Roman" w:hAnsi="Times New Roman" w:cs="Times New Roman"/>
                      <w:color w:val="auto"/>
                      <w:sz w:val="22"/>
                      <w:szCs w:val="21"/>
                      <w:lang w:val="en-US" w:eastAsia="zh-CN"/>
                    </w:rPr>
                    <w:t>6.56-7.56</w:t>
                  </w:r>
                </w:p>
              </w:tc>
              <w:tc>
                <w:tcPr>
                  <w:tcW w:w="642" w:type="pct"/>
                  <w:noWrap w:val="0"/>
                  <w:vAlign w:val="center"/>
                </w:tcPr>
                <w:p w14:paraId="2E726F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7-11</w:t>
                  </w:r>
                </w:p>
              </w:tc>
              <w:tc>
                <w:tcPr>
                  <w:tcW w:w="781" w:type="pct"/>
                  <w:noWrap w:val="0"/>
                  <w:vAlign w:val="center"/>
                </w:tcPr>
                <w:p w14:paraId="05311C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1.5-1.9</w:t>
                  </w:r>
                </w:p>
              </w:tc>
              <w:tc>
                <w:tcPr>
                  <w:tcW w:w="757" w:type="pct"/>
                  <w:noWrap w:val="0"/>
                  <w:vAlign w:val="center"/>
                </w:tcPr>
                <w:p w14:paraId="161739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0.53-0.55</w:t>
                  </w:r>
                </w:p>
              </w:tc>
              <w:tc>
                <w:tcPr>
                  <w:tcW w:w="722" w:type="pct"/>
                  <w:noWrap w:val="0"/>
                  <w:vAlign w:val="center"/>
                </w:tcPr>
                <w:p w14:paraId="2D917C3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0.10-0.11</w:t>
                  </w:r>
                </w:p>
              </w:tc>
            </w:tr>
            <w:tr w14:paraId="5041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912" w:type="pct"/>
                  <w:noWrap w:val="0"/>
                  <w:vAlign w:val="center"/>
                </w:tcPr>
                <w:p w14:paraId="2897E6E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eastAsia="宋体" w:cs="Times New Roman"/>
                      <w:color w:val="auto"/>
                      <w:szCs w:val="21"/>
                      <w:lang w:val="en-US" w:eastAsia="zh-CN"/>
                    </w:rPr>
                    <w:t>SW14</w:t>
                  </w:r>
                </w:p>
              </w:tc>
              <w:tc>
                <w:tcPr>
                  <w:tcW w:w="514" w:type="pct"/>
                  <w:noWrap w:val="0"/>
                  <w:vAlign w:val="center"/>
                </w:tcPr>
                <w:p w14:paraId="44CBC9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7.47-7.68</w:t>
                  </w:r>
                </w:p>
              </w:tc>
              <w:tc>
                <w:tcPr>
                  <w:tcW w:w="668" w:type="pct"/>
                  <w:noWrap w:val="0"/>
                  <w:vAlign w:val="center"/>
                </w:tcPr>
                <w:p w14:paraId="5541189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cs="Times New Roman"/>
                      <w:color w:val="auto"/>
                      <w:sz w:val="22"/>
                      <w:szCs w:val="21"/>
                      <w:lang w:val="en-US" w:eastAsia="zh-CN"/>
                    </w:rPr>
                    <w:t>6.8-7.85</w:t>
                  </w:r>
                </w:p>
              </w:tc>
              <w:tc>
                <w:tcPr>
                  <w:tcW w:w="642" w:type="pct"/>
                  <w:noWrap w:val="0"/>
                  <w:vAlign w:val="center"/>
                </w:tcPr>
                <w:p w14:paraId="30A2377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14-16</w:t>
                  </w:r>
                </w:p>
              </w:tc>
              <w:tc>
                <w:tcPr>
                  <w:tcW w:w="781" w:type="pct"/>
                  <w:noWrap w:val="0"/>
                  <w:vAlign w:val="center"/>
                </w:tcPr>
                <w:p w14:paraId="6B261C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1.4-2.0</w:t>
                  </w:r>
                </w:p>
              </w:tc>
              <w:tc>
                <w:tcPr>
                  <w:tcW w:w="757" w:type="pct"/>
                  <w:noWrap w:val="0"/>
                  <w:vAlign w:val="center"/>
                </w:tcPr>
                <w:p w14:paraId="57B836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0.54-0.58</w:t>
                  </w:r>
                </w:p>
              </w:tc>
              <w:tc>
                <w:tcPr>
                  <w:tcW w:w="722" w:type="pct"/>
                  <w:noWrap w:val="0"/>
                  <w:vAlign w:val="center"/>
                </w:tcPr>
                <w:p w14:paraId="553800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0.005-0.006</w:t>
                  </w:r>
                </w:p>
              </w:tc>
            </w:tr>
            <w:tr w14:paraId="3EC74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trPr>
              <w:tc>
                <w:tcPr>
                  <w:tcW w:w="912" w:type="pct"/>
                  <w:noWrap w:val="0"/>
                  <w:vAlign w:val="center"/>
                </w:tcPr>
                <w:p w14:paraId="3F72178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2"/>
                      <w:szCs w:val="21"/>
                    </w:rPr>
                  </w:pPr>
                  <w:r>
                    <w:rPr>
                      <w:rFonts w:hint="eastAsia" w:ascii="Times New Roman" w:hAnsi="Times New Roman" w:eastAsia="宋体" w:cs="Times New Roman"/>
                      <w:color w:val="auto"/>
                      <w:szCs w:val="21"/>
                      <w:lang w:val="en-US" w:eastAsia="zh-CN"/>
                    </w:rPr>
                    <w:t>SW15</w:t>
                  </w:r>
                </w:p>
              </w:tc>
              <w:tc>
                <w:tcPr>
                  <w:tcW w:w="514" w:type="pct"/>
                  <w:noWrap w:val="0"/>
                  <w:vAlign w:val="center"/>
                </w:tcPr>
                <w:p w14:paraId="7C2C5A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7.53-7.61</w:t>
                  </w:r>
                </w:p>
              </w:tc>
              <w:tc>
                <w:tcPr>
                  <w:tcW w:w="668" w:type="pct"/>
                  <w:noWrap w:val="0"/>
                  <w:vAlign w:val="center"/>
                </w:tcPr>
                <w:p w14:paraId="79C6E14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2"/>
                      <w:szCs w:val="21"/>
                      <w:lang w:val="en-US"/>
                    </w:rPr>
                  </w:pPr>
                  <w:r>
                    <w:rPr>
                      <w:rFonts w:hint="eastAsia" w:ascii="Times New Roman" w:hAnsi="Times New Roman" w:cs="Times New Roman"/>
                      <w:color w:val="auto"/>
                      <w:sz w:val="22"/>
                      <w:szCs w:val="21"/>
                      <w:lang w:val="en-US" w:eastAsia="zh-CN"/>
                    </w:rPr>
                    <w:t>7.21-7.73</w:t>
                  </w:r>
                </w:p>
              </w:tc>
              <w:tc>
                <w:tcPr>
                  <w:tcW w:w="642" w:type="pct"/>
                  <w:noWrap w:val="0"/>
                  <w:vAlign w:val="center"/>
                </w:tcPr>
                <w:p w14:paraId="2C48E5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12-14</w:t>
                  </w:r>
                </w:p>
              </w:tc>
              <w:tc>
                <w:tcPr>
                  <w:tcW w:w="781" w:type="pct"/>
                  <w:noWrap w:val="0"/>
                  <w:vAlign w:val="center"/>
                </w:tcPr>
                <w:p w14:paraId="063CA9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1.4-1.5</w:t>
                  </w:r>
                </w:p>
              </w:tc>
              <w:tc>
                <w:tcPr>
                  <w:tcW w:w="757" w:type="pct"/>
                  <w:noWrap w:val="0"/>
                  <w:vAlign w:val="center"/>
                </w:tcPr>
                <w:p w14:paraId="310F6E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0.45-0.48</w:t>
                  </w:r>
                </w:p>
              </w:tc>
              <w:tc>
                <w:tcPr>
                  <w:tcW w:w="722" w:type="pct"/>
                  <w:noWrap w:val="0"/>
                  <w:vAlign w:val="center"/>
                </w:tcPr>
                <w:p w14:paraId="78A5735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2"/>
                      <w:szCs w:val="21"/>
                      <w:lang w:val="en-US" w:eastAsia="zh-CN"/>
                    </w:rPr>
                  </w:pPr>
                  <w:r>
                    <w:rPr>
                      <w:rFonts w:hint="eastAsia" w:ascii="Times New Roman" w:hAnsi="Times New Roman" w:cs="Times New Roman"/>
                      <w:color w:val="auto"/>
                      <w:sz w:val="22"/>
                      <w:szCs w:val="21"/>
                      <w:lang w:val="en-US" w:eastAsia="zh-CN"/>
                    </w:rPr>
                    <w:t>0.06-0.07</w:t>
                  </w:r>
                </w:p>
              </w:tc>
            </w:tr>
          </w:tbl>
          <w:p w14:paraId="5973AA07">
            <w:pPr>
              <w:keepNext w:val="0"/>
              <w:keepLines w:val="0"/>
              <w:widowControl/>
              <w:suppressLineNumbers w:val="0"/>
              <w:tabs>
                <w:tab w:val="left" w:pos="1418"/>
              </w:tabs>
              <w:spacing w:before="0" w:beforeAutospacing="0" w:after="0" w:afterAutospacing="0" w:line="440" w:lineRule="exact"/>
              <w:ind w:left="0" w:right="0" w:firstLine="480" w:firstLineChars="200"/>
              <w:jc w:val="left"/>
              <w:rPr>
                <w:rFonts w:hint="eastAsia"/>
                <w:color w:val="auto"/>
                <w:sz w:val="24"/>
                <w:lang w:val="en-US" w:eastAsia="zh-CN"/>
              </w:rPr>
            </w:pPr>
            <w:r>
              <w:rPr>
                <w:rFonts w:hint="eastAsia"/>
                <w:color w:val="auto"/>
                <w:sz w:val="24"/>
                <w:lang w:val="en-US" w:eastAsia="zh-CN"/>
              </w:rPr>
              <w:t>根据《安徽新芜经济开发区扩区总体发展规划（</w:t>
            </w:r>
            <w:r>
              <w:rPr>
                <w:rFonts w:hint="default"/>
                <w:color w:val="auto"/>
                <w:sz w:val="24"/>
                <w:lang w:val="en-US" w:eastAsia="zh-CN"/>
              </w:rPr>
              <w:t xml:space="preserve">2023-2035 </w:t>
            </w:r>
            <w:r>
              <w:rPr>
                <w:rFonts w:hint="eastAsia"/>
                <w:color w:val="auto"/>
                <w:sz w:val="24"/>
                <w:lang w:val="en-US" w:eastAsia="zh-CN"/>
              </w:rPr>
              <w:t>年）环境影响报告书》及检测结果，该评价水域裘公河、汪溪坝撇洪沟各监测断面水质分别满足《地表水环境质量标准》（</w:t>
            </w:r>
            <w:r>
              <w:rPr>
                <w:rFonts w:hint="default"/>
                <w:color w:val="auto"/>
                <w:sz w:val="24"/>
                <w:lang w:val="en-US" w:eastAsia="zh-CN"/>
              </w:rPr>
              <w:t>GB3838-2002</w:t>
            </w:r>
            <w:r>
              <w:rPr>
                <w:rFonts w:hint="eastAsia"/>
                <w:color w:val="auto"/>
                <w:sz w:val="24"/>
                <w:lang w:val="en-US" w:eastAsia="zh-CN"/>
              </w:rPr>
              <w:t>）中</w:t>
            </w:r>
            <w:r>
              <w:rPr>
                <w:rFonts w:hint="default"/>
                <w:color w:val="auto"/>
                <w:sz w:val="24"/>
                <w:lang w:val="en-US" w:eastAsia="zh-CN"/>
              </w:rPr>
              <w:t>Ⅲ</w:t>
            </w:r>
            <w:r>
              <w:rPr>
                <w:rFonts w:hint="eastAsia"/>
                <w:color w:val="auto"/>
                <w:sz w:val="24"/>
                <w:lang w:val="en-US" w:eastAsia="zh-CN"/>
              </w:rPr>
              <w:t>类和</w:t>
            </w:r>
            <w:r>
              <w:rPr>
                <w:rFonts w:hint="default"/>
                <w:color w:val="auto"/>
                <w:sz w:val="24"/>
                <w:lang w:val="en-US" w:eastAsia="zh-CN"/>
              </w:rPr>
              <w:t>Ⅳ</w:t>
            </w:r>
            <w:r>
              <w:rPr>
                <w:rFonts w:hint="eastAsia"/>
                <w:color w:val="auto"/>
                <w:sz w:val="24"/>
                <w:lang w:val="en-US" w:eastAsia="zh-CN"/>
              </w:rPr>
              <w:t>类水质标准，区域地表水水质状况良好。</w:t>
            </w:r>
          </w:p>
          <w:p w14:paraId="78F1525D">
            <w:pPr>
              <w:keepNext w:val="0"/>
              <w:keepLines w:val="0"/>
              <w:widowControl/>
              <w:suppressLineNumbers w:val="0"/>
              <w:tabs>
                <w:tab w:val="left" w:pos="1418"/>
              </w:tabs>
              <w:spacing w:before="0" w:beforeAutospacing="0" w:after="0" w:afterAutospacing="0" w:line="360" w:lineRule="auto"/>
              <w:ind w:left="0" w:right="0" w:firstLine="602" w:firstLineChars="250"/>
              <w:jc w:val="lef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3、区域声环境状况</w:t>
            </w:r>
          </w:p>
          <w:p w14:paraId="1B26B62E">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default"/>
                <w:color w:val="auto"/>
                <w:sz w:val="24"/>
              </w:rPr>
              <w:t>2024年，芜湖市区域噪声声环境昼间平均等效声级为57.5分贝。根据《环境噪声监测技术规范城市声环境常规监测》（HJ640-2012）中对城市区域环境噪声评价的要求，芜湖市区域环境噪声处于三级水平。</w:t>
            </w:r>
          </w:p>
          <w:p w14:paraId="3A66C9C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根据《建设项目环境影响报告表编制技术指南（污染影响类）（试行）》中</w:t>
            </w:r>
            <w:r>
              <w:rPr>
                <w:rFonts w:hint="default" w:ascii="Times New Roman" w:hAnsi="Times New Roman" w:cs="Times New Roman" w:eastAsiaTheme="minorEastAsia"/>
                <w:bCs/>
                <w:color w:val="auto"/>
                <w:sz w:val="24"/>
                <w:highlight w:val="none"/>
              </w:rPr>
              <w:t>“</w:t>
            </w:r>
            <w:r>
              <w:rPr>
                <w:rFonts w:hint="default" w:ascii="Times New Roman" w:hAnsi="Times New Roman" w:cs="Times New Roman"/>
                <w:bCs/>
                <w:color w:val="auto"/>
                <w:sz w:val="24"/>
                <w:highlight w:val="none"/>
              </w:rPr>
              <w:t>区域环境质量</w:t>
            </w:r>
            <w:r>
              <w:rPr>
                <w:rFonts w:hint="default" w:ascii="Times New Roman" w:hAnsi="Times New Roman" w:cs="Times New Roman" w:eastAsiaTheme="minorEastAsia"/>
                <w:bCs/>
                <w:color w:val="auto"/>
                <w:sz w:val="24"/>
                <w:highlight w:val="none"/>
              </w:rPr>
              <w:t>”</w:t>
            </w:r>
            <w:r>
              <w:rPr>
                <w:rFonts w:hint="default" w:ascii="Times New Roman" w:hAnsi="Times New Roman" w:cs="Times New Roman"/>
                <w:bCs/>
                <w:color w:val="auto"/>
                <w:sz w:val="24"/>
                <w:highlight w:val="none"/>
              </w:rPr>
              <w:t>的</w:t>
            </w:r>
            <w:r>
              <w:rPr>
                <w:rFonts w:hint="default" w:ascii="Times New Roman" w:hAnsi="Times New Roman" w:cs="Times New Roman" w:eastAsiaTheme="minorEastAsia"/>
                <w:bCs/>
                <w:color w:val="auto"/>
                <w:sz w:val="24"/>
                <w:highlight w:val="none"/>
              </w:rPr>
              <w:t>“</w:t>
            </w:r>
            <w:r>
              <w:rPr>
                <w:rFonts w:hint="default" w:ascii="Times New Roman" w:hAnsi="Times New Roman" w:cs="Times New Roman"/>
                <w:bCs/>
                <w:color w:val="auto"/>
                <w:sz w:val="24"/>
                <w:highlight w:val="none"/>
              </w:rPr>
              <w:t>3、声环境厂界外周边50米范围内存在声环境保护目标的建设项目，应监测保护目标声环境质量现状并评价达标情况。各点位应监测昼夜间噪声，监测时间不少于1天，项目夜间不生产则仅监测昼间噪声</w:t>
            </w:r>
            <w:r>
              <w:rPr>
                <w:rFonts w:hint="default" w:ascii="Times New Roman" w:hAnsi="Times New Roman" w:cs="Times New Roman" w:eastAsiaTheme="minorEastAsia"/>
                <w:bCs/>
                <w:color w:val="auto"/>
                <w:sz w:val="24"/>
                <w:highlight w:val="none"/>
              </w:rPr>
              <w:t>”</w:t>
            </w:r>
            <w:r>
              <w:rPr>
                <w:rFonts w:hint="default" w:ascii="Times New Roman" w:hAnsi="Times New Roman" w:cs="Times New Roman"/>
                <w:bCs/>
                <w:color w:val="auto"/>
                <w:sz w:val="24"/>
                <w:highlight w:val="none"/>
              </w:rPr>
              <w:t>。</w:t>
            </w:r>
          </w:p>
          <w:p w14:paraId="07AF5CF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rPr>
            </w:pPr>
            <w:r>
              <w:rPr>
                <w:rFonts w:hint="default" w:ascii="Times New Roman" w:hAnsi="Times New Roman" w:cs="Times New Roman"/>
                <w:bCs/>
                <w:color w:val="auto"/>
                <w:sz w:val="24"/>
                <w:highlight w:val="none"/>
              </w:rPr>
              <w:t>本项目厂界外周边50米范围内存在声环境保护目标，故需进行声现状监测。</w:t>
            </w:r>
          </w:p>
          <w:p w14:paraId="64B8A2D9">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szCs w:val="24"/>
                <w:lang w:val="en-US"/>
                <w14:textFill>
                  <w14:solidFill>
                    <w14:schemeClr w14:val="tx1"/>
                  </w14:solidFill>
                </w14:textFill>
              </w:rPr>
              <w:t>安徽</w:t>
            </w:r>
            <w:r>
              <w:rPr>
                <w:rFonts w:hint="default" w:ascii="Times New Roman" w:hAnsi="Times New Roman" w:cs="Times New Roman"/>
                <w:color w:val="000000" w:themeColor="text1"/>
                <w:sz w:val="24"/>
                <w:szCs w:val="24"/>
                <w:lang w:val="en-US" w:eastAsia="zh-CN"/>
                <w14:textFill>
                  <w14:solidFill>
                    <w14:schemeClr w14:val="tx1"/>
                  </w14:solidFill>
                </w14:textFill>
              </w:rPr>
              <w:t>城诺检测科技</w:t>
            </w:r>
            <w:r>
              <w:rPr>
                <w:rFonts w:hint="default" w:ascii="Times New Roman" w:hAnsi="Times New Roman" w:cs="Times New Roman"/>
                <w:color w:val="000000" w:themeColor="text1"/>
                <w:sz w:val="24"/>
                <w:szCs w:val="24"/>
                <w:lang w:val="en-US"/>
                <w14:textFill>
                  <w14:solidFill>
                    <w14:schemeClr w14:val="tx1"/>
                  </w14:solidFill>
                </w14:textFill>
              </w:rPr>
              <w:t>有限公司</w:t>
            </w:r>
            <w:r>
              <w:rPr>
                <w:rFonts w:hint="default" w:ascii="Times New Roman" w:hAnsi="Times New Roman" w:cs="Times New Roman"/>
                <w:color w:val="000000" w:themeColor="text1"/>
                <w:sz w:val="24"/>
                <w14:textFill>
                  <w14:solidFill>
                    <w14:schemeClr w14:val="tx1"/>
                  </w14:solidFill>
                </w14:textFill>
              </w:rPr>
              <w:t>提供的检测报告（报告编号：</w:t>
            </w:r>
            <w:r>
              <w:rPr>
                <w:rFonts w:hint="default" w:ascii="Times New Roman" w:hAnsi="Times New Roman" w:cs="Times New Roman"/>
                <w:bCs/>
                <w:color w:val="000000" w:themeColor="text1"/>
                <w:sz w:val="24"/>
                <w:lang w:val="en-US" w:eastAsia="zh-CN"/>
                <w14:textFill>
                  <w14:solidFill>
                    <w14:schemeClr w14:val="tx1"/>
                  </w14:solidFill>
                </w14:textFill>
              </w:rPr>
              <w:t>AHCN2411019</w:t>
            </w:r>
            <w:r>
              <w:rPr>
                <w:rFonts w:hint="default" w:ascii="Times New Roman" w:hAnsi="Times New Roman" w:cs="Times New Roman"/>
                <w:color w:val="000000" w:themeColor="text1"/>
                <w:spacing w:val="-6"/>
                <w:kern w:val="0"/>
                <w:sz w:val="24"/>
                <w:szCs w:val="21"/>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见附件），厂界噪声检测结果见下表。</w:t>
            </w:r>
          </w:p>
          <w:p w14:paraId="4655F3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表3-</w:t>
            </w:r>
            <w:r>
              <w:rPr>
                <w:rFonts w:hint="eastAsia"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 xml:space="preserve">  项目厂界噪声监测结果  单位：dB（A）</w:t>
            </w:r>
          </w:p>
          <w:tbl>
            <w:tblPr>
              <w:tblStyle w:val="6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1279"/>
              <w:gridCol w:w="1882"/>
              <w:gridCol w:w="1986"/>
              <w:gridCol w:w="1986"/>
            </w:tblGrid>
            <w:tr w14:paraId="595B7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 w:hRule="atLeast"/>
              </w:trPr>
              <w:tc>
                <w:tcPr>
                  <w:tcW w:w="743" w:type="pct"/>
                  <w:tcBorders>
                    <w:top w:val="single" w:color="auto" w:sz="4" w:space="0"/>
                    <w:left w:val="single" w:color="auto" w:sz="4" w:space="0"/>
                    <w:bottom w:val="single" w:color="auto" w:sz="4" w:space="0"/>
                    <w:right w:val="single" w:color="auto" w:sz="4" w:space="0"/>
                  </w:tcBorders>
                  <w:noWrap w:val="0"/>
                  <w:vAlign w:val="center"/>
                </w:tcPr>
                <w:p w14:paraId="5B321AA2">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检测点位</w:t>
                  </w:r>
                </w:p>
              </w:tc>
              <w:tc>
                <w:tcPr>
                  <w:tcW w:w="763" w:type="pct"/>
                  <w:tcBorders>
                    <w:top w:val="single" w:color="auto" w:sz="4" w:space="0"/>
                    <w:left w:val="single" w:color="auto" w:sz="4" w:space="0"/>
                    <w:bottom w:val="single" w:color="auto" w:sz="4" w:space="0"/>
                    <w:right w:val="single" w:color="auto" w:sz="4" w:space="0"/>
                  </w:tcBorders>
                  <w:noWrap w:val="0"/>
                  <w:vAlign w:val="center"/>
                </w:tcPr>
                <w:p w14:paraId="5E7CCCF6">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对应位置</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70F6DE72">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测量时间</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7A5C181D">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昼间噪声检测</w:t>
                  </w:r>
                </w:p>
                <w:p w14:paraId="644DC269">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结果dB(A)</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468B94BE">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
                      <w:bCs/>
                      <w:color w:val="000000" w:themeColor="text1"/>
                      <w:kern w:val="0"/>
                      <w:szCs w:val="21"/>
                      <w14:textFill>
                        <w14:solidFill>
                          <w14:schemeClr w14:val="tx1"/>
                        </w14:solidFill>
                      </w14:textFill>
                    </w:rPr>
                  </w:pPr>
                  <w:r>
                    <w:rPr>
                      <w:rFonts w:hint="eastAsia" w:ascii="Times New Roman" w:hAnsi="Times New Roman" w:cs="Times New Roman"/>
                      <w:b/>
                      <w:bCs/>
                      <w:color w:val="000000" w:themeColor="text1"/>
                      <w:kern w:val="0"/>
                      <w:szCs w:val="21"/>
                      <w:lang w:val="en-US" w:eastAsia="zh-CN"/>
                      <w14:textFill>
                        <w14:solidFill>
                          <w14:schemeClr w14:val="tx1"/>
                        </w14:solidFill>
                      </w14:textFill>
                    </w:rPr>
                    <w:t>夜</w:t>
                  </w:r>
                  <w:r>
                    <w:rPr>
                      <w:rFonts w:hint="default" w:ascii="Times New Roman" w:hAnsi="Times New Roman" w:cs="Times New Roman"/>
                      <w:b/>
                      <w:bCs/>
                      <w:color w:val="000000" w:themeColor="text1"/>
                      <w:kern w:val="0"/>
                      <w:szCs w:val="21"/>
                      <w14:textFill>
                        <w14:solidFill>
                          <w14:schemeClr w14:val="tx1"/>
                        </w14:solidFill>
                      </w14:textFill>
                    </w:rPr>
                    <w:t>间噪声检测</w:t>
                  </w:r>
                </w:p>
                <w:p w14:paraId="51E20DDB">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结果dB(A)</w:t>
                  </w:r>
                </w:p>
              </w:tc>
            </w:tr>
            <w:tr w14:paraId="0C66F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tcBorders>
                    <w:top w:val="single" w:color="auto" w:sz="4" w:space="0"/>
                    <w:left w:val="single" w:color="auto" w:sz="4" w:space="0"/>
                    <w:right w:val="single" w:color="auto" w:sz="4" w:space="0"/>
                  </w:tcBorders>
                  <w:noWrap w:val="0"/>
                  <w:vAlign w:val="center"/>
                </w:tcPr>
                <w:p w14:paraId="5BF6A933">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N1</w:t>
                  </w:r>
                </w:p>
              </w:tc>
              <w:tc>
                <w:tcPr>
                  <w:tcW w:w="763" w:type="pct"/>
                  <w:tcBorders>
                    <w:top w:val="single" w:color="auto" w:sz="4" w:space="0"/>
                    <w:left w:val="single" w:color="auto" w:sz="4" w:space="0"/>
                    <w:right w:val="single" w:color="auto" w:sz="4" w:space="0"/>
                  </w:tcBorders>
                  <w:noWrap w:val="0"/>
                  <w:vAlign w:val="center"/>
                </w:tcPr>
                <w:p w14:paraId="4F9D318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厂界东</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3A0169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789719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06A9B2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52</w:t>
                  </w:r>
                </w:p>
              </w:tc>
            </w:tr>
            <w:tr w14:paraId="7116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tcBorders>
                    <w:top w:val="single" w:color="auto" w:sz="4" w:space="0"/>
                    <w:left w:val="single" w:color="auto" w:sz="4" w:space="0"/>
                    <w:right w:val="single" w:color="auto" w:sz="4" w:space="0"/>
                  </w:tcBorders>
                  <w:noWrap w:val="0"/>
                  <w:vAlign w:val="center"/>
                </w:tcPr>
                <w:p w14:paraId="57D80D52">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N</w:t>
                  </w:r>
                  <w:r>
                    <w:rPr>
                      <w:rFonts w:hint="default" w:ascii="Times New Roman" w:hAnsi="Times New Roman" w:cs="Times New Roman"/>
                      <w:bCs/>
                      <w:color w:val="000000" w:themeColor="text1"/>
                      <w:kern w:val="0"/>
                      <w:szCs w:val="21"/>
                      <w14:textFill>
                        <w14:solidFill>
                          <w14:schemeClr w14:val="tx1"/>
                        </w14:solidFill>
                      </w14:textFill>
                    </w:rPr>
                    <w:t>2</w:t>
                  </w:r>
                </w:p>
              </w:tc>
              <w:tc>
                <w:tcPr>
                  <w:tcW w:w="763" w:type="pct"/>
                  <w:tcBorders>
                    <w:top w:val="single" w:color="auto" w:sz="4" w:space="0"/>
                    <w:left w:val="single" w:color="auto" w:sz="4" w:space="0"/>
                    <w:right w:val="single" w:color="auto" w:sz="4" w:space="0"/>
                  </w:tcBorders>
                  <w:noWrap w:val="0"/>
                  <w:vAlign w:val="center"/>
                </w:tcPr>
                <w:p w14:paraId="0F6E57B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厂界南</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4F73D0D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0A703F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6B8F966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53</w:t>
                  </w:r>
                </w:p>
              </w:tc>
            </w:tr>
            <w:tr w14:paraId="49B49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tcBorders>
                    <w:top w:val="single" w:color="auto" w:sz="4" w:space="0"/>
                    <w:left w:val="single" w:color="auto" w:sz="4" w:space="0"/>
                    <w:right w:val="single" w:color="auto" w:sz="4" w:space="0"/>
                  </w:tcBorders>
                  <w:noWrap w:val="0"/>
                  <w:vAlign w:val="center"/>
                </w:tcPr>
                <w:p w14:paraId="4425DC63">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N</w:t>
                  </w:r>
                  <w:r>
                    <w:rPr>
                      <w:rFonts w:hint="default" w:ascii="Times New Roman" w:hAnsi="Times New Roman" w:cs="Times New Roman"/>
                      <w:bCs/>
                      <w:color w:val="000000" w:themeColor="text1"/>
                      <w:kern w:val="0"/>
                      <w:szCs w:val="21"/>
                      <w14:textFill>
                        <w14:solidFill>
                          <w14:schemeClr w14:val="tx1"/>
                        </w14:solidFill>
                      </w14:textFill>
                    </w:rPr>
                    <w:t>3</w:t>
                  </w:r>
                </w:p>
              </w:tc>
              <w:tc>
                <w:tcPr>
                  <w:tcW w:w="763" w:type="pct"/>
                  <w:tcBorders>
                    <w:top w:val="single" w:color="auto" w:sz="4" w:space="0"/>
                    <w:left w:val="single" w:color="auto" w:sz="4" w:space="0"/>
                    <w:right w:val="single" w:color="auto" w:sz="4" w:space="0"/>
                  </w:tcBorders>
                  <w:noWrap w:val="0"/>
                  <w:vAlign w:val="center"/>
                </w:tcPr>
                <w:p w14:paraId="67D0C42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厂界西</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56C9FCA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5E2201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53</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2FEFA2F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48</w:t>
                  </w:r>
                </w:p>
              </w:tc>
            </w:tr>
            <w:tr w14:paraId="556E5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tcBorders>
                    <w:top w:val="single" w:color="auto" w:sz="4" w:space="0"/>
                    <w:left w:val="single" w:color="auto" w:sz="4" w:space="0"/>
                    <w:right w:val="single" w:color="auto" w:sz="4" w:space="0"/>
                  </w:tcBorders>
                  <w:noWrap w:val="0"/>
                  <w:vAlign w:val="center"/>
                </w:tcPr>
                <w:p w14:paraId="14526307">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N</w:t>
                  </w:r>
                  <w:r>
                    <w:rPr>
                      <w:rFonts w:hint="default" w:ascii="Times New Roman" w:hAnsi="Times New Roman" w:cs="Times New Roman"/>
                      <w:bCs/>
                      <w:color w:val="000000" w:themeColor="text1"/>
                      <w:kern w:val="0"/>
                      <w:szCs w:val="21"/>
                      <w14:textFill>
                        <w14:solidFill>
                          <w14:schemeClr w14:val="tx1"/>
                        </w14:solidFill>
                      </w14:textFill>
                    </w:rPr>
                    <w:t>4</w:t>
                  </w:r>
                </w:p>
              </w:tc>
              <w:tc>
                <w:tcPr>
                  <w:tcW w:w="763" w:type="pct"/>
                  <w:tcBorders>
                    <w:top w:val="single" w:color="auto" w:sz="4" w:space="0"/>
                    <w:left w:val="single" w:color="auto" w:sz="4" w:space="0"/>
                    <w:right w:val="single" w:color="auto" w:sz="4" w:space="0"/>
                  </w:tcBorders>
                  <w:noWrap w:val="0"/>
                  <w:vAlign w:val="center"/>
                </w:tcPr>
                <w:p w14:paraId="1FE185B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厂界北</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7000B59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0F8886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48</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0989C5C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48</w:t>
                  </w:r>
                </w:p>
              </w:tc>
            </w:tr>
            <w:tr w14:paraId="5C26A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tcBorders>
                    <w:left w:val="single" w:color="auto" w:sz="4" w:space="0"/>
                    <w:right w:val="single" w:color="auto" w:sz="4" w:space="0"/>
                  </w:tcBorders>
                  <w:noWrap w:val="0"/>
                  <w:vAlign w:val="center"/>
                </w:tcPr>
                <w:p w14:paraId="482E7132">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N</w:t>
                  </w:r>
                  <w:r>
                    <w:rPr>
                      <w:rFonts w:hint="default" w:ascii="Times New Roman" w:hAnsi="Times New Roman" w:cs="Times New Roman"/>
                      <w:bCs/>
                      <w:color w:val="000000" w:themeColor="text1"/>
                      <w:kern w:val="0"/>
                      <w:szCs w:val="21"/>
                      <w14:textFill>
                        <w14:solidFill>
                          <w14:schemeClr w14:val="tx1"/>
                        </w14:solidFill>
                      </w14:textFill>
                    </w:rPr>
                    <w:t>5</w:t>
                  </w:r>
                </w:p>
              </w:tc>
              <w:tc>
                <w:tcPr>
                  <w:tcW w:w="763" w:type="pct"/>
                  <w:tcBorders>
                    <w:left w:val="single" w:color="auto" w:sz="4" w:space="0"/>
                    <w:right w:val="single" w:color="auto" w:sz="4" w:space="0"/>
                  </w:tcBorders>
                  <w:noWrap w:val="0"/>
                  <w:vAlign w:val="center"/>
                </w:tcPr>
                <w:p w14:paraId="09166B9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兴泰人才公寓1F</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0238AFB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373D202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56</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3DD07F0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50</w:t>
                  </w:r>
                </w:p>
              </w:tc>
            </w:tr>
            <w:tr w14:paraId="7121B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tcBorders>
                    <w:left w:val="single" w:color="auto" w:sz="4" w:space="0"/>
                    <w:right w:val="single" w:color="auto" w:sz="4" w:space="0"/>
                  </w:tcBorders>
                  <w:noWrap w:val="0"/>
                  <w:vAlign w:val="center"/>
                </w:tcPr>
                <w:p w14:paraId="3E32A3A1">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N6</w:t>
                  </w:r>
                </w:p>
              </w:tc>
              <w:tc>
                <w:tcPr>
                  <w:tcW w:w="763" w:type="pct"/>
                  <w:tcBorders>
                    <w:left w:val="single" w:color="auto" w:sz="4" w:space="0"/>
                    <w:right w:val="single" w:color="auto" w:sz="4" w:space="0"/>
                  </w:tcBorders>
                  <w:noWrap w:val="0"/>
                  <w:vAlign w:val="center"/>
                </w:tcPr>
                <w:p w14:paraId="1758876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兴泰人才公寓5F</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0B1A862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709CB49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147B441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48</w:t>
                  </w:r>
                </w:p>
              </w:tc>
            </w:tr>
            <w:tr w14:paraId="06D39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vMerge w:val="restart"/>
                  <w:tcBorders>
                    <w:left w:val="single" w:color="auto" w:sz="4" w:space="0"/>
                    <w:right w:val="single" w:color="auto" w:sz="4" w:space="0"/>
                  </w:tcBorders>
                  <w:noWrap w:val="0"/>
                  <w:vAlign w:val="center"/>
                </w:tcPr>
                <w:p w14:paraId="11AEA2C1">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N</w:t>
                  </w:r>
                  <w:r>
                    <w:rPr>
                      <w:rFonts w:hint="eastAsia" w:ascii="Times New Roman" w:hAnsi="Times New Roman" w:cs="Times New Roman"/>
                      <w:bCs/>
                      <w:color w:val="000000" w:themeColor="text1"/>
                      <w:kern w:val="0"/>
                      <w:szCs w:val="21"/>
                      <w:lang w:val="en-US" w:eastAsia="zh-CN"/>
                      <w14:textFill>
                        <w14:solidFill>
                          <w14:schemeClr w14:val="tx1"/>
                        </w14:solidFill>
                      </w14:textFill>
                    </w:rPr>
                    <w:t>7</w:t>
                  </w:r>
                </w:p>
              </w:tc>
              <w:tc>
                <w:tcPr>
                  <w:tcW w:w="763" w:type="pct"/>
                  <w:vMerge w:val="restart"/>
                  <w:tcBorders>
                    <w:left w:val="single" w:color="auto" w:sz="4" w:space="0"/>
                    <w:right w:val="single" w:color="auto" w:sz="4" w:space="0"/>
                  </w:tcBorders>
                  <w:noWrap w:val="0"/>
                  <w:vAlign w:val="center"/>
                </w:tcPr>
                <w:p w14:paraId="647BD6B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兴泰人才公寓8F</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3A2DA85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5.10.23</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5C14385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46</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1F7CF63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w:t>
                  </w:r>
                </w:p>
              </w:tc>
            </w:tr>
            <w:tr w14:paraId="63EB3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3" w:type="pct"/>
                  <w:vMerge w:val="continue"/>
                  <w:tcBorders>
                    <w:left w:val="single" w:color="auto" w:sz="4" w:space="0"/>
                    <w:right w:val="single" w:color="auto" w:sz="4" w:space="0"/>
                  </w:tcBorders>
                  <w:noWrap w:val="0"/>
                  <w:vAlign w:val="center"/>
                </w:tcPr>
                <w:p w14:paraId="4FC4A7BF">
                  <w:pPr>
                    <w:keepNext w:val="0"/>
                    <w:keepLines w:val="0"/>
                    <w:suppressLineNumbers w:val="0"/>
                    <w:spacing w:before="0" w:beforeAutospacing="0" w:after="0" w:afterAutospacing="0"/>
                    <w:ind w:left="-4" w:leftChars="-2" w:right="-34" w:rightChars="-16" w:firstLine="2" w:firstLineChars="1"/>
                    <w:jc w:val="center"/>
                    <w:rPr>
                      <w:rFonts w:hint="default" w:ascii="Times New Roman" w:hAnsi="Times New Roman" w:cs="Times New Roman"/>
                      <w:bCs/>
                      <w:color w:val="000000" w:themeColor="text1"/>
                      <w:kern w:val="0"/>
                      <w:szCs w:val="21"/>
                      <w:lang w:val="en-US" w:eastAsia="zh-CN"/>
                      <w14:textFill>
                        <w14:solidFill>
                          <w14:schemeClr w14:val="tx1"/>
                        </w14:solidFill>
                      </w14:textFill>
                    </w:rPr>
                  </w:pPr>
                </w:p>
              </w:tc>
              <w:tc>
                <w:tcPr>
                  <w:tcW w:w="763" w:type="pct"/>
                  <w:vMerge w:val="continue"/>
                  <w:tcBorders>
                    <w:left w:val="single" w:color="auto" w:sz="4" w:space="0"/>
                    <w:right w:val="single" w:color="auto" w:sz="4" w:space="0"/>
                  </w:tcBorders>
                  <w:noWrap w:val="0"/>
                  <w:vAlign w:val="center"/>
                </w:tcPr>
                <w:p w14:paraId="795F53F6">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p>
              </w:tc>
              <w:tc>
                <w:tcPr>
                  <w:tcW w:w="1123" w:type="pct"/>
                  <w:tcBorders>
                    <w:top w:val="single" w:color="auto" w:sz="4" w:space="0"/>
                    <w:left w:val="single" w:color="auto" w:sz="4" w:space="0"/>
                    <w:bottom w:val="single" w:color="auto" w:sz="4" w:space="0"/>
                    <w:right w:val="single" w:color="auto" w:sz="4" w:space="0"/>
                  </w:tcBorders>
                  <w:noWrap w:val="0"/>
                  <w:vAlign w:val="center"/>
                </w:tcPr>
                <w:p w14:paraId="022938B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w:t>
                  </w:r>
                  <w:r>
                    <w:rPr>
                      <w:rFonts w:hint="eastAsia" w:ascii="Times New Roman" w:hAnsi="Times New Roman" w:cs="Times New Roman"/>
                      <w:color w:val="000000" w:themeColor="text1"/>
                      <w:szCs w:val="21"/>
                      <w:lang w:val="en-US" w:eastAsia="zh-CN"/>
                      <w14:textFill>
                        <w14:solidFill>
                          <w14:schemeClr w14:val="tx1"/>
                        </w14:solidFill>
                      </w14:textFill>
                    </w:rPr>
                    <w:t>5.10.22</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1EDD4E9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5BEBE88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50</w:t>
                  </w:r>
                </w:p>
              </w:tc>
            </w:tr>
            <w:tr w14:paraId="213F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629" w:type="pct"/>
                  <w:gridSpan w:val="3"/>
                  <w:tcBorders>
                    <w:top w:val="single" w:color="auto" w:sz="4" w:space="0"/>
                    <w:left w:val="single" w:color="auto" w:sz="4" w:space="0"/>
                    <w:bottom w:val="single" w:color="auto" w:sz="4" w:space="0"/>
                    <w:right w:val="single" w:color="auto" w:sz="4" w:space="0"/>
                  </w:tcBorders>
                  <w:noWrap w:val="0"/>
                  <w:vAlign w:val="center"/>
                </w:tcPr>
                <w:p w14:paraId="5BAB3F5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《声环境质量标准》（GB3096-2008）中2类标准限值</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06C6B6B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60</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1B9BA9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50</w:t>
                  </w:r>
                </w:p>
              </w:tc>
            </w:tr>
            <w:tr w14:paraId="6A82E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629" w:type="pct"/>
                  <w:gridSpan w:val="3"/>
                  <w:tcBorders>
                    <w:top w:val="single" w:color="auto" w:sz="4" w:space="0"/>
                    <w:left w:val="single" w:color="auto" w:sz="4" w:space="0"/>
                    <w:right w:val="single" w:color="auto" w:sz="4" w:space="0"/>
                  </w:tcBorders>
                  <w:noWrap w:val="0"/>
                  <w:vAlign w:val="center"/>
                </w:tcPr>
                <w:p w14:paraId="60B9FA5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《工业企业厂界环境噪声排放标准》（GB12348-2008）中</w:t>
                  </w:r>
                  <w:r>
                    <w:rPr>
                      <w:rFonts w:hint="eastAsia" w:ascii="Times New Roman" w:hAnsi="Times New Roman" w:cs="Times New Roman"/>
                      <w:color w:val="000000" w:themeColor="text1"/>
                      <w:szCs w:val="21"/>
                      <w:lang w:val="en-US" w:eastAsia="zh-CN"/>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类标准限值</w:t>
                  </w:r>
                </w:p>
              </w:tc>
              <w:tc>
                <w:tcPr>
                  <w:tcW w:w="118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96345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65</w:t>
                  </w:r>
                </w:p>
              </w:tc>
              <w:tc>
                <w:tcPr>
                  <w:tcW w:w="118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D06BB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55</w:t>
                  </w:r>
                </w:p>
              </w:tc>
            </w:tr>
          </w:tbl>
          <w:p w14:paraId="5CF83314">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bCs/>
                <w:color w:val="auto"/>
                <w:sz w:val="24"/>
                <w:highlight w:val="none"/>
              </w:rPr>
            </w:pPr>
            <w:r>
              <w:rPr>
                <w:rFonts w:hint="default" w:ascii="Times New Roman" w:hAnsi="Times New Roman" w:cs="Times New Roman"/>
                <w:bCs/>
                <w:color w:val="000000" w:themeColor="text1"/>
                <w:sz w:val="24"/>
                <w14:textFill>
                  <w14:solidFill>
                    <w14:schemeClr w14:val="tx1"/>
                  </w14:solidFill>
                </w14:textFill>
              </w:rPr>
              <w:t>由上表可知，厂界噪声昼间监测结果为</w:t>
            </w:r>
            <w:r>
              <w:rPr>
                <w:rFonts w:hint="eastAsia" w:ascii="Times New Roman" w:hAnsi="Times New Roman" w:cs="Times New Roman"/>
                <w:bCs/>
                <w:color w:val="000000" w:themeColor="text1"/>
                <w:sz w:val="24"/>
                <w:lang w:val="en-US" w:eastAsia="zh-CN"/>
                <w14:textFill>
                  <w14:solidFill>
                    <w14:schemeClr w14:val="tx1"/>
                  </w14:solidFill>
                </w14:textFill>
              </w:rPr>
              <w:t>48</w:t>
            </w:r>
            <w:r>
              <w:rPr>
                <w:rFonts w:hint="default" w:ascii="Times New Roman" w:hAnsi="Times New Roman" w:cs="Times New Roman"/>
                <w:bCs/>
                <w:color w:val="000000" w:themeColor="text1"/>
                <w:sz w:val="24"/>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53</w:t>
            </w:r>
            <w:r>
              <w:rPr>
                <w:rFonts w:hint="default" w:ascii="Times New Roman" w:hAnsi="Times New Roman" w:cs="Times New Roman"/>
                <w:bCs/>
                <w:color w:val="000000" w:themeColor="text1"/>
                <w:sz w:val="24"/>
                <w14:textFill>
                  <w14:solidFill>
                    <w14:schemeClr w14:val="tx1"/>
                  </w14:solidFill>
                </w14:textFill>
              </w:rPr>
              <w:t>dB(A)，厂界噪声</w:t>
            </w:r>
            <w:r>
              <w:rPr>
                <w:rFonts w:hint="eastAsia" w:ascii="Times New Roman" w:hAnsi="Times New Roman" w:cs="Times New Roman"/>
                <w:bCs/>
                <w:color w:val="000000" w:themeColor="text1"/>
                <w:sz w:val="24"/>
                <w:lang w:val="en-US" w:eastAsia="zh-CN"/>
                <w14:textFill>
                  <w14:solidFill>
                    <w14:schemeClr w14:val="tx1"/>
                  </w14:solidFill>
                </w14:textFill>
              </w:rPr>
              <w:t>夜</w:t>
            </w:r>
            <w:r>
              <w:rPr>
                <w:rFonts w:hint="default" w:ascii="Times New Roman" w:hAnsi="Times New Roman" w:cs="Times New Roman"/>
                <w:bCs/>
                <w:color w:val="000000" w:themeColor="text1"/>
                <w:sz w:val="24"/>
                <w14:textFill>
                  <w14:solidFill>
                    <w14:schemeClr w14:val="tx1"/>
                  </w14:solidFill>
                </w14:textFill>
              </w:rPr>
              <w:t>间监测结果为</w:t>
            </w:r>
            <w:r>
              <w:rPr>
                <w:rFonts w:hint="eastAsia" w:ascii="Times New Roman" w:hAnsi="Times New Roman" w:cs="Times New Roman"/>
                <w:bCs/>
                <w:color w:val="000000" w:themeColor="text1"/>
                <w:sz w:val="24"/>
                <w:lang w:val="en-US" w:eastAsia="zh-CN"/>
                <w14:textFill>
                  <w14:solidFill>
                    <w14:schemeClr w14:val="tx1"/>
                  </w14:solidFill>
                </w14:textFill>
              </w:rPr>
              <w:t>48</w:t>
            </w:r>
            <w:r>
              <w:rPr>
                <w:rFonts w:hint="default" w:ascii="Times New Roman" w:hAnsi="Times New Roman" w:cs="Times New Roman"/>
                <w:bCs/>
                <w:color w:val="000000" w:themeColor="text1"/>
                <w:sz w:val="24"/>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53</w:t>
            </w:r>
            <w:r>
              <w:rPr>
                <w:rFonts w:hint="default" w:ascii="Times New Roman" w:hAnsi="Times New Roman" w:cs="Times New Roman"/>
                <w:bCs/>
                <w:color w:val="000000" w:themeColor="text1"/>
                <w:sz w:val="24"/>
                <w14:textFill>
                  <w14:solidFill>
                    <w14:schemeClr w14:val="tx1"/>
                  </w14:solidFill>
                </w14:textFill>
              </w:rPr>
              <w:t>dB(A)，</w:t>
            </w:r>
            <w:r>
              <w:rPr>
                <w:rFonts w:hint="default" w:ascii="Times New Roman" w:hAnsi="Times New Roman" w:cs="Times New Roman"/>
                <w:bCs/>
                <w:color w:val="000000" w:themeColor="text1"/>
                <w:sz w:val="24"/>
                <w:lang w:eastAsia="zh-CN"/>
                <w14:textFill>
                  <w14:solidFill>
                    <w14:schemeClr w14:val="tx1"/>
                  </w14:solidFill>
                </w14:textFill>
              </w:rPr>
              <w:t>则</w:t>
            </w:r>
            <w:r>
              <w:rPr>
                <w:rFonts w:hint="default" w:ascii="Times New Roman" w:hAnsi="Times New Roman" w:cs="Times New Roman"/>
                <w:bCs/>
                <w:color w:val="000000" w:themeColor="text1"/>
                <w:sz w:val="24"/>
                <w14:textFill>
                  <w14:solidFill>
                    <w14:schemeClr w14:val="tx1"/>
                  </w14:solidFill>
                </w14:textFill>
              </w:rPr>
              <w:t>厂界</w:t>
            </w:r>
            <w:r>
              <w:rPr>
                <w:rFonts w:hint="default" w:ascii="Times New Roman" w:hAnsi="Times New Roman" w:cs="Times New Roman"/>
                <w:bCs/>
                <w:color w:val="000000" w:themeColor="text1"/>
                <w:sz w:val="24"/>
                <w:lang w:eastAsia="zh-CN"/>
                <w14:textFill>
                  <w14:solidFill>
                    <w14:schemeClr w14:val="tx1"/>
                  </w14:solidFill>
                </w14:textFill>
              </w:rPr>
              <w:t>昼</w:t>
            </w:r>
            <w:r>
              <w:rPr>
                <w:rFonts w:hint="eastAsia" w:ascii="Times New Roman" w:hAnsi="Times New Roman" w:cs="Times New Roman"/>
                <w:bCs/>
                <w:color w:val="000000" w:themeColor="text1"/>
                <w:sz w:val="24"/>
                <w:lang w:val="en-US" w:eastAsia="zh-CN"/>
                <w14:textFill>
                  <w14:solidFill>
                    <w14:schemeClr w14:val="tx1"/>
                  </w14:solidFill>
                </w14:textFill>
              </w:rPr>
              <w:t>夜</w:t>
            </w:r>
            <w:r>
              <w:rPr>
                <w:rFonts w:hint="default" w:ascii="Times New Roman" w:hAnsi="Times New Roman" w:cs="Times New Roman"/>
                <w:bCs/>
                <w:color w:val="000000" w:themeColor="text1"/>
                <w:sz w:val="24"/>
                <w:lang w:eastAsia="zh-CN"/>
                <w14:textFill>
                  <w14:solidFill>
                    <w14:schemeClr w14:val="tx1"/>
                  </w14:solidFill>
                </w14:textFill>
              </w:rPr>
              <w:t>间</w:t>
            </w:r>
            <w:r>
              <w:rPr>
                <w:rFonts w:hint="default" w:ascii="Times New Roman" w:hAnsi="Times New Roman" w:cs="Times New Roman"/>
                <w:bCs/>
                <w:color w:val="000000" w:themeColor="text1"/>
                <w:sz w:val="24"/>
                <w14:textFill>
                  <w14:solidFill>
                    <w14:schemeClr w14:val="tx1"/>
                  </w14:solidFill>
                </w14:textFill>
              </w:rPr>
              <w:t>噪声监测结果满足《工业企业厂界环境噪声排放标准》（GB12348-2008）中2类标准限值要求</w:t>
            </w:r>
            <w:r>
              <w:rPr>
                <w:rFonts w:hint="default" w:ascii="Times New Roman" w:hAnsi="Times New Roman" w:cs="Times New Roman"/>
                <w:bCs/>
                <w:color w:val="000000" w:themeColor="text1"/>
                <w:sz w:val="24"/>
                <w:lang w:eastAsia="zh-CN"/>
                <w14:textFill>
                  <w14:solidFill>
                    <w14:schemeClr w14:val="tx1"/>
                  </w14:solidFill>
                </w14:textFill>
              </w:rPr>
              <w:t>；敏感点</w:t>
            </w:r>
            <w:r>
              <w:rPr>
                <w:rFonts w:hint="default" w:ascii="Times New Roman" w:hAnsi="Times New Roman" w:cs="Times New Roman"/>
                <w:bCs/>
                <w:color w:val="000000" w:themeColor="text1"/>
                <w:sz w:val="24"/>
                <w14:textFill>
                  <w14:solidFill>
                    <w14:schemeClr w14:val="tx1"/>
                  </w14:solidFill>
                </w14:textFill>
              </w:rPr>
              <w:t>噪声昼间监测结果为</w:t>
            </w:r>
            <w:r>
              <w:rPr>
                <w:rFonts w:hint="default" w:ascii="Times New Roman" w:hAnsi="Times New Roman" w:cs="Times New Roman"/>
                <w:bCs/>
                <w:color w:val="000000" w:themeColor="text1"/>
                <w:sz w:val="24"/>
                <w:lang w:val="en-US" w:eastAsia="zh-CN"/>
                <w14:textFill>
                  <w14:solidFill>
                    <w14:schemeClr w14:val="tx1"/>
                  </w14:solidFill>
                </w14:textFill>
              </w:rPr>
              <w:t>4</w:t>
            </w:r>
            <w:r>
              <w:rPr>
                <w:rFonts w:hint="eastAsia" w:ascii="Times New Roman" w:hAnsi="Times New Roman" w:cs="Times New Roman"/>
                <w:bCs/>
                <w:color w:val="000000" w:themeColor="text1"/>
                <w:sz w:val="24"/>
                <w:lang w:val="en-US" w:eastAsia="zh-CN"/>
                <w14:textFill>
                  <w14:solidFill>
                    <w14:schemeClr w14:val="tx1"/>
                  </w14:solidFill>
                </w14:textFill>
              </w:rPr>
              <w:t>6</w:t>
            </w:r>
            <w:r>
              <w:rPr>
                <w:rFonts w:hint="default" w:ascii="Times New Roman" w:hAnsi="Times New Roman" w:cs="Times New Roman"/>
                <w:bCs/>
                <w:color w:val="000000" w:themeColor="text1"/>
                <w:sz w:val="24"/>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56</w:t>
            </w:r>
            <w:r>
              <w:rPr>
                <w:rFonts w:hint="default" w:ascii="Times New Roman" w:hAnsi="Times New Roman" w:cs="Times New Roman"/>
                <w:bCs/>
                <w:color w:val="000000" w:themeColor="text1"/>
                <w:sz w:val="24"/>
                <w14:textFill>
                  <w14:solidFill>
                    <w14:schemeClr w14:val="tx1"/>
                  </w14:solidFill>
                </w14:textFill>
              </w:rPr>
              <w:t>dB(A)，</w:t>
            </w:r>
            <w:r>
              <w:rPr>
                <w:rFonts w:hint="default" w:ascii="Times New Roman" w:hAnsi="Times New Roman" w:cs="Times New Roman"/>
                <w:bCs/>
                <w:color w:val="000000" w:themeColor="text1"/>
                <w:sz w:val="24"/>
                <w:lang w:eastAsia="zh-CN"/>
                <w14:textFill>
                  <w14:solidFill>
                    <w14:schemeClr w14:val="tx1"/>
                  </w14:solidFill>
                </w14:textFill>
              </w:rPr>
              <w:t>敏感点</w:t>
            </w:r>
            <w:r>
              <w:rPr>
                <w:rFonts w:hint="default" w:ascii="Times New Roman" w:hAnsi="Times New Roman" w:cs="Times New Roman"/>
                <w:bCs/>
                <w:color w:val="000000" w:themeColor="text1"/>
                <w:sz w:val="24"/>
                <w14:textFill>
                  <w14:solidFill>
                    <w14:schemeClr w14:val="tx1"/>
                  </w14:solidFill>
                </w14:textFill>
              </w:rPr>
              <w:t>噪声</w:t>
            </w:r>
            <w:r>
              <w:rPr>
                <w:rFonts w:hint="eastAsia" w:ascii="Times New Roman" w:hAnsi="Times New Roman" w:cs="Times New Roman"/>
                <w:bCs/>
                <w:color w:val="000000" w:themeColor="text1"/>
                <w:sz w:val="24"/>
                <w:lang w:val="en-US" w:eastAsia="zh-CN"/>
                <w14:textFill>
                  <w14:solidFill>
                    <w14:schemeClr w14:val="tx1"/>
                  </w14:solidFill>
                </w14:textFill>
              </w:rPr>
              <w:t>夜</w:t>
            </w:r>
            <w:r>
              <w:rPr>
                <w:rFonts w:hint="default" w:ascii="Times New Roman" w:hAnsi="Times New Roman" w:cs="Times New Roman"/>
                <w:bCs/>
                <w:color w:val="000000" w:themeColor="text1"/>
                <w:sz w:val="24"/>
                <w14:textFill>
                  <w14:solidFill>
                    <w14:schemeClr w14:val="tx1"/>
                  </w14:solidFill>
                </w14:textFill>
              </w:rPr>
              <w:t>间监测结果为</w:t>
            </w:r>
            <w:r>
              <w:rPr>
                <w:rFonts w:hint="default" w:ascii="Times New Roman" w:hAnsi="Times New Roman" w:cs="Times New Roman"/>
                <w:bCs/>
                <w:color w:val="000000" w:themeColor="text1"/>
                <w:sz w:val="24"/>
                <w:lang w:val="en-US" w:eastAsia="zh-CN"/>
                <w14:textFill>
                  <w14:solidFill>
                    <w14:schemeClr w14:val="tx1"/>
                  </w14:solidFill>
                </w14:textFill>
              </w:rPr>
              <w:t>4</w:t>
            </w:r>
            <w:r>
              <w:rPr>
                <w:rFonts w:hint="eastAsia" w:ascii="Times New Roman" w:hAnsi="Times New Roman" w:cs="Times New Roman"/>
                <w:bCs/>
                <w:color w:val="000000" w:themeColor="text1"/>
                <w:sz w:val="24"/>
                <w:lang w:val="en-US" w:eastAsia="zh-CN"/>
                <w14:textFill>
                  <w14:solidFill>
                    <w14:schemeClr w14:val="tx1"/>
                  </w14:solidFill>
                </w14:textFill>
              </w:rPr>
              <w:t>8</w:t>
            </w:r>
            <w:r>
              <w:rPr>
                <w:rFonts w:hint="default" w:ascii="Times New Roman" w:hAnsi="Times New Roman" w:cs="Times New Roman"/>
                <w:bCs/>
                <w:color w:val="000000" w:themeColor="text1"/>
                <w:sz w:val="24"/>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50</w:t>
            </w:r>
            <w:r>
              <w:rPr>
                <w:rFonts w:hint="default" w:ascii="Times New Roman" w:hAnsi="Times New Roman" w:cs="Times New Roman"/>
                <w:bCs/>
                <w:color w:val="000000" w:themeColor="text1"/>
                <w:sz w:val="24"/>
                <w14:textFill>
                  <w14:solidFill>
                    <w14:schemeClr w14:val="tx1"/>
                  </w14:solidFill>
                </w14:textFill>
              </w:rPr>
              <w:t>dB(A)，满足《声环境质量标准》（GB3096-2008）中2类标准限值要求，区域声环境质量较好。</w:t>
            </w:r>
          </w:p>
          <w:p w14:paraId="14A59F82">
            <w:pPr>
              <w:keepNext w:val="0"/>
              <w:keepLines w:val="0"/>
              <w:suppressLineNumbers w:val="0"/>
              <w:autoSpaceDE w:val="0"/>
              <w:spacing w:before="0" w:beforeAutospacing="0" w:after="0" w:afterAutospacing="0" w:line="360" w:lineRule="auto"/>
              <w:ind w:left="0" w:right="0" w:firstLine="482" w:firstLineChars="200"/>
              <w:rPr>
                <w:rFonts w:hint="default"/>
                <w:b/>
                <w:color w:val="auto"/>
                <w:kern w:val="1"/>
                <w:sz w:val="24"/>
              </w:rPr>
            </w:pPr>
            <w:r>
              <w:rPr>
                <w:rFonts w:hint="default"/>
                <w:b/>
                <w:color w:val="auto"/>
                <w:kern w:val="1"/>
                <w:sz w:val="24"/>
              </w:rPr>
              <w:t>4、地下水</w:t>
            </w:r>
            <w:r>
              <w:rPr>
                <w:rFonts w:hint="eastAsia"/>
                <w:b/>
                <w:color w:val="auto"/>
                <w:kern w:val="1"/>
                <w:sz w:val="24"/>
                <w:lang w:eastAsia="zh-CN"/>
              </w:rPr>
              <w:t>、</w:t>
            </w:r>
            <w:r>
              <w:rPr>
                <w:rFonts w:hint="eastAsia"/>
                <w:b/>
                <w:color w:val="auto"/>
                <w:kern w:val="1"/>
                <w:sz w:val="24"/>
                <w:lang w:val="en-US" w:eastAsia="zh-CN"/>
              </w:rPr>
              <w:t>土壤</w:t>
            </w:r>
            <w:r>
              <w:rPr>
                <w:rFonts w:hint="default"/>
                <w:b/>
                <w:color w:val="auto"/>
                <w:kern w:val="1"/>
                <w:sz w:val="24"/>
              </w:rPr>
              <w:t>环境质量现状</w:t>
            </w:r>
          </w:p>
          <w:p w14:paraId="1DFE9014">
            <w:pPr>
              <w:keepNext w:val="0"/>
              <w:keepLines w:val="0"/>
              <w:widowControl/>
              <w:suppressLineNumbers w:val="0"/>
              <w:spacing w:before="0" w:beforeAutospacing="0" w:after="0" w:afterAutospacing="0" w:line="360" w:lineRule="auto"/>
              <w:ind w:left="0" w:right="0" w:firstLine="456" w:firstLineChars="190"/>
              <w:jc w:val="left"/>
              <w:rPr>
                <w:rFonts w:hint="default"/>
                <w:color w:val="auto"/>
                <w:sz w:val="24"/>
                <w:szCs w:val="20"/>
              </w:rPr>
            </w:pPr>
            <w:r>
              <w:rPr>
                <w:rFonts w:hint="default"/>
                <w:color w:val="auto"/>
                <w:sz w:val="24"/>
                <w:szCs w:val="20"/>
              </w:rPr>
              <w:t>本项目营运期废气污染因子主要为非甲烷总烃</w:t>
            </w:r>
            <w:r>
              <w:rPr>
                <w:rFonts w:hint="eastAsia"/>
                <w:color w:val="auto"/>
                <w:sz w:val="24"/>
                <w:szCs w:val="20"/>
                <w:lang w:eastAsia="zh-CN"/>
              </w:rPr>
              <w:t>、</w:t>
            </w:r>
            <w:r>
              <w:rPr>
                <w:rFonts w:hint="eastAsia"/>
                <w:color w:val="auto"/>
                <w:sz w:val="24"/>
                <w:szCs w:val="20"/>
                <w:lang w:val="en-US" w:eastAsia="zh-CN"/>
              </w:rPr>
              <w:t>颗粒物、SO</w:t>
            </w:r>
            <w:r>
              <w:rPr>
                <w:rFonts w:hint="eastAsia"/>
                <w:color w:val="auto"/>
                <w:sz w:val="24"/>
                <w:szCs w:val="20"/>
                <w:vertAlign w:val="subscript"/>
                <w:lang w:val="en-US" w:eastAsia="zh-CN"/>
              </w:rPr>
              <w:t>2</w:t>
            </w:r>
            <w:r>
              <w:rPr>
                <w:rFonts w:hint="eastAsia"/>
                <w:color w:val="auto"/>
                <w:sz w:val="24"/>
                <w:szCs w:val="20"/>
                <w:lang w:val="en-US" w:eastAsia="zh-CN"/>
              </w:rPr>
              <w:t>、NOx</w:t>
            </w:r>
            <w:r>
              <w:rPr>
                <w:rFonts w:hint="default"/>
                <w:color w:val="auto"/>
                <w:sz w:val="24"/>
                <w:szCs w:val="20"/>
              </w:rPr>
              <w:t>不涉及持久性难降解挥发性有机物及重金属污染物，通过大气沉降对土壤造成影响很小。</w:t>
            </w:r>
          </w:p>
          <w:p w14:paraId="50910BC5">
            <w:pPr>
              <w:keepNext w:val="0"/>
              <w:keepLines w:val="0"/>
              <w:widowControl/>
              <w:suppressLineNumbers w:val="0"/>
              <w:spacing w:before="0" w:beforeAutospacing="0" w:after="0" w:afterAutospacing="0" w:line="360" w:lineRule="auto"/>
              <w:ind w:left="0" w:right="0" w:firstLine="456" w:firstLineChars="190"/>
              <w:jc w:val="left"/>
              <w:rPr>
                <w:rFonts w:hint="default"/>
                <w:color w:val="auto"/>
                <w:sz w:val="24"/>
                <w:szCs w:val="20"/>
              </w:rPr>
            </w:pPr>
            <w:r>
              <w:rPr>
                <w:rFonts w:hint="default"/>
                <w:color w:val="auto"/>
                <w:sz w:val="24"/>
                <w:szCs w:val="20"/>
              </w:rPr>
              <w:t>本项目</w:t>
            </w:r>
            <w:r>
              <w:rPr>
                <w:rFonts w:hint="eastAsia"/>
                <w:color w:val="auto"/>
                <w:sz w:val="24"/>
                <w:szCs w:val="20"/>
                <w:lang w:val="en-US" w:eastAsia="zh-CN"/>
              </w:rPr>
              <w:t>化学品仓库</w:t>
            </w:r>
            <w:r>
              <w:rPr>
                <w:rFonts w:hint="default"/>
                <w:color w:val="auto"/>
                <w:sz w:val="24"/>
                <w:szCs w:val="20"/>
              </w:rPr>
              <w:t>和危废暂存库采取防腐防渗措施，防止泄漏液体通过地表漫流或垂直入渗等途径进入土壤和地下水。</w:t>
            </w:r>
          </w:p>
          <w:p w14:paraId="427C0F9D">
            <w:pPr>
              <w:keepNext w:val="0"/>
              <w:keepLines w:val="0"/>
              <w:suppressLineNumbers w:val="0"/>
              <w:autoSpaceDE w:val="0"/>
              <w:spacing w:before="0" w:beforeAutospacing="0" w:after="0" w:afterAutospacing="0" w:line="360" w:lineRule="auto"/>
              <w:ind w:left="0" w:right="0" w:firstLine="480" w:firstLineChars="200"/>
              <w:rPr>
                <w:rFonts w:hint="default"/>
                <w:bCs/>
                <w:color w:val="auto"/>
                <w:kern w:val="1"/>
                <w:sz w:val="24"/>
              </w:rPr>
            </w:pPr>
            <w:r>
              <w:rPr>
                <w:rFonts w:hint="default"/>
                <w:color w:val="auto"/>
                <w:sz w:val="24"/>
                <w:szCs w:val="20"/>
              </w:rPr>
              <w:t>综上所述，本项目对区域土壤、地下水环境无明显污染途径，根据《建设项目环境影响报告表编制技术指南（污染影响类）（试行）》的要求，可不开展土壤、地下水环境质量现状调查</w:t>
            </w:r>
            <w:r>
              <w:rPr>
                <w:rFonts w:hint="default"/>
                <w:color w:val="auto"/>
                <w:sz w:val="24"/>
              </w:rPr>
              <w:t>。</w:t>
            </w:r>
          </w:p>
          <w:p w14:paraId="2C6FC99C">
            <w:pPr>
              <w:keepNext w:val="0"/>
              <w:keepLines w:val="0"/>
              <w:suppressLineNumbers w:val="0"/>
              <w:autoSpaceDE w:val="0"/>
              <w:spacing w:before="0" w:beforeAutospacing="0" w:after="0" w:afterAutospacing="0" w:line="360" w:lineRule="auto"/>
              <w:ind w:left="0" w:right="0" w:firstLine="482" w:firstLineChars="200"/>
              <w:rPr>
                <w:rFonts w:hint="default"/>
                <w:bCs/>
                <w:color w:val="auto"/>
                <w:kern w:val="1"/>
                <w:sz w:val="24"/>
              </w:rPr>
            </w:pPr>
            <w:r>
              <w:rPr>
                <w:rFonts w:hint="eastAsia"/>
                <w:b/>
                <w:color w:val="auto"/>
                <w:kern w:val="1"/>
                <w:sz w:val="24"/>
                <w:lang w:val="en-US" w:eastAsia="zh-CN"/>
              </w:rPr>
              <w:t>5</w:t>
            </w:r>
            <w:r>
              <w:rPr>
                <w:rFonts w:hint="default"/>
                <w:b/>
                <w:color w:val="auto"/>
                <w:kern w:val="1"/>
                <w:sz w:val="24"/>
              </w:rPr>
              <w:t>、生态环境质量现状</w:t>
            </w:r>
          </w:p>
          <w:p w14:paraId="57963BC3">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default"/>
                <w:color w:val="auto"/>
                <w:sz w:val="24"/>
              </w:rPr>
              <w:t>项目属于工业用地内，用地范围内不含生态环境保护目标，不涉及生态环境影响，故不需进行生态现状调查。</w:t>
            </w:r>
          </w:p>
          <w:p w14:paraId="397F9CBB">
            <w:pPr>
              <w:keepNext w:val="0"/>
              <w:keepLines w:val="0"/>
              <w:suppressLineNumbers w:val="0"/>
              <w:autoSpaceDE w:val="0"/>
              <w:spacing w:before="0" w:beforeAutospacing="0" w:after="0" w:afterAutospacing="0" w:line="360" w:lineRule="auto"/>
              <w:ind w:left="0" w:right="0" w:firstLine="482" w:firstLineChars="200"/>
              <w:rPr>
                <w:rFonts w:hint="default"/>
                <w:bCs/>
                <w:color w:val="auto"/>
                <w:kern w:val="1"/>
                <w:sz w:val="24"/>
              </w:rPr>
            </w:pPr>
            <w:r>
              <w:rPr>
                <w:rFonts w:hint="eastAsia"/>
                <w:b/>
                <w:color w:val="auto"/>
                <w:kern w:val="1"/>
                <w:sz w:val="24"/>
                <w:lang w:val="en-US" w:eastAsia="zh-CN"/>
              </w:rPr>
              <w:t>6</w:t>
            </w:r>
            <w:r>
              <w:rPr>
                <w:rFonts w:hint="default"/>
                <w:b/>
                <w:color w:val="auto"/>
                <w:kern w:val="1"/>
                <w:sz w:val="24"/>
              </w:rPr>
              <w:t>、电磁辐射环境质量现状</w:t>
            </w:r>
          </w:p>
          <w:p w14:paraId="40DAF4DF">
            <w:pPr>
              <w:keepNext w:val="0"/>
              <w:keepLines w:val="0"/>
              <w:suppressLineNumbers w:val="0"/>
              <w:adjustRightInd w:val="0"/>
              <w:snapToGrid w:val="0"/>
              <w:spacing w:before="0" w:beforeAutospacing="0" w:after="0" w:afterAutospacing="0" w:line="360" w:lineRule="auto"/>
              <w:ind w:left="0" w:right="0" w:firstLine="420"/>
              <w:jc w:val="left"/>
              <w:rPr>
                <w:rFonts w:hint="default"/>
                <w:color w:val="auto"/>
                <w:sz w:val="24"/>
              </w:rPr>
            </w:pPr>
            <w:r>
              <w:rPr>
                <w:rFonts w:hint="default"/>
                <w:color w:val="auto"/>
                <w:sz w:val="24"/>
              </w:rPr>
              <w:t>新建或改建、扩建广播电台、差转台、电视塔台、卫星地球上行站、雷达等电磁辐射类项目，应根据相关技术导则对项目电磁辐射现状开展监测与评价。</w:t>
            </w:r>
          </w:p>
          <w:p w14:paraId="64C90FC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highlight w:val="none"/>
              </w:rPr>
            </w:pPr>
            <w:r>
              <w:rPr>
                <w:rFonts w:hint="default" w:ascii="Times New Roman" w:hAnsi="Times New Roman" w:cs="Times New Roman"/>
                <w:bCs/>
                <w:color w:val="auto"/>
                <w:sz w:val="24"/>
              </w:rPr>
              <w:t>本项目不属于广播电台、差转台、电视塔台、卫星地球上行站、雷达等电磁辐射类项目，无需对电磁辐射现状开展监测与评价。</w:t>
            </w:r>
          </w:p>
        </w:tc>
      </w:tr>
      <w:tr w14:paraId="1453F1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3" w:type="dxa"/>
            <w:vAlign w:val="center"/>
          </w:tcPr>
          <w:p w14:paraId="1E468FE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环境</w:t>
            </w:r>
          </w:p>
          <w:p w14:paraId="2BAC6CD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保护</w:t>
            </w:r>
          </w:p>
          <w:p w14:paraId="2C94806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目标</w:t>
            </w:r>
          </w:p>
        </w:tc>
        <w:tc>
          <w:tcPr>
            <w:tcW w:w="8536" w:type="dxa"/>
            <w:vAlign w:val="center"/>
          </w:tcPr>
          <w:p w14:paraId="5E9EB10F">
            <w:pPr>
              <w:pStyle w:val="3"/>
              <w:keepNext w:val="0"/>
              <w:keepLines w:val="0"/>
              <w:numPr>
                <w:ilvl w:val="0"/>
                <w:numId w:val="16"/>
              </w:numPr>
              <w:suppressLineNumbers w:val="0"/>
              <w:spacing w:beforeAutospacing="0" w:after="0" w:afterAutospacing="0" w:line="360" w:lineRule="auto"/>
              <w:ind w:right="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大气环境</w:t>
            </w:r>
          </w:p>
          <w:p w14:paraId="54787BA9">
            <w:pPr>
              <w:pStyle w:val="9"/>
              <w:keepNext w:val="0"/>
              <w:keepLines w:val="0"/>
              <w:suppressLineNumbers w:val="0"/>
              <w:spacing w:before="0" w:beforeAutospacing="0" w:after="0" w:afterAutospacing="0" w:line="360" w:lineRule="auto"/>
              <w:ind w:left="0" w:leftChars="0" w:right="0" w:firstLine="480" w:firstLineChars="200"/>
              <w:jc w:val="left"/>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本项目位于</w:t>
            </w:r>
            <w:r>
              <w:rPr>
                <w:rFonts w:hint="eastAsia" w:cs="Times New Roman"/>
                <w:color w:val="auto"/>
                <w:szCs w:val="24"/>
                <w:highlight w:val="none"/>
                <w:lang w:eastAsia="zh-CN"/>
              </w:rPr>
              <w:t>安徽省芜湖市湾沚区新芜经济开发区芜屯快速通道3699号02幢2号厂房</w:t>
            </w:r>
            <w:r>
              <w:rPr>
                <w:rFonts w:hint="default" w:ascii="Times New Roman" w:hAnsi="Times New Roman" w:cs="Times New Roman"/>
                <w:color w:val="auto"/>
                <w:szCs w:val="24"/>
                <w:highlight w:val="none"/>
              </w:rPr>
              <w:t>，项目厂区四周均为工业企业和市政道路，</w:t>
            </w:r>
            <w:r>
              <w:rPr>
                <w:rFonts w:hint="default" w:ascii="Times New Roman" w:hAnsi="Times New Roman" w:cs="Times New Roman"/>
                <w:color w:val="auto"/>
                <w:sz w:val="24"/>
                <w:highlight w:val="none"/>
              </w:rPr>
              <w:t>项目</w:t>
            </w:r>
            <w:r>
              <w:rPr>
                <w:rFonts w:hint="eastAsia" w:cs="Times New Roman"/>
                <w:color w:val="auto"/>
                <w:sz w:val="24"/>
                <w:highlight w:val="none"/>
                <w:lang w:val="en-US" w:eastAsia="zh-CN"/>
              </w:rPr>
              <w:t>西侧31m有一敏感保护目标-安徽兴泰人才公寓，除此</w:t>
            </w:r>
            <w:r>
              <w:rPr>
                <w:rFonts w:hint="default" w:ascii="Times New Roman" w:hAnsi="Times New Roman" w:cs="Times New Roman"/>
                <w:color w:val="auto"/>
                <w:szCs w:val="24"/>
                <w:highlight w:val="none"/>
              </w:rPr>
              <w:t>厂界外500米范围内无自然保护区、风景名胜区、文化区、居住区保护目标。</w:t>
            </w:r>
          </w:p>
          <w:p w14:paraId="7549E80B">
            <w:pPr>
              <w:pStyle w:val="3"/>
              <w:keepNext w:val="0"/>
              <w:keepLines w:val="0"/>
              <w:numPr>
                <w:ilvl w:val="0"/>
                <w:numId w:val="17"/>
              </w:numPr>
              <w:suppressLineNumbers w:val="0"/>
              <w:spacing w:beforeAutospacing="0" w:after="0" w:afterAutospacing="0" w:line="360" w:lineRule="auto"/>
              <w:ind w:right="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声环境</w:t>
            </w:r>
          </w:p>
          <w:p w14:paraId="5F803A0E">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cs="Times New Roman"/>
                <w:b/>
                <w:color w:val="auto"/>
                <w:sz w:val="24"/>
                <w:szCs w:val="24"/>
                <w:highlight w:val="none"/>
              </w:rPr>
            </w:pPr>
            <w:r>
              <w:rPr>
                <w:rFonts w:hint="default" w:ascii="Times New Roman" w:hAnsi="Times New Roman" w:cs="Times New Roman"/>
                <w:color w:val="auto"/>
                <w:sz w:val="24"/>
                <w:szCs w:val="24"/>
                <w:highlight w:val="none"/>
              </w:rPr>
              <w:t>项目厂界外50m范围内无环境保护目标。</w:t>
            </w:r>
          </w:p>
          <w:p w14:paraId="2B120EB1">
            <w:pPr>
              <w:pStyle w:val="3"/>
              <w:keepNext w:val="0"/>
              <w:keepLines w:val="0"/>
              <w:numPr>
                <w:ilvl w:val="0"/>
                <w:numId w:val="17"/>
              </w:numPr>
              <w:suppressLineNumbers w:val="0"/>
              <w:spacing w:beforeAutospacing="0" w:after="0" w:afterAutospacing="0" w:line="360" w:lineRule="auto"/>
              <w:ind w:right="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地下水环境</w:t>
            </w:r>
          </w:p>
          <w:p w14:paraId="345B672B">
            <w:pPr>
              <w:keepNext w:val="0"/>
              <w:keepLines w:val="0"/>
              <w:suppressLineNumbers w:val="0"/>
              <w:spacing w:before="0" w:beforeAutospacing="0" w:after="0" w:afterAutospacing="0" w:line="360" w:lineRule="auto"/>
              <w:ind w:left="0" w:right="0" w:firstLine="472"/>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项目厂界外500米范围内无地下水集中式饮用水水源和热水、矿泉水、温泉等特殊地下水资源，无地下水环境保护目标。</w:t>
            </w:r>
          </w:p>
          <w:p w14:paraId="75C4641A">
            <w:pPr>
              <w:pStyle w:val="3"/>
              <w:keepNext w:val="0"/>
              <w:keepLines w:val="0"/>
              <w:numPr>
                <w:ilvl w:val="0"/>
                <w:numId w:val="17"/>
              </w:numPr>
              <w:suppressLineNumbers w:val="0"/>
              <w:spacing w:beforeAutospacing="0" w:after="0" w:afterAutospacing="0" w:line="360" w:lineRule="auto"/>
              <w:ind w:right="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生态环境</w:t>
            </w:r>
          </w:p>
          <w:p w14:paraId="4E727F4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本项目位于</w:t>
            </w:r>
            <w:r>
              <w:rPr>
                <w:rFonts w:hint="eastAsia" w:cs="Times New Roman"/>
                <w:color w:val="auto"/>
                <w:sz w:val="24"/>
                <w:highlight w:val="none"/>
                <w:lang w:eastAsia="zh-CN"/>
              </w:rPr>
              <w:t>安徽省芜湖市湾沚区新芜经济开发区芜屯快速通道3699号02幢2号厂房</w:t>
            </w:r>
            <w:r>
              <w:rPr>
                <w:rFonts w:hint="default" w:ascii="Times New Roman" w:hAnsi="Times New Roman" w:cs="Times New Roman"/>
                <w:color w:val="auto"/>
                <w:sz w:val="24"/>
                <w:highlight w:val="none"/>
              </w:rPr>
              <w:t>，属于开发区内建设用地，用地范围内不涉及生态环境保护目标。</w:t>
            </w:r>
          </w:p>
          <w:p w14:paraId="3D0D0167">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表3-</w:t>
            </w:r>
            <w:r>
              <w:rPr>
                <w:rFonts w:hint="eastAsia" w:cs="Times New Roman"/>
                <w:b/>
                <w:color w:val="auto"/>
                <w:sz w:val="24"/>
                <w:highlight w:val="none"/>
                <w:lang w:val="en-US" w:eastAsia="zh-CN"/>
              </w:rPr>
              <w:t>6</w:t>
            </w:r>
            <w:r>
              <w:rPr>
                <w:rFonts w:hint="default" w:ascii="Times New Roman" w:hAnsi="Times New Roman" w:cs="Times New Roman"/>
                <w:b/>
                <w:color w:val="auto"/>
                <w:sz w:val="24"/>
                <w:highlight w:val="none"/>
              </w:rPr>
              <w:t xml:space="preserve">  本项目主要环境保护目标一览表</w:t>
            </w:r>
          </w:p>
          <w:tbl>
            <w:tblPr>
              <w:tblStyle w:val="61"/>
              <w:tblW w:w="8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217"/>
              <w:gridCol w:w="660"/>
              <w:gridCol w:w="690"/>
              <w:gridCol w:w="825"/>
              <w:gridCol w:w="2602"/>
              <w:gridCol w:w="517"/>
              <w:gridCol w:w="1021"/>
            </w:tblGrid>
            <w:tr w14:paraId="562EE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restart"/>
                  <w:tcBorders>
                    <w:top w:val="single" w:color="auto" w:sz="4" w:space="0"/>
                    <w:left w:val="single" w:color="auto" w:sz="4" w:space="0"/>
                    <w:right w:val="single" w:color="auto" w:sz="6" w:space="0"/>
                  </w:tcBorders>
                  <w:vAlign w:val="center"/>
                </w:tcPr>
                <w:p w14:paraId="0BD5495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环境</w:t>
                  </w:r>
                </w:p>
              </w:tc>
              <w:tc>
                <w:tcPr>
                  <w:tcW w:w="1217" w:type="dxa"/>
                  <w:vMerge w:val="restart"/>
                  <w:tcBorders>
                    <w:top w:val="single" w:color="auto" w:sz="4" w:space="0"/>
                    <w:left w:val="single" w:color="auto" w:sz="4" w:space="0"/>
                    <w:bottom w:val="single" w:color="auto" w:sz="4" w:space="0"/>
                    <w:right w:val="single" w:color="auto" w:sz="6" w:space="0"/>
                  </w:tcBorders>
                  <w:vAlign w:val="center"/>
                </w:tcPr>
                <w:p w14:paraId="4C9BA72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名称</w:t>
                  </w:r>
                </w:p>
              </w:tc>
              <w:tc>
                <w:tcPr>
                  <w:tcW w:w="1350" w:type="dxa"/>
                  <w:gridSpan w:val="2"/>
                  <w:tcBorders>
                    <w:top w:val="single" w:color="auto" w:sz="4" w:space="0"/>
                    <w:left w:val="nil"/>
                    <w:bottom w:val="single" w:color="auto" w:sz="6" w:space="0"/>
                    <w:right w:val="single" w:color="auto" w:sz="4" w:space="0"/>
                  </w:tcBorders>
                  <w:vAlign w:val="center"/>
                </w:tcPr>
                <w:p w14:paraId="06D2FB36">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坐标/m</w:t>
                  </w:r>
                </w:p>
              </w:tc>
              <w:tc>
                <w:tcPr>
                  <w:tcW w:w="825" w:type="dxa"/>
                  <w:vMerge w:val="restart"/>
                  <w:tcBorders>
                    <w:top w:val="single" w:color="auto" w:sz="4" w:space="0"/>
                    <w:left w:val="nil"/>
                    <w:bottom w:val="single" w:color="auto" w:sz="4" w:space="0"/>
                    <w:right w:val="single" w:color="auto" w:sz="4" w:space="0"/>
                  </w:tcBorders>
                  <w:vAlign w:val="center"/>
                </w:tcPr>
                <w:p w14:paraId="376945F5">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保护内容</w:t>
                  </w:r>
                </w:p>
              </w:tc>
              <w:tc>
                <w:tcPr>
                  <w:tcW w:w="2602" w:type="dxa"/>
                  <w:vMerge w:val="restart"/>
                  <w:tcBorders>
                    <w:top w:val="single" w:color="auto" w:sz="4" w:space="0"/>
                    <w:left w:val="nil"/>
                    <w:right w:val="single" w:color="auto" w:sz="4" w:space="0"/>
                  </w:tcBorders>
                  <w:vAlign w:val="center"/>
                </w:tcPr>
                <w:p w14:paraId="4DEFED6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保护级别</w:t>
                  </w:r>
                </w:p>
              </w:tc>
              <w:tc>
                <w:tcPr>
                  <w:tcW w:w="517" w:type="dxa"/>
                  <w:vMerge w:val="restart"/>
                  <w:tcBorders>
                    <w:top w:val="single" w:color="auto" w:sz="4" w:space="0"/>
                    <w:left w:val="nil"/>
                    <w:bottom w:val="single" w:color="auto" w:sz="4" w:space="0"/>
                    <w:right w:val="single" w:color="auto" w:sz="6" w:space="0"/>
                  </w:tcBorders>
                  <w:vAlign w:val="center"/>
                </w:tcPr>
                <w:p w14:paraId="64540D7E">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方位</w:t>
                  </w:r>
                </w:p>
              </w:tc>
              <w:tc>
                <w:tcPr>
                  <w:tcW w:w="1021" w:type="dxa"/>
                  <w:vMerge w:val="restart"/>
                  <w:tcBorders>
                    <w:top w:val="single" w:color="auto" w:sz="4" w:space="0"/>
                    <w:left w:val="nil"/>
                    <w:bottom w:val="single" w:color="auto" w:sz="4" w:space="0"/>
                    <w:right w:val="single" w:color="auto" w:sz="4" w:space="0"/>
                  </w:tcBorders>
                  <w:vAlign w:val="center"/>
                </w:tcPr>
                <w:p w14:paraId="7DDA98C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距离</w:t>
                  </w:r>
                </w:p>
              </w:tc>
            </w:tr>
            <w:tr w14:paraId="71E07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continue"/>
                  <w:tcBorders>
                    <w:left w:val="single" w:color="auto" w:sz="4" w:space="0"/>
                    <w:bottom w:val="single" w:color="auto" w:sz="4" w:space="0"/>
                    <w:right w:val="single" w:color="auto" w:sz="6" w:space="0"/>
                  </w:tcBorders>
                  <w:vAlign w:val="center"/>
                </w:tcPr>
                <w:p w14:paraId="552F255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1217" w:type="dxa"/>
                  <w:vMerge w:val="continue"/>
                  <w:tcBorders>
                    <w:top w:val="single" w:color="auto" w:sz="4" w:space="0"/>
                    <w:left w:val="single" w:color="auto" w:sz="4" w:space="0"/>
                    <w:bottom w:val="single" w:color="auto" w:sz="4" w:space="0"/>
                    <w:right w:val="single" w:color="auto" w:sz="6" w:space="0"/>
                  </w:tcBorders>
                  <w:vAlign w:val="center"/>
                </w:tcPr>
                <w:p w14:paraId="277984BF">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660" w:type="dxa"/>
                  <w:tcBorders>
                    <w:top w:val="single" w:color="auto" w:sz="6" w:space="0"/>
                    <w:left w:val="nil"/>
                    <w:bottom w:val="single" w:color="auto" w:sz="4" w:space="0"/>
                    <w:right w:val="single" w:color="auto" w:sz="4" w:space="0"/>
                  </w:tcBorders>
                  <w:vAlign w:val="center"/>
                </w:tcPr>
                <w:p w14:paraId="70AE84F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X</w:t>
                  </w:r>
                </w:p>
              </w:tc>
              <w:tc>
                <w:tcPr>
                  <w:tcW w:w="690" w:type="dxa"/>
                  <w:tcBorders>
                    <w:top w:val="single" w:color="auto" w:sz="6" w:space="0"/>
                    <w:left w:val="single" w:color="auto" w:sz="6" w:space="0"/>
                    <w:bottom w:val="single" w:color="auto" w:sz="4" w:space="0"/>
                    <w:right w:val="single" w:color="auto" w:sz="4" w:space="0"/>
                  </w:tcBorders>
                  <w:vAlign w:val="center"/>
                </w:tcPr>
                <w:p w14:paraId="422B0FAB">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Y</w:t>
                  </w:r>
                </w:p>
              </w:tc>
              <w:tc>
                <w:tcPr>
                  <w:tcW w:w="825" w:type="dxa"/>
                  <w:vMerge w:val="continue"/>
                  <w:tcBorders>
                    <w:top w:val="single" w:color="auto" w:sz="4" w:space="0"/>
                    <w:left w:val="nil"/>
                    <w:bottom w:val="single" w:color="auto" w:sz="4" w:space="0"/>
                    <w:right w:val="single" w:color="auto" w:sz="4" w:space="0"/>
                  </w:tcBorders>
                  <w:vAlign w:val="center"/>
                </w:tcPr>
                <w:p w14:paraId="402F45BC">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2602" w:type="dxa"/>
                  <w:vMerge w:val="continue"/>
                  <w:tcBorders>
                    <w:left w:val="nil"/>
                    <w:bottom w:val="single" w:color="auto" w:sz="4" w:space="0"/>
                    <w:right w:val="single" w:color="auto" w:sz="4" w:space="0"/>
                  </w:tcBorders>
                  <w:vAlign w:val="center"/>
                </w:tcPr>
                <w:p w14:paraId="31828EFB">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517" w:type="dxa"/>
                  <w:vMerge w:val="continue"/>
                  <w:tcBorders>
                    <w:top w:val="single" w:color="auto" w:sz="4" w:space="0"/>
                    <w:left w:val="nil"/>
                    <w:bottom w:val="single" w:color="auto" w:sz="4" w:space="0"/>
                    <w:right w:val="single" w:color="auto" w:sz="6" w:space="0"/>
                  </w:tcBorders>
                  <w:vAlign w:val="center"/>
                </w:tcPr>
                <w:p w14:paraId="4C1EB2C5">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1021" w:type="dxa"/>
                  <w:vMerge w:val="continue"/>
                  <w:tcBorders>
                    <w:top w:val="single" w:color="auto" w:sz="4" w:space="0"/>
                    <w:left w:val="nil"/>
                    <w:bottom w:val="single" w:color="auto" w:sz="4" w:space="0"/>
                    <w:right w:val="single" w:color="auto" w:sz="4" w:space="0"/>
                  </w:tcBorders>
                  <w:vAlign w:val="center"/>
                </w:tcPr>
                <w:p w14:paraId="512AC2F8">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r>
            <w:tr w14:paraId="01E54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7" w:type="dxa"/>
                  <w:tcBorders>
                    <w:top w:val="single" w:color="auto" w:sz="4" w:space="0"/>
                    <w:left w:val="single" w:color="auto" w:sz="4" w:space="0"/>
                    <w:bottom w:val="single" w:color="auto" w:sz="4" w:space="0"/>
                    <w:right w:val="single" w:color="auto" w:sz="6" w:space="0"/>
                  </w:tcBorders>
                  <w:vAlign w:val="center"/>
                </w:tcPr>
                <w:p w14:paraId="655EE204">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w:t>
                  </w:r>
                </w:p>
                <w:p w14:paraId="7038679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w:t>
                  </w:r>
                </w:p>
              </w:tc>
              <w:tc>
                <w:tcPr>
                  <w:tcW w:w="1217" w:type="dxa"/>
                  <w:tcBorders>
                    <w:top w:val="single" w:color="auto" w:sz="4" w:space="0"/>
                    <w:left w:val="single" w:color="auto" w:sz="4" w:space="0"/>
                    <w:bottom w:val="single" w:color="auto" w:sz="4" w:space="0"/>
                    <w:right w:val="single" w:color="auto" w:sz="6" w:space="0"/>
                  </w:tcBorders>
                  <w:vAlign w:val="center"/>
                </w:tcPr>
                <w:p w14:paraId="21F0CA0F">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安徽兴泰人才公寓</w:t>
                  </w:r>
                </w:p>
              </w:tc>
              <w:tc>
                <w:tcPr>
                  <w:tcW w:w="660" w:type="dxa"/>
                  <w:tcBorders>
                    <w:top w:val="single" w:color="auto" w:sz="6" w:space="0"/>
                    <w:left w:val="nil"/>
                    <w:bottom w:val="single" w:color="auto" w:sz="6" w:space="0"/>
                    <w:right w:val="single" w:color="auto" w:sz="4" w:space="0"/>
                  </w:tcBorders>
                  <w:vAlign w:val="center"/>
                </w:tcPr>
                <w:p w14:paraId="00449EA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-31</w:t>
                  </w:r>
                </w:p>
              </w:tc>
              <w:tc>
                <w:tcPr>
                  <w:tcW w:w="690" w:type="dxa"/>
                  <w:tcBorders>
                    <w:top w:val="single" w:color="auto" w:sz="6" w:space="0"/>
                    <w:left w:val="single" w:color="auto" w:sz="6" w:space="0"/>
                    <w:bottom w:val="single" w:color="auto" w:sz="6" w:space="0"/>
                    <w:right w:val="single" w:color="auto" w:sz="4" w:space="0"/>
                  </w:tcBorders>
                  <w:vAlign w:val="center"/>
                </w:tcPr>
                <w:p w14:paraId="414FD268">
                  <w:pPr>
                    <w:keepNext w:val="0"/>
                    <w:keepLines w:val="0"/>
                    <w:suppressLineNumbers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0</w:t>
                  </w:r>
                </w:p>
              </w:tc>
              <w:tc>
                <w:tcPr>
                  <w:tcW w:w="825" w:type="dxa"/>
                  <w:tcBorders>
                    <w:top w:val="single" w:color="auto" w:sz="4" w:space="0"/>
                    <w:left w:val="nil"/>
                    <w:bottom w:val="single" w:color="auto" w:sz="4" w:space="0"/>
                    <w:right w:val="single" w:color="auto" w:sz="4" w:space="0"/>
                  </w:tcBorders>
                  <w:vAlign w:val="center"/>
                </w:tcPr>
                <w:p w14:paraId="24DE1397">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50户150人</w:t>
                  </w:r>
                </w:p>
              </w:tc>
              <w:tc>
                <w:tcPr>
                  <w:tcW w:w="2602" w:type="dxa"/>
                  <w:tcBorders>
                    <w:left w:val="nil"/>
                    <w:right w:val="single" w:color="auto" w:sz="4" w:space="0"/>
                  </w:tcBorders>
                  <w:vAlign w:val="center"/>
                </w:tcPr>
                <w:p w14:paraId="24411EAD">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color w:val="auto"/>
                      <w:sz w:val="21"/>
                      <w:szCs w:val="21"/>
                    </w:rPr>
                    <w:t>《环境空气质量标准》（GB3095-2012）及2018年修改单中二级标准</w:t>
                  </w:r>
                  <w:r>
                    <w:rPr>
                      <w:rFonts w:hint="default"/>
                      <w:sz w:val="21"/>
                      <w:szCs w:val="21"/>
                    </w:rPr>
                    <w:commentReference w:id="27"/>
                  </w:r>
                </w:p>
              </w:tc>
              <w:tc>
                <w:tcPr>
                  <w:tcW w:w="517" w:type="dxa"/>
                  <w:tcBorders>
                    <w:top w:val="single" w:color="auto" w:sz="4" w:space="0"/>
                    <w:left w:val="nil"/>
                    <w:bottom w:val="single" w:color="auto" w:sz="4" w:space="0"/>
                    <w:right w:val="single" w:color="auto" w:sz="6" w:space="0"/>
                  </w:tcBorders>
                  <w:vAlign w:val="center"/>
                </w:tcPr>
                <w:p w14:paraId="2DA99185">
                  <w:pPr>
                    <w:keepNext w:val="0"/>
                    <w:keepLines w:val="0"/>
                    <w:suppressLineNumbers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W</w:t>
                  </w:r>
                </w:p>
              </w:tc>
              <w:tc>
                <w:tcPr>
                  <w:tcW w:w="1021" w:type="dxa"/>
                  <w:tcBorders>
                    <w:top w:val="single" w:color="auto" w:sz="4" w:space="0"/>
                    <w:left w:val="nil"/>
                    <w:bottom w:val="single" w:color="auto" w:sz="4" w:space="0"/>
                    <w:right w:val="single" w:color="auto" w:sz="4" w:space="0"/>
                  </w:tcBorders>
                  <w:vAlign w:val="center"/>
                </w:tcPr>
                <w:p w14:paraId="44E0D947">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31m</w:t>
                  </w:r>
                </w:p>
              </w:tc>
            </w:tr>
            <w:tr w14:paraId="1C896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07" w:type="dxa"/>
                  <w:vMerge w:val="restart"/>
                  <w:tcBorders>
                    <w:top w:val="single" w:color="auto" w:sz="4" w:space="0"/>
                    <w:left w:val="single" w:color="auto" w:sz="4" w:space="0"/>
                    <w:right w:val="single" w:color="auto" w:sz="6" w:space="0"/>
                  </w:tcBorders>
                  <w:shd w:val="clear" w:color="auto" w:fill="auto"/>
                  <w:vAlign w:val="center"/>
                </w:tcPr>
                <w:p w14:paraId="0478397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地表水环境</w:t>
                  </w:r>
                </w:p>
              </w:tc>
              <w:tc>
                <w:tcPr>
                  <w:tcW w:w="25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29C50A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长江</w:t>
                  </w:r>
                </w:p>
              </w:tc>
              <w:tc>
                <w:tcPr>
                  <w:tcW w:w="825" w:type="dxa"/>
                  <w:tcBorders>
                    <w:top w:val="single" w:color="auto" w:sz="4" w:space="0"/>
                    <w:left w:val="nil"/>
                    <w:bottom w:val="single" w:color="auto" w:sz="4" w:space="0"/>
                    <w:right w:val="single" w:color="auto" w:sz="4" w:space="0"/>
                  </w:tcBorders>
                  <w:shd w:val="clear" w:color="auto" w:fill="auto"/>
                  <w:vAlign w:val="center"/>
                </w:tcPr>
                <w:p w14:paraId="2A21541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大型</w:t>
                  </w:r>
                </w:p>
              </w:tc>
              <w:tc>
                <w:tcPr>
                  <w:tcW w:w="2602" w:type="dxa"/>
                  <w:vMerge w:val="restart"/>
                  <w:tcBorders>
                    <w:left w:val="nil"/>
                    <w:right w:val="single" w:color="auto" w:sz="4" w:space="0"/>
                  </w:tcBorders>
                  <w:shd w:val="clear" w:color="auto" w:fill="auto"/>
                </w:tcPr>
                <w:p w14:paraId="07F1680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kern w:val="0"/>
                      <w:sz w:val="21"/>
                      <w:szCs w:val="21"/>
                      <w:highlight w:val="none"/>
                    </w:rPr>
                    <w:t>《地表水环境质量标准》（GB3838-2002）Ⅲ类</w:t>
                  </w:r>
                </w:p>
              </w:tc>
              <w:tc>
                <w:tcPr>
                  <w:tcW w:w="517" w:type="dxa"/>
                  <w:tcBorders>
                    <w:top w:val="single" w:color="auto" w:sz="4" w:space="0"/>
                    <w:left w:val="nil"/>
                    <w:bottom w:val="single" w:color="auto" w:sz="4" w:space="0"/>
                    <w:right w:val="single" w:color="auto" w:sz="6" w:space="0"/>
                  </w:tcBorders>
                  <w:shd w:val="clear" w:color="auto" w:fill="auto"/>
                  <w:vAlign w:val="center"/>
                </w:tcPr>
                <w:p w14:paraId="3EF3CA04">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w:t>
                  </w:r>
                </w:p>
              </w:tc>
              <w:tc>
                <w:tcPr>
                  <w:tcW w:w="1021" w:type="dxa"/>
                  <w:tcBorders>
                    <w:top w:val="single" w:color="auto" w:sz="4" w:space="0"/>
                    <w:left w:val="nil"/>
                    <w:bottom w:val="single" w:color="auto" w:sz="4" w:space="0"/>
                    <w:right w:val="single" w:color="auto" w:sz="4" w:space="0"/>
                  </w:tcBorders>
                  <w:shd w:val="clear" w:color="auto" w:fill="auto"/>
                  <w:vAlign w:val="center"/>
                </w:tcPr>
                <w:p w14:paraId="731CA774">
                  <w:pPr>
                    <w:keepNext w:val="0"/>
                    <w:keepLines w:val="0"/>
                    <w:suppressLineNumbers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25.73km</w:t>
                  </w:r>
                </w:p>
              </w:tc>
            </w:tr>
            <w:tr w14:paraId="19677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707" w:type="dxa"/>
                  <w:vMerge w:val="continue"/>
                  <w:tcBorders>
                    <w:left w:val="single" w:color="auto" w:sz="4" w:space="0"/>
                    <w:right w:val="single" w:color="auto" w:sz="6" w:space="0"/>
                  </w:tcBorders>
                </w:tcPr>
                <w:p w14:paraId="501CB6F4">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2567" w:type="dxa"/>
                  <w:gridSpan w:val="3"/>
                  <w:shd w:val="clear" w:color="auto" w:fill="auto"/>
                  <w:vAlign w:val="center"/>
                </w:tcPr>
                <w:p w14:paraId="3CAC1644">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裘公河</w:t>
                  </w:r>
                </w:p>
              </w:tc>
              <w:tc>
                <w:tcPr>
                  <w:tcW w:w="825" w:type="dxa"/>
                  <w:shd w:val="clear" w:color="auto" w:fill="auto"/>
                  <w:vAlign w:val="center"/>
                </w:tcPr>
                <w:p w14:paraId="761C5F6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小型</w:t>
                  </w:r>
                </w:p>
              </w:tc>
              <w:tc>
                <w:tcPr>
                  <w:tcW w:w="2602" w:type="dxa"/>
                  <w:vMerge w:val="continue"/>
                  <w:tcBorders>
                    <w:left w:val="nil"/>
                    <w:right w:val="single" w:color="auto" w:sz="4" w:space="0"/>
                  </w:tcBorders>
                  <w:shd w:val="clear" w:color="auto" w:fill="auto"/>
                  <w:vAlign w:val="center"/>
                </w:tcPr>
                <w:p w14:paraId="3A799CC5">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517" w:type="dxa"/>
                  <w:shd w:val="clear" w:color="auto" w:fill="auto"/>
                  <w:vAlign w:val="center"/>
                </w:tcPr>
                <w:p w14:paraId="5343C7E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NE</w:t>
                  </w:r>
                </w:p>
              </w:tc>
              <w:tc>
                <w:tcPr>
                  <w:tcW w:w="1021" w:type="dxa"/>
                  <w:shd w:val="clear" w:color="auto" w:fill="auto"/>
                  <w:vAlign w:val="center"/>
                </w:tcPr>
                <w:p w14:paraId="364177A6">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7.54km</w:t>
                  </w:r>
                </w:p>
              </w:tc>
            </w:tr>
            <w:tr w14:paraId="0C5F1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continue"/>
                  <w:tcBorders>
                    <w:left w:val="single" w:color="auto" w:sz="4" w:space="0"/>
                    <w:right w:val="single" w:color="auto" w:sz="6" w:space="0"/>
                  </w:tcBorders>
                </w:tcPr>
                <w:p w14:paraId="7A4074B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p>
              </w:tc>
              <w:tc>
                <w:tcPr>
                  <w:tcW w:w="2567" w:type="dxa"/>
                  <w:gridSpan w:val="3"/>
                  <w:shd w:val="clear" w:color="auto" w:fill="auto"/>
                  <w:vAlign w:val="center"/>
                </w:tcPr>
                <w:p w14:paraId="2ADF47FD">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汪溪坝撇洪沟</w:t>
                  </w:r>
                </w:p>
              </w:tc>
              <w:tc>
                <w:tcPr>
                  <w:tcW w:w="825" w:type="dxa"/>
                  <w:shd w:val="clear" w:color="auto" w:fill="auto"/>
                  <w:vAlign w:val="center"/>
                </w:tcPr>
                <w:p w14:paraId="35FDAD0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小型</w:t>
                  </w:r>
                </w:p>
              </w:tc>
              <w:tc>
                <w:tcPr>
                  <w:tcW w:w="2602" w:type="dxa"/>
                  <w:tcBorders>
                    <w:left w:val="nil"/>
                    <w:right w:val="single" w:color="auto" w:sz="4" w:space="0"/>
                  </w:tcBorders>
                  <w:shd w:val="clear" w:color="auto" w:fill="auto"/>
                </w:tcPr>
                <w:p w14:paraId="4751AD14">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《地表水环境质量标准》（GB3838-2002）Ⅳ类</w:t>
                  </w:r>
                </w:p>
              </w:tc>
              <w:tc>
                <w:tcPr>
                  <w:tcW w:w="517" w:type="dxa"/>
                  <w:shd w:val="clear" w:color="auto" w:fill="auto"/>
                  <w:vAlign w:val="center"/>
                </w:tcPr>
                <w:p w14:paraId="57D0D468">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E</w:t>
                  </w:r>
                </w:p>
              </w:tc>
              <w:tc>
                <w:tcPr>
                  <w:tcW w:w="1021" w:type="dxa"/>
                  <w:shd w:val="clear" w:color="auto" w:fill="auto"/>
                  <w:vAlign w:val="center"/>
                </w:tcPr>
                <w:p w14:paraId="0E42F01E">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480m</w:t>
                  </w:r>
                </w:p>
              </w:tc>
            </w:tr>
            <w:tr w14:paraId="54D0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7" w:type="dxa"/>
                  <w:shd w:val="clear" w:color="auto" w:fill="auto"/>
                  <w:vAlign w:val="center"/>
                </w:tcPr>
                <w:p w14:paraId="1840929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声环境</w:t>
                  </w:r>
                </w:p>
              </w:tc>
              <w:tc>
                <w:tcPr>
                  <w:tcW w:w="2567" w:type="dxa"/>
                  <w:gridSpan w:val="3"/>
                  <w:shd w:val="clear" w:color="auto" w:fill="auto"/>
                  <w:vAlign w:val="center"/>
                </w:tcPr>
                <w:p w14:paraId="3D773A9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eastAsia="宋体" w:cs="Times New Roman"/>
                      <w:color w:val="000000" w:themeColor="text1"/>
                      <w:sz w:val="21"/>
                      <w:szCs w:val="21"/>
                      <w14:textFill>
                        <w14:solidFill>
                          <w14:schemeClr w14:val="tx1"/>
                        </w14:solidFill>
                      </w14:textFill>
                    </w:rPr>
                    <w:t>厂界</w:t>
                  </w:r>
                </w:p>
              </w:tc>
              <w:tc>
                <w:tcPr>
                  <w:tcW w:w="825" w:type="dxa"/>
                  <w:shd w:val="clear" w:color="auto" w:fill="auto"/>
                  <w:vAlign w:val="center"/>
                </w:tcPr>
                <w:p w14:paraId="504D99B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2602" w:type="dxa"/>
                  <w:shd w:val="clear" w:color="auto" w:fill="auto"/>
                  <w:vAlign w:val="center"/>
                </w:tcPr>
                <w:p w14:paraId="332E7F4B">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kern w:val="0"/>
                      <w:sz w:val="21"/>
                      <w:szCs w:val="21"/>
                      <w:highlight w:val="none"/>
                    </w:rPr>
                    <w:t>《声环境质量标准》（GB3096-2008）3类标准</w:t>
                  </w:r>
                </w:p>
              </w:tc>
              <w:tc>
                <w:tcPr>
                  <w:tcW w:w="517" w:type="dxa"/>
                  <w:shd w:val="clear" w:color="auto" w:fill="auto"/>
                  <w:vAlign w:val="center"/>
                </w:tcPr>
                <w:p w14:paraId="3831828E">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1021" w:type="dxa"/>
                  <w:shd w:val="clear" w:color="auto" w:fill="auto"/>
                  <w:vAlign w:val="center"/>
                </w:tcPr>
                <w:p w14:paraId="523CB026">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1m</w:t>
                  </w:r>
                </w:p>
              </w:tc>
            </w:tr>
          </w:tbl>
          <w:p w14:paraId="1A06ECF9">
            <w:pPr>
              <w:pStyle w:val="34"/>
              <w:keepNext w:val="0"/>
              <w:keepLines w:val="0"/>
              <w:suppressLineNumbers w:val="0"/>
              <w:spacing w:before="0" w:beforeAutospacing="0" w:after="0" w:afterAutospacing="0"/>
              <w:ind w:left="0" w:right="0" w:firstLine="420" w:firstLineChars="200"/>
              <w:rPr>
                <w:rFonts w:hint="default" w:ascii="Times New Roman" w:hAnsi="Times New Roman" w:cs="Times New Roman"/>
                <w:color w:val="auto"/>
                <w:sz w:val="24"/>
                <w:highlight w:val="none"/>
              </w:rPr>
            </w:pPr>
            <w:r>
              <w:rPr>
                <w:rFonts w:hint="default" w:ascii="Times New Roman" w:hAnsi="Times New Roman" w:cs="Times New Roman"/>
                <w:color w:val="auto"/>
                <w:highlight w:val="none"/>
              </w:rPr>
              <w:t>注：本项目以厂址中心为坐标原点，正东为X轴正方向，正北为Y轴正方向，其中环境空气保护目标坐标取距离厂址最近点位位置。</w:t>
            </w:r>
          </w:p>
        </w:tc>
      </w:tr>
      <w:tr w14:paraId="24A1F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3" w:type="dxa"/>
            <w:tcMar>
              <w:left w:w="28" w:type="dxa"/>
              <w:right w:w="28" w:type="dxa"/>
            </w:tcMar>
            <w:vAlign w:val="center"/>
          </w:tcPr>
          <w:p w14:paraId="69FDF34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污染</w:t>
            </w:r>
          </w:p>
          <w:p w14:paraId="769D874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物排</w:t>
            </w:r>
          </w:p>
          <w:p w14:paraId="0341B3A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放控</w:t>
            </w:r>
          </w:p>
          <w:p w14:paraId="0A9DAC4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制标</w:t>
            </w:r>
          </w:p>
          <w:p w14:paraId="0CFBDBE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准</w:t>
            </w:r>
          </w:p>
        </w:tc>
        <w:tc>
          <w:tcPr>
            <w:tcW w:w="8536" w:type="dxa"/>
            <w:vAlign w:val="center"/>
          </w:tcPr>
          <w:p w14:paraId="7677F6F8">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kern w:val="0"/>
                <w:sz w:val="24"/>
                <w:szCs w:val="20"/>
                <w:highlight w:val="none"/>
              </w:rPr>
            </w:pPr>
            <w:r>
              <w:rPr>
                <w:rFonts w:hint="default" w:ascii="Times New Roman" w:hAnsi="Times New Roman" w:cs="Times New Roman"/>
                <w:b/>
                <w:color w:val="auto"/>
                <w:kern w:val="0"/>
                <w:sz w:val="24"/>
                <w:szCs w:val="20"/>
                <w:highlight w:val="none"/>
              </w:rPr>
              <w:t>1、废气</w:t>
            </w:r>
          </w:p>
          <w:p w14:paraId="6A58445D">
            <w:pPr>
              <w:keepNext w:val="0"/>
              <w:keepLines w:val="0"/>
              <w:suppressLineNumbers w:val="0"/>
              <w:spacing w:before="0" w:beforeAutospacing="0" w:after="0" w:afterAutospacing="0" w:line="360" w:lineRule="auto"/>
              <w:ind w:left="0" w:right="0" w:firstLine="480" w:firstLineChars="200"/>
              <w:rPr>
                <w:rFonts w:hint="default" w:cs="Times New Roman"/>
                <w:bCs/>
                <w:color w:val="auto"/>
                <w:szCs w:val="21"/>
                <w:highlight w:val="none"/>
                <w:lang w:val="en-US" w:eastAsia="zh-CN"/>
              </w:rPr>
            </w:pPr>
            <w:r>
              <w:rPr>
                <w:rFonts w:hint="default" w:ascii="Times New Roman" w:hAnsi="Times New Roman" w:cs="Times New Roman" w:eastAsiaTheme="minorEastAsia"/>
                <w:color w:val="000000" w:themeColor="text1"/>
                <w:kern w:val="0"/>
                <w:sz w:val="24"/>
                <w14:textFill>
                  <w14:solidFill>
                    <w14:schemeClr w14:val="tx1"/>
                  </w14:solidFill>
                </w14:textFill>
              </w:rPr>
              <w:t>①</w:t>
            </w:r>
            <w:r>
              <w:rPr>
                <w:rFonts w:hint="eastAsia" w:cs="Times New Roman" w:eastAsiaTheme="minorEastAsia"/>
                <w:color w:val="000000" w:themeColor="text1"/>
                <w:kern w:val="0"/>
                <w:sz w:val="24"/>
                <w:lang w:val="en-US" w:eastAsia="zh-CN"/>
                <w14:textFill>
                  <w14:solidFill>
                    <w14:schemeClr w14:val="tx1"/>
                  </w14:solidFill>
                </w14:textFill>
              </w:rPr>
              <w:t>项</w:t>
            </w:r>
            <w:r>
              <w:rPr>
                <w:rFonts w:hint="eastAsia" w:ascii="Times New Roman" w:hAnsi="Times New Roman" w:cs="Times New Roman" w:eastAsiaTheme="minorEastAsia"/>
                <w:color w:val="000000" w:themeColor="text1"/>
                <w:kern w:val="0"/>
                <w:sz w:val="24"/>
                <w:lang w:val="en-US" w:eastAsia="zh-CN"/>
                <w14:textFill>
                  <w14:solidFill>
                    <w14:schemeClr w14:val="tx1"/>
                  </w14:solidFill>
                </w14:textFill>
              </w:rPr>
              <w:t>目人工去毛刺</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lang w:val="en-US" w:eastAsia="zh-CN"/>
                <w14:textFill>
                  <w14:solidFill>
                    <w14:schemeClr w14:val="tx1"/>
                  </w14:solidFill>
                </w14:textFill>
              </w:rPr>
              <w:t>打磨</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lang w:val="en-US" w:eastAsia="zh-CN"/>
                <w14:textFill>
                  <w14:solidFill>
                    <w14:schemeClr w14:val="tx1"/>
                  </w14:solidFill>
                </w14:textFill>
              </w:rPr>
              <w:t>喷砂</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lang w:val="en-US" w:eastAsia="zh-CN"/>
                <w14:textFill>
                  <w14:solidFill>
                    <w14:schemeClr w14:val="tx1"/>
                  </w14:solidFill>
                </w14:textFill>
              </w:rPr>
              <w:t>抛丸</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lang w:val="en-US" w:eastAsia="zh-CN"/>
                <w14:textFill>
                  <w14:solidFill>
                    <w14:schemeClr w14:val="tx1"/>
                  </w14:solidFill>
                </w14:textFill>
              </w:rPr>
              <w:t>抛光</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lang w:val="en-US" w:eastAsia="zh-CN"/>
                <w14:textFill>
                  <w14:solidFill>
                    <w14:schemeClr w14:val="tx1"/>
                  </w14:solidFill>
                </w14:textFill>
              </w:rPr>
              <w:t>喷粉</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lang w:val="en-US" w:eastAsia="zh-CN"/>
                <w14:textFill>
                  <w14:solidFill>
                    <w14:schemeClr w14:val="tx1"/>
                  </w14:solidFill>
                </w14:textFill>
              </w:rPr>
              <w:t>喷漆</w:t>
            </w:r>
            <w:r>
              <w:rPr>
                <w:rFonts w:hint="default" w:ascii="Times New Roman" w:hAnsi="Times New Roman" w:cs="Times New Roman"/>
                <w:color w:val="000000" w:themeColor="text1"/>
                <w:sz w:val="24"/>
                <w14:textFill>
                  <w14:solidFill>
                    <w14:schemeClr w14:val="tx1"/>
                  </w14:solidFill>
                </w14:textFill>
              </w:rPr>
              <w:t>工序产生的颗粒物执行《大气污染物综合排放标准》（GB 16297-1996）表2中二级排放限值及无组织排放监控浓度限值；</w:t>
            </w:r>
          </w:p>
          <w:p w14:paraId="645135B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w:t>
            </w:r>
            <w:r>
              <w:rPr>
                <w:rFonts w:hint="default" w:ascii="Times New Roman" w:hAnsi="Times New Roman" w:cs="Times New Roman" w:eastAsiaTheme="minorEastAsia"/>
                <w:color w:val="000000" w:themeColor="text1"/>
                <w:kern w:val="0"/>
                <w:sz w:val="24"/>
                <w14:textFill>
                  <w14:solidFill>
                    <w14:schemeClr w14:val="tx1"/>
                  </w14:solidFill>
                </w14:textFill>
              </w:rPr>
              <w:t>项目</w:t>
            </w:r>
            <w:r>
              <w:rPr>
                <w:rFonts w:hint="default" w:ascii="Times New Roman" w:hAnsi="Times New Roman" w:cs="Times New Roman"/>
                <w:color w:val="000000" w:themeColor="text1"/>
                <w:kern w:val="0"/>
                <w:sz w:val="24"/>
                <w14:textFill>
                  <w14:solidFill>
                    <w14:schemeClr w14:val="tx1"/>
                  </w14:solidFill>
                </w14:textFill>
              </w:rPr>
              <w:t>调漆、</w:t>
            </w:r>
            <w:r>
              <w:rPr>
                <w:rFonts w:hint="default" w:ascii="Times New Roman" w:hAnsi="Times New Roman" w:cs="Times New Roman"/>
                <w:color w:val="000000" w:themeColor="text1"/>
                <w:kern w:val="0"/>
                <w:sz w:val="24"/>
                <w:lang w:eastAsia="zh-CN"/>
                <w14:textFill>
                  <w14:solidFill>
                    <w14:schemeClr w14:val="tx1"/>
                  </w14:solidFill>
                </w14:textFill>
              </w:rPr>
              <w:t>喷漆及</w:t>
            </w:r>
            <w:r>
              <w:rPr>
                <w:rFonts w:hint="default" w:ascii="Times New Roman" w:hAnsi="Times New Roman" w:cs="Times New Roman"/>
                <w:color w:val="000000" w:themeColor="text1"/>
                <w:kern w:val="0"/>
                <w:sz w:val="24"/>
                <w14:textFill>
                  <w14:solidFill>
                    <w14:schemeClr w14:val="tx1"/>
                  </w14:solidFill>
                </w14:textFill>
              </w:rPr>
              <w:t>喷枪清洗工序产生的有组织非甲烷总烃执行安徽省地方标准《固定源挥发性有机物综合排放标准第6部分：其他行业》（DB34/4812.6-2024）表1中的涉及表面涂装工业-汽车零部件制造的工业排放限值；无组织非甲烷总烃执行《大气污染物综合排放标准》（GB 16297-1996）表2中无组织排放监控浓度限值</w:t>
            </w:r>
            <w:r>
              <w:rPr>
                <w:rFonts w:hint="eastAsia" w:cs="Times New Roman"/>
                <w:color w:val="000000" w:themeColor="text1"/>
                <w:kern w:val="0"/>
                <w:sz w:val="24"/>
                <w:lang w:eastAsia="zh-CN"/>
                <w14:textFill>
                  <w14:solidFill>
                    <w14:schemeClr w14:val="tx1"/>
                  </w14:solidFill>
                </w14:textFill>
              </w:rPr>
              <w:t>；</w:t>
            </w:r>
          </w:p>
          <w:p w14:paraId="2C8DD35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cs="Times New Roman" w:eastAsiaTheme="minorEastAsia"/>
                <w:color w:val="000000" w:themeColor="text1"/>
                <w:kern w:val="0"/>
                <w:sz w:val="24"/>
                <w14:textFill>
                  <w14:solidFill>
                    <w14:schemeClr w14:val="tx1"/>
                  </w14:solidFill>
                </w14:textFill>
              </w:rPr>
              <w:t>③</w:t>
            </w:r>
            <w:r>
              <w:rPr>
                <w:rFonts w:hint="default" w:ascii="Times New Roman" w:hAnsi="Times New Roman" w:cs="Times New Roman"/>
                <w:color w:val="000000" w:themeColor="text1"/>
                <w:sz w:val="24"/>
                <w14:textFill>
                  <w14:solidFill>
                    <w14:schemeClr w14:val="tx1"/>
                  </w14:solidFill>
                </w14:textFill>
              </w:rPr>
              <w:t>项目</w:t>
            </w:r>
            <w:r>
              <w:rPr>
                <w:rFonts w:hint="eastAsia" w:cs="Times New Roman"/>
                <w:color w:val="000000" w:themeColor="text1"/>
                <w:sz w:val="24"/>
                <w:lang w:val="en-US" w:eastAsia="zh-CN"/>
                <w14:textFill>
                  <w14:solidFill>
                    <w14:schemeClr w14:val="tx1"/>
                  </w14:solidFill>
                </w14:textFill>
              </w:rPr>
              <w:t>喷粉</w:t>
            </w:r>
            <w:r>
              <w:rPr>
                <w:rFonts w:hint="default" w:ascii="Times New Roman" w:hAnsi="Times New Roman" w:cs="Times New Roman"/>
                <w:color w:val="000000" w:themeColor="text1"/>
                <w:sz w:val="24"/>
                <w14:textFill>
                  <w14:solidFill>
                    <w14:schemeClr w14:val="tx1"/>
                  </w14:solidFill>
                </w14:textFill>
              </w:rPr>
              <w:t>固化</w:t>
            </w:r>
            <w:r>
              <w:rPr>
                <w:rFonts w:hint="default"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喷漆烘干</w:t>
            </w:r>
            <w:r>
              <w:rPr>
                <w:rFonts w:hint="default" w:ascii="Times New Roman" w:hAnsi="Times New Roman" w:cs="Times New Roman"/>
                <w:color w:val="000000" w:themeColor="text1"/>
                <w:sz w:val="24"/>
                <w14:textFill>
                  <w14:solidFill>
                    <w14:schemeClr w14:val="tx1"/>
                  </w14:solidFill>
                </w14:textFill>
              </w:rPr>
              <w:t>工序产生的有组织非甲烷总烃执行</w:t>
            </w:r>
            <w:r>
              <w:rPr>
                <w:rFonts w:hint="default" w:ascii="Times New Roman" w:hAnsi="Times New Roman" w:cs="Times New Roman"/>
                <w:color w:val="000000" w:themeColor="text1"/>
                <w:kern w:val="0"/>
                <w:sz w:val="24"/>
                <w14:textFill>
                  <w14:solidFill>
                    <w14:schemeClr w14:val="tx1"/>
                  </w14:solidFill>
                </w14:textFill>
              </w:rPr>
              <w:t>安徽省地方标准</w:t>
            </w:r>
            <w:r>
              <w:rPr>
                <w:rFonts w:hint="default" w:ascii="Times New Roman" w:hAnsi="Times New Roman" w:cs="Times New Roman"/>
                <w:color w:val="000000" w:themeColor="text1"/>
                <w:sz w:val="24"/>
                <w14:textFill>
                  <w14:solidFill>
                    <w14:schemeClr w14:val="tx1"/>
                  </w14:solidFill>
                </w14:textFill>
              </w:rPr>
              <w:t>《固定源挥发性有机物综合排放标准第6部分：其他行业》（DB34/4812.6-2024）表1中的其他涉表面涂装工序的工业排放限值</w:t>
            </w:r>
            <w:r>
              <w:rPr>
                <w:rFonts w:hint="eastAsia" w:cs="Times New Roman"/>
                <w:color w:val="000000" w:themeColor="text1"/>
                <w:sz w:val="24"/>
                <w:lang w:val="en-US" w:eastAsia="zh-CN"/>
                <w14:textFill>
                  <w14:solidFill>
                    <w14:schemeClr w14:val="tx1"/>
                  </w14:solidFill>
                </w14:textFill>
              </w:rPr>
              <w:t>和</w:t>
            </w:r>
            <w:r>
              <w:rPr>
                <w:rFonts w:hint="default" w:ascii="Times New Roman" w:hAnsi="Times New Roman" w:cs="Times New Roman"/>
                <w:color w:val="000000" w:themeColor="text1"/>
                <w:kern w:val="0"/>
                <w:sz w:val="24"/>
                <w14:textFill>
                  <w14:solidFill>
                    <w14:schemeClr w14:val="tx1"/>
                  </w14:solidFill>
                </w14:textFill>
              </w:rPr>
              <w:t>表1中的涉及表面涂装工业-汽车零部件制造的工业排放限值</w:t>
            </w:r>
            <w:r>
              <w:rPr>
                <w:rFonts w:hint="default"/>
                <w:color w:val="auto"/>
                <w:sz w:val="24"/>
                <w:szCs w:val="20"/>
              </w:rPr>
              <w:t>中的较严值，经对比，</w:t>
            </w:r>
            <w:r>
              <w:rPr>
                <w:rFonts w:hint="eastAsia" w:cs="Times New Roman"/>
                <w:color w:val="000000" w:themeColor="text1"/>
                <w:sz w:val="24"/>
                <w:lang w:val="en-US" w:eastAsia="zh-CN"/>
                <w14:textFill>
                  <w14:solidFill>
                    <w14:schemeClr w14:val="tx1"/>
                  </w14:solidFill>
                </w14:textFill>
              </w:rPr>
              <w:t>喷粉</w:t>
            </w:r>
            <w:r>
              <w:rPr>
                <w:rFonts w:hint="default" w:ascii="Times New Roman" w:hAnsi="Times New Roman" w:cs="Times New Roman"/>
                <w:color w:val="000000" w:themeColor="text1"/>
                <w:sz w:val="24"/>
                <w14:textFill>
                  <w14:solidFill>
                    <w14:schemeClr w14:val="tx1"/>
                  </w14:solidFill>
                </w14:textFill>
              </w:rPr>
              <w:t>固化</w:t>
            </w:r>
            <w:r>
              <w:rPr>
                <w:rFonts w:hint="default"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喷漆烘干</w:t>
            </w:r>
            <w:r>
              <w:rPr>
                <w:rFonts w:hint="default" w:ascii="Times New Roman" w:hAnsi="Times New Roman" w:cs="Times New Roman"/>
                <w:color w:val="000000" w:themeColor="text1"/>
                <w:sz w:val="24"/>
                <w14:textFill>
                  <w14:solidFill>
                    <w14:schemeClr w14:val="tx1"/>
                  </w14:solidFill>
                </w14:textFill>
              </w:rPr>
              <w:t>工序产生的有组织非甲烷总烃执行</w:t>
            </w:r>
            <w:r>
              <w:rPr>
                <w:rFonts w:hint="default" w:ascii="Times New Roman" w:hAnsi="Times New Roman" w:cs="Times New Roman"/>
                <w:color w:val="000000" w:themeColor="text1"/>
                <w:kern w:val="0"/>
                <w:sz w:val="24"/>
                <w14:textFill>
                  <w14:solidFill>
                    <w14:schemeClr w14:val="tx1"/>
                  </w14:solidFill>
                </w14:textFill>
              </w:rPr>
              <w:t>安徽省地方标准《固定源挥发性有机物综合排放标准第6部分：其他行业》（DB34/4812.6-2024）表1中的涉及表面涂装工业-汽车零部件制造的工业排放限值；无组织非甲烷总烃执行《大气污染物综合排放标准》（GB 16297</w:t>
            </w:r>
            <w:r>
              <w:rPr>
                <w:rFonts w:hint="default" w:ascii="Times New Roman" w:hAnsi="Times New Roman" w:eastAsia="宋体" w:cs="Times New Roman"/>
                <w:color w:val="000000" w:themeColor="text1"/>
                <w:kern w:val="0"/>
                <w:sz w:val="24"/>
                <w14:textFill>
                  <w14:solidFill>
                    <w14:schemeClr w14:val="tx1"/>
                  </w14:solidFill>
                </w14:textFill>
              </w:rPr>
              <w:t>-1996）表2中无组织排放监控浓度限值；</w:t>
            </w:r>
          </w:p>
          <w:p w14:paraId="478A0DAA">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lang w:val="en-US" w:eastAsia="zh-CN"/>
                <w14:textFill>
                  <w14:solidFill>
                    <w14:schemeClr w14:val="tx1"/>
                  </w14:solidFill>
                </w14:textFill>
              </w:rPr>
              <w:t>④前</w:t>
            </w:r>
            <w:r>
              <w:rPr>
                <w:rFonts w:hint="eastAsia" w:cs="Times New Roman"/>
                <w:color w:val="000000" w:themeColor="text1"/>
                <w:kern w:val="0"/>
                <w:sz w:val="24"/>
                <w:lang w:val="en-US" w:eastAsia="zh-CN"/>
                <w14:textFill>
                  <w14:solidFill>
                    <w14:schemeClr w14:val="tx1"/>
                  </w14:solidFill>
                </w14:textFill>
              </w:rPr>
              <w:t>处理烘干天然气燃烧</w:t>
            </w:r>
            <w:r>
              <w:rPr>
                <w:rFonts w:hint="default"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喷漆烘干天然气燃烧</w:t>
            </w:r>
            <w:r>
              <w:rPr>
                <w:rFonts w:hint="default"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喷粉固化天然气燃烧工序产生</w:t>
            </w:r>
            <w:r>
              <w:rPr>
                <w:rFonts w:hint="eastAsia" w:ascii="Times New Roman" w:hAnsi="Times New Roman" w:cs="Times New Roman"/>
                <w:color w:val="000000" w:themeColor="text1"/>
                <w:kern w:val="0"/>
                <w:sz w:val="24"/>
                <w:szCs w:val="24"/>
                <w:lang w:val="en-US" w:eastAsia="zh-CN"/>
                <w14:textFill>
                  <w14:solidFill>
                    <w14:schemeClr w14:val="tx1"/>
                  </w14:solidFill>
                </w14:textFill>
              </w:rPr>
              <w:t>的</w:t>
            </w:r>
            <w:r>
              <w:rPr>
                <w:rFonts w:hint="eastAsia" w:cs="Times New Roman"/>
                <w:bCs/>
                <w:color w:val="auto"/>
                <w:sz w:val="24"/>
                <w:szCs w:val="24"/>
                <w:highlight w:val="none"/>
                <w:lang w:val="en-US" w:eastAsia="zh-CN"/>
              </w:rPr>
              <w:t>颗粒物、SO</w:t>
            </w:r>
            <w:r>
              <w:rPr>
                <w:rFonts w:hint="eastAsia" w:cs="Times New Roman"/>
                <w:bCs/>
                <w:color w:val="auto"/>
                <w:sz w:val="24"/>
                <w:szCs w:val="24"/>
                <w:highlight w:val="none"/>
                <w:vertAlign w:val="subscript"/>
                <w:lang w:val="en-US" w:eastAsia="zh-CN"/>
              </w:rPr>
              <w:t>2</w:t>
            </w:r>
            <w:r>
              <w:rPr>
                <w:rFonts w:hint="eastAsia" w:cs="Times New Roman"/>
                <w:bCs/>
                <w:color w:val="auto"/>
                <w:sz w:val="24"/>
                <w:szCs w:val="24"/>
                <w:highlight w:val="none"/>
                <w:lang w:val="en-US" w:eastAsia="zh-CN"/>
              </w:rPr>
              <w:t>、NOx</w:t>
            </w:r>
            <w:r>
              <w:rPr>
                <w:rFonts w:hint="default" w:ascii="Times New Roman" w:hAnsi="Times New Roman" w:cs="Times New Roman"/>
                <w:color w:val="000000" w:themeColor="text1"/>
                <w:kern w:val="0"/>
                <w:sz w:val="24"/>
                <w14:textFill>
                  <w14:solidFill>
                    <w14:schemeClr w14:val="tx1"/>
                  </w14:solidFill>
                </w14:textFill>
              </w:rPr>
              <w:t>执行</w:t>
            </w:r>
            <w:r>
              <w:rPr>
                <w:rFonts w:hint="default"/>
                <w:color w:val="auto"/>
                <w:sz w:val="24"/>
                <w:szCs w:val="20"/>
              </w:rPr>
              <w:t>《工业炉窑大气污染综合治理方案》（环大气[2019]56号）排放限值</w:t>
            </w:r>
            <w:r>
              <w:rPr>
                <w:rFonts w:hint="eastAsia"/>
                <w:color w:val="auto"/>
                <w:sz w:val="24"/>
                <w:szCs w:val="20"/>
                <w:lang w:eastAsia="zh-CN"/>
              </w:rPr>
              <w:t>；</w:t>
            </w:r>
          </w:p>
          <w:p w14:paraId="57F20E5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厂区内非甲烷总烃排放参照执行安徽省地方标准《固定源挥发性有机物合排放标准第6部分：其他行业》（DB34/4812.6-2024）表4。</w:t>
            </w:r>
          </w:p>
          <w:p w14:paraId="7C1C2578">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 w:val="24"/>
                <w:lang w:val="zh-CN"/>
                <w14:textFill>
                  <w14:solidFill>
                    <w14:schemeClr w14:val="tx1"/>
                  </w14:solidFill>
                </w14:textFill>
              </w:rPr>
            </w:pPr>
            <w:r>
              <w:rPr>
                <w:rFonts w:hint="default" w:ascii="Times New Roman" w:hAnsi="Times New Roman" w:cs="Times New Roman"/>
                <w:b/>
                <w:color w:val="000000" w:themeColor="text1"/>
                <w:sz w:val="24"/>
                <w:lang w:val="zh-CN"/>
                <w14:textFill>
                  <w14:solidFill>
                    <w14:schemeClr w14:val="tx1"/>
                  </w14:solidFill>
                </w14:textFill>
              </w:rPr>
              <w:t>表3-</w:t>
            </w:r>
            <w:r>
              <w:rPr>
                <w:rFonts w:hint="eastAsia" w:cs="Times New Roman"/>
                <w:b/>
                <w:color w:val="000000" w:themeColor="text1"/>
                <w:sz w:val="24"/>
                <w:lang w:val="en-US" w:eastAsia="zh-CN"/>
                <w14:textFill>
                  <w14:solidFill>
                    <w14:schemeClr w14:val="tx1"/>
                  </w14:solidFill>
                </w14:textFill>
              </w:rPr>
              <w:t>7</w:t>
            </w:r>
            <w:r>
              <w:rPr>
                <w:rFonts w:hint="default" w:ascii="Times New Roman" w:hAnsi="Times New Roman" w:cs="Times New Roman"/>
                <w:b/>
                <w:color w:val="000000" w:themeColor="text1"/>
                <w:sz w:val="24"/>
                <w14:textFill>
                  <w14:solidFill>
                    <w14:schemeClr w14:val="tx1"/>
                  </w14:solidFill>
                </w14:textFill>
              </w:rPr>
              <w:t xml:space="preserve"> </w:t>
            </w:r>
            <w:r>
              <w:rPr>
                <w:rFonts w:hint="default" w:ascii="Times New Roman" w:hAnsi="Times New Roman" w:cs="Times New Roman"/>
                <w:b/>
                <w:color w:val="000000" w:themeColor="text1"/>
                <w:sz w:val="24"/>
                <w:lang w:val="zh-CN"/>
                <w14:textFill>
                  <w14:solidFill>
                    <w14:schemeClr w14:val="tx1"/>
                  </w14:solidFill>
                </w14:textFill>
              </w:rPr>
              <w:t xml:space="preserve"> 项目废气污染物排放标准</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9"/>
              <w:gridCol w:w="735"/>
              <w:gridCol w:w="1404"/>
              <w:gridCol w:w="1005"/>
              <w:gridCol w:w="1095"/>
              <w:gridCol w:w="960"/>
              <w:gridCol w:w="2343"/>
            </w:tblGrid>
            <w:tr w14:paraId="21294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839" w:type="dxa"/>
                  <w:vMerge w:val="restart"/>
                  <w:vAlign w:val="center"/>
                </w:tcPr>
                <w:p w14:paraId="5ED669F2">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排放源</w:t>
                  </w:r>
                </w:p>
                <w:p w14:paraId="62AB64C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编号</w:t>
                  </w:r>
                </w:p>
              </w:tc>
              <w:tc>
                <w:tcPr>
                  <w:tcW w:w="735" w:type="dxa"/>
                  <w:vMerge w:val="restart"/>
                  <w:vAlign w:val="center"/>
                </w:tcPr>
                <w:p w14:paraId="6445BD12">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snapToGrid w:val="0"/>
                      <w:color w:val="000000" w:themeColor="text1"/>
                      <w:kern w:val="0"/>
                      <w:sz w:val="21"/>
                      <w:szCs w:val="21"/>
                      <w14:textFill>
                        <w14:solidFill>
                          <w14:schemeClr w14:val="tx1"/>
                        </w14:solidFill>
                      </w14:textFill>
                    </w:rPr>
                  </w:pPr>
                  <w:r>
                    <w:rPr>
                      <w:rFonts w:hint="default" w:ascii="Times New Roman" w:hAnsi="Times New Roman" w:cs="Times New Roman"/>
                      <w:b/>
                      <w:snapToGrid w:val="0"/>
                      <w:color w:val="000000" w:themeColor="text1"/>
                      <w:kern w:val="0"/>
                      <w:sz w:val="21"/>
                      <w:szCs w:val="21"/>
                      <w14:textFill>
                        <w14:solidFill>
                          <w14:schemeClr w14:val="tx1"/>
                        </w14:solidFill>
                      </w14:textFill>
                    </w:rPr>
                    <w:t>排气筒高度</w:t>
                  </w:r>
                </w:p>
              </w:tc>
              <w:tc>
                <w:tcPr>
                  <w:tcW w:w="1404" w:type="dxa"/>
                  <w:vMerge w:val="restart"/>
                  <w:vAlign w:val="center"/>
                </w:tcPr>
                <w:p w14:paraId="62733DC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snapToGrid w:val="0"/>
                      <w:color w:val="000000" w:themeColor="text1"/>
                      <w:kern w:val="0"/>
                      <w:sz w:val="21"/>
                      <w:szCs w:val="21"/>
                      <w14:textFill>
                        <w14:solidFill>
                          <w14:schemeClr w14:val="tx1"/>
                        </w14:solidFill>
                      </w14:textFill>
                    </w:rPr>
                    <w:t>污染源</w:t>
                  </w:r>
                </w:p>
              </w:tc>
              <w:tc>
                <w:tcPr>
                  <w:tcW w:w="1005" w:type="dxa"/>
                  <w:vMerge w:val="restart"/>
                  <w:vAlign w:val="center"/>
                </w:tcPr>
                <w:p w14:paraId="7A158D6C">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污染物</w:t>
                  </w:r>
                </w:p>
                <w:p w14:paraId="27DF66CA">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名称</w:t>
                  </w:r>
                </w:p>
              </w:tc>
              <w:tc>
                <w:tcPr>
                  <w:tcW w:w="2055" w:type="dxa"/>
                  <w:gridSpan w:val="2"/>
                  <w:vAlign w:val="center"/>
                </w:tcPr>
                <w:p w14:paraId="40772548">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有组织排放限值</w:t>
                  </w:r>
                </w:p>
              </w:tc>
              <w:tc>
                <w:tcPr>
                  <w:tcW w:w="2343" w:type="dxa"/>
                  <w:vMerge w:val="restart"/>
                  <w:vAlign w:val="center"/>
                </w:tcPr>
                <w:p w14:paraId="35DE0317">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标准来源</w:t>
                  </w:r>
                </w:p>
              </w:tc>
            </w:tr>
            <w:tr w14:paraId="4B07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839" w:type="dxa"/>
                  <w:vMerge w:val="continue"/>
                  <w:vAlign w:val="center"/>
                </w:tcPr>
                <w:p w14:paraId="48377038">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735" w:type="dxa"/>
                  <w:vMerge w:val="continue"/>
                  <w:vAlign w:val="center"/>
                </w:tcPr>
                <w:p w14:paraId="11D8FC1F">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404" w:type="dxa"/>
                  <w:vMerge w:val="continue"/>
                  <w:vAlign w:val="center"/>
                </w:tcPr>
                <w:p w14:paraId="4C4CFAB1">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005" w:type="dxa"/>
                  <w:vMerge w:val="continue"/>
                  <w:vAlign w:val="center"/>
                </w:tcPr>
                <w:p w14:paraId="403A3271">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095" w:type="dxa"/>
                  <w:vAlign w:val="center"/>
                </w:tcPr>
                <w:p w14:paraId="13ADE03C">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最高允许排放浓度（mg/m</w:t>
                  </w:r>
                  <w:r>
                    <w:rPr>
                      <w:rFonts w:hint="default" w:ascii="Times New Roman" w:hAnsi="Times New Roman" w:cs="Times New Roman"/>
                      <w:b/>
                      <w:color w:val="000000" w:themeColor="text1"/>
                      <w:kern w:val="0"/>
                      <w:sz w:val="21"/>
                      <w:szCs w:val="21"/>
                      <w:vertAlign w:val="superscript"/>
                      <w14:textFill>
                        <w14:solidFill>
                          <w14:schemeClr w14:val="tx1"/>
                        </w14:solidFill>
                      </w14:textFill>
                    </w:rPr>
                    <w:t>3</w:t>
                  </w:r>
                  <w:r>
                    <w:rPr>
                      <w:rFonts w:hint="default" w:ascii="Times New Roman" w:hAnsi="Times New Roman" w:cs="Times New Roman"/>
                      <w:b/>
                      <w:color w:val="000000" w:themeColor="text1"/>
                      <w:kern w:val="0"/>
                      <w:sz w:val="21"/>
                      <w:szCs w:val="21"/>
                      <w14:textFill>
                        <w14:solidFill>
                          <w14:schemeClr w14:val="tx1"/>
                        </w14:solidFill>
                      </w14:textFill>
                    </w:rPr>
                    <w:t>）</w:t>
                  </w:r>
                </w:p>
              </w:tc>
              <w:tc>
                <w:tcPr>
                  <w:tcW w:w="960" w:type="dxa"/>
                  <w:vAlign w:val="center"/>
                </w:tcPr>
                <w:p w14:paraId="108026B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最高允许排放速率（kg/h）</w:t>
                  </w:r>
                </w:p>
              </w:tc>
              <w:tc>
                <w:tcPr>
                  <w:tcW w:w="2343" w:type="dxa"/>
                  <w:vMerge w:val="continue"/>
                  <w:vAlign w:val="center"/>
                </w:tcPr>
                <w:p w14:paraId="1F59971E">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p>
              </w:tc>
            </w:tr>
            <w:tr w14:paraId="48802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7" w:hRule="atLeast"/>
                <w:jc w:val="center"/>
              </w:trPr>
              <w:tc>
                <w:tcPr>
                  <w:tcW w:w="839" w:type="dxa"/>
                  <w:vAlign w:val="center"/>
                </w:tcPr>
                <w:p w14:paraId="6A1FDBF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DA001</w:t>
                  </w:r>
                </w:p>
              </w:tc>
              <w:tc>
                <w:tcPr>
                  <w:tcW w:w="735" w:type="dxa"/>
                  <w:vAlign w:val="center"/>
                </w:tcPr>
                <w:p w14:paraId="63462E6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15m</w:t>
                  </w:r>
                </w:p>
              </w:tc>
              <w:tc>
                <w:tcPr>
                  <w:tcW w:w="1404" w:type="dxa"/>
                  <w:vAlign w:val="center"/>
                </w:tcPr>
                <w:p w14:paraId="166E1A0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人工去毛刺</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打磨</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喷砂</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抛丸</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抛光</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工序</w:t>
                  </w:r>
                </w:p>
              </w:tc>
              <w:tc>
                <w:tcPr>
                  <w:tcW w:w="1005" w:type="dxa"/>
                  <w:vMerge w:val="restart"/>
                  <w:shd w:val="clear" w:color="auto" w:fill="auto"/>
                  <w:vAlign w:val="center"/>
                </w:tcPr>
                <w:p w14:paraId="18EA4442">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颗粒物</w:t>
                  </w:r>
                </w:p>
              </w:tc>
              <w:tc>
                <w:tcPr>
                  <w:tcW w:w="1095" w:type="dxa"/>
                  <w:vMerge w:val="restart"/>
                  <w:shd w:val="clear" w:color="auto" w:fill="auto"/>
                  <w:vAlign w:val="center"/>
                </w:tcPr>
                <w:p w14:paraId="6E496227">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120</w:t>
                  </w:r>
                </w:p>
              </w:tc>
              <w:tc>
                <w:tcPr>
                  <w:tcW w:w="960" w:type="dxa"/>
                  <w:vMerge w:val="restart"/>
                  <w:shd w:val="clear" w:color="auto" w:fill="auto"/>
                  <w:vAlign w:val="center"/>
                </w:tcPr>
                <w:p w14:paraId="10476BA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3.5</w:t>
                  </w:r>
                </w:p>
              </w:tc>
              <w:tc>
                <w:tcPr>
                  <w:tcW w:w="2343" w:type="dxa"/>
                  <w:vMerge w:val="restart"/>
                  <w:shd w:val="clear" w:color="auto" w:fill="auto"/>
                  <w:vAlign w:val="center"/>
                </w:tcPr>
                <w:p w14:paraId="1EF8C3E6">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《大气污染物综合排放标准》（GB 16297-1996）表2</w:t>
                  </w:r>
                </w:p>
              </w:tc>
            </w:tr>
            <w:tr w14:paraId="7C833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839" w:type="dxa"/>
                  <w:vAlign w:val="center"/>
                </w:tcPr>
                <w:p w14:paraId="0E49F6FF">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DA00</w:t>
                  </w:r>
                  <w:r>
                    <w:rPr>
                      <w:rFonts w:hint="eastAsia" w:ascii="Times New Roman" w:hAnsi="Times New Roman" w:cs="Times New Roman"/>
                      <w:color w:val="000000" w:themeColor="text1"/>
                      <w:kern w:val="0"/>
                      <w:sz w:val="21"/>
                      <w:szCs w:val="21"/>
                      <w:lang w:val="en-US" w:eastAsia="zh-CN"/>
                      <w14:textFill>
                        <w14:solidFill>
                          <w14:schemeClr w14:val="tx1"/>
                        </w14:solidFill>
                      </w14:textFill>
                    </w:rPr>
                    <w:t>4</w:t>
                  </w:r>
                </w:p>
              </w:tc>
              <w:tc>
                <w:tcPr>
                  <w:tcW w:w="735" w:type="dxa"/>
                  <w:shd w:val="clear" w:color="auto" w:fill="auto"/>
                  <w:vAlign w:val="center"/>
                </w:tcPr>
                <w:p w14:paraId="62C1E4C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15m</w:t>
                  </w:r>
                </w:p>
              </w:tc>
              <w:tc>
                <w:tcPr>
                  <w:tcW w:w="1404" w:type="dxa"/>
                  <w:vAlign w:val="center"/>
                </w:tcPr>
                <w:p w14:paraId="433907E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喷粉</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工序</w:t>
                  </w:r>
                </w:p>
              </w:tc>
              <w:tc>
                <w:tcPr>
                  <w:tcW w:w="1005" w:type="dxa"/>
                  <w:vMerge w:val="continue"/>
                  <w:shd w:val="clear" w:color="auto" w:fill="auto"/>
                  <w:vAlign w:val="center"/>
                </w:tcPr>
                <w:p w14:paraId="4EB342ED">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1095" w:type="dxa"/>
                  <w:vMerge w:val="continue"/>
                  <w:shd w:val="clear" w:color="auto" w:fill="auto"/>
                  <w:vAlign w:val="center"/>
                </w:tcPr>
                <w:p w14:paraId="44A1A1C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960" w:type="dxa"/>
                  <w:vMerge w:val="continue"/>
                  <w:shd w:val="clear" w:color="auto" w:fill="auto"/>
                  <w:vAlign w:val="center"/>
                </w:tcPr>
                <w:p w14:paraId="0A372963">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2343" w:type="dxa"/>
                  <w:vMerge w:val="continue"/>
                  <w:shd w:val="clear" w:color="auto" w:fill="auto"/>
                  <w:vAlign w:val="center"/>
                </w:tcPr>
                <w:p w14:paraId="2C078E0A">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567F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839" w:type="dxa"/>
                  <w:shd w:val="clear" w:color="auto" w:fill="auto"/>
                  <w:vAlign w:val="center"/>
                </w:tcPr>
                <w:p w14:paraId="16CC652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DA00</w:t>
                  </w:r>
                  <w:r>
                    <w:rPr>
                      <w:rFonts w:hint="eastAsia" w:cs="Times New Roman"/>
                      <w:color w:val="000000" w:themeColor="text1"/>
                      <w:kern w:val="0"/>
                      <w:sz w:val="21"/>
                      <w:szCs w:val="21"/>
                      <w:lang w:val="en-US" w:eastAsia="zh-CN"/>
                      <w14:textFill>
                        <w14:solidFill>
                          <w14:schemeClr w14:val="tx1"/>
                        </w14:solidFill>
                      </w14:textFill>
                    </w:rPr>
                    <w:t>3</w:t>
                  </w:r>
                </w:p>
              </w:tc>
              <w:tc>
                <w:tcPr>
                  <w:tcW w:w="735" w:type="dxa"/>
                  <w:shd w:val="clear" w:color="auto" w:fill="auto"/>
                  <w:vAlign w:val="center"/>
                </w:tcPr>
                <w:p w14:paraId="11C46FB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15m</w:t>
                  </w:r>
                </w:p>
              </w:tc>
              <w:tc>
                <w:tcPr>
                  <w:tcW w:w="1404" w:type="dxa"/>
                  <w:shd w:val="clear" w:color="auto" w:fill="auto"/>
                  <w:vAlign w:val="center"/>
                </w:tcPr>
                <w:p w14:paraId="4206DCE6">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喷漆</w:t>
                  </w:r>
                  <w:r>
                    <w:rPr>
                      <w:rFonts w:hint="default" w:ascii="Times New Roman" w:hAnsi="Times New Roman" w:cs="Times New Roman"/>
                      <w:color w:val="000000" w:themeColor="text1"/>
                      <w:kern w:val="0"/>
                      <w:sz w:val="21"/>
                      <w:szCs w:val="21"/>
                      <w14:textFill>
                        <w14:solidFill>
                          <w14:schemeClr w14:val="tx1"/>
                        </w14:solidFill>
                      </w14:textFill>
                    </w:rPr>
                    <w:t>工序</w:t>
                  </w:r>
                </w:p>
              </w:tc>
              <w:tc>
                <w:tcPr>
                  <w:tcW w:w="1005" w:type="dxa"/>
                  <w:vMerge w:val="continue"/>
                  <w:shd w:val="clear" w:color="auto" w:fill="auto"/>
                  <w:vAlign w:val="center"/>
                </w:tcPr>
                <w:p w14:paraId="5E594BD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c>
                <w:tcPr>
                  <w:tcW w:w="1095" w:type="dxa"/>
                  <w:vMerge w:val="continue"/>
                  <w:shd w:val="clear" w:color="auto" w:fill="auto"/>
                  <w:vAlign w:val="center"/>
                </w:tcPr>
                <w:p w14:paraId="33CD420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c>
                <w:tcPr>
                  <w:tcW w:w="960" w:type="dxa"/>
                  <w:vMerge w:val="continue"/>
                  <w:shd w:val="clear" w:color="auto" w:fill="auto"/>
                  <w:vAlign w:val="center"/>
                </w:tcPr>
                <w:p w14:paraId="04CEEEF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c>
                <w:tcPr>
                  <w:tcW w:w="2343" w:type="dxa"/>
                  <w:vMerge w:val="continue"/>
                  <w:shd w:val="clear" w:color="auto" w:fill="auto"/>
                  <w:vAlign w:val="center"/>
                </w:tcPr>
                <w:p w14:paraId="0B93D7F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r>
            <w:tr w14:paraId="07CAD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839" w:type="dxa"/>
                  <w:shd w:val="clear" w:color="auto" w:fill="auto"/>
                  <w:vAlign w:val="center"/>
                </w:tcPr>
                <w:p w14:paraId="76ABE718">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DA00</w:t>
                  </w:r>
                  <w:r>
                    <w:rPr>
                      <w:rFonts w:hint="eastAsia" w:cs="Times New Roman"/>
                      <w:color w:val="000000" w:themeColor="text1"/>
                      <w:kern w:val="0"/>
                      <w:sz w:val="21"/>
                      <w:szCs w:val="21"/>
                      <w:lang w:val="en-US" w:eastAsia="zh-CN"/>
                      <w14:textFill>
                        <w14:solidFill>
                          <w14:schemeClr w14:val="tx1"/>
                        </w14:solidFill>
                      </w14:textFill>
                    </w:rPr>
                    <w:t>3</w:t>
                  </w:r>
                </w:p>
              </w:tc>
              <w:tc>
                <w:tcPr>
                  <w:tcW w:w="735" w:type="dxa"/>
                  <w:vMerge w:val="restart"/>
                  <w:shd w:val="clear" w:color="auto" w:fill="auto"/>
                  <w:vAlign w:val="center"/>
                </w:tcPr>
                <w:p w14:paraId="3BCD804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15m</w:t>
                  </w:r>
                </w:p>
              </w:tc>
              <w:tc>
                <w:tcPr>
                  <w:tcW w:w="1404" w:type="dxa"/>
                  <w:shd w:val="clear" w:color="auto" w:fill="auto"/>
                  <w:vAlign w:val="center"/>
                </w:tcPr>
                <w:p w14:paraId="55BDECE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调漆、</w:t>
                  </w:r>
                  <w:r>
                    <w:rPr>
                      <w:rFonts w:hint="default" w:ascii="Times New Roman" w:hAnsi="Times New Roman" w:cs="Times New Roman"/>
                      <w:color w:val="000000" w:themeColor="text1"/>
                      <w:kern w:val="0"/>
                      <w:sz w:val="21"/>
                      <w:szCs w:val="21"/>
                      <w:lang w:eastAsia="zh-CN"/>
                      <w14:textFill>
                        <w14:solidFill>
                          <w14:schemeClr w14:val="tx1"/>
                        </w14:solidFill>
                      </w14:textFill>
                    </w:rPr>
                    <w:t>喷漆及</w:t>
                  </w:r>
                  <w:r>
                    <w:rPr>
                      <w:rFonts w:hint="default" w:ascii="Times New Roman" w:hAnsi="Times New Roman" w:cs="Times New Roman"/>
                      <w:color w:val="000000" w:themeColor="text1"/>
                      <w:kern w:val="0"/>
                      <w:sz w:val="21"/>
                      <w:szCs w:val="21"/>
                      <w14:textFill>
                        <w14:solidFill>
                          <w14:schemeClr w14:val="tx1"/>
                        </w14:solidFill>
                      </w14:textFill>
                    </w:rPr>
                    <w:t>喷枪清洗工序</w:t>
                  </w:r>
                </w:p>
              </w:tc>
              <w:tc>
                <w:tcPr>
                  <w:tcW w:w="1005" w:type="dxa"/>
                  <w:vMerge w:val="restart"/>
                  <w:shd w:val="clear" w:color="auto" w:fill="auto"/>
                  <w:vAlign w:val="center"/>
                </w:tcPr>
                <w:p w14:paraId="7235D84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非甲烷总烃</w:t>
                  </w:r>
                </w:p>
              </w:tc>
              <w:tc>
                <w:tcPr>
                  <w:tcW w:w="1095" w:type="dxa"/>
                  <w:vMerge w:val="restart"/>
                  <w:shd w:val="clear" w:color="auto" w:fill="auto"/>
                  <w:vAlign w:val="center"/>
                </w:tcPr>
                <w:p w14:paraId="16B6A90F">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60</w:t>
                  </w:r>
                </w:p>
              </w:tc>
              <w:tc>
                <w:tcPr>
                  <w:tcW w:w="960" w:type="dxa"/>
                  <w:vMerge w:val="restart"/>
                  <w:shd w:val="clear" w:color="auto" w:fill="auto"/>
                  <w:vAlign w:val="center"/>
                </w:tcPr>
                <w:p w14:paraId="78805DC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2343" w:type="dxa"/>
                  <w:vMerge w:val="restart"/>
                  <w:shd w:val="clear" w:color="auto" w:fill="auto"/>
                  <w:vAlign w:val="center"/>
                </w:tcPr>
                <w:p w14:paraId="6F9A26AE">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《固定源挥发性有机物综合排放标准第6部分：其他行业》（DB34/4812.6-2024）表1</w:t>
                  </w:r>
                </w:p>
              </w:tc>
            </w:tr>
            <w:tr w14:paraId="792A1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839" w:type="dxa"/>
                  <w:shd w:val="clear" w:color="auto" w:fill="auto"/>
                  <w:vAlign w:val="center"/>
                </w:tcPr>
                <w:p w14:paraId="0AF78B20">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DA002</w:t>
                  </w:r>
                </w:p>
              </w:tc>
              <w:tc>
                <w:tcPr>
                  <w:tcW w:w="735" w:type="dxa"/>
                  <w:vMerge w:val="continue"/>
                  <w:shd w:val="clear" w:color="auto" w:fill="auto"/>
                  <w:vAlign w:val="center"/>
                </w:tcPr>
                <w:p w14:paraId="55A0F0D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p>
              </w:tc>
              <w:tc>
                <w:tcPr>
                  <w:tcW w:w="1404" w:type="dxa"/>
                  <w:shd w:val="clear" w:color="auto" w:fill="auto"/>
                  <w:vAlign w:val="center"/>
                </w:tcPr>
                <w:p w14:paraId="1A44340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喷粉</w:t>
                  </w:r>
                  <w:r>
                    <w:rPr>
                      <w:rFonts w:hint="default" w:ascii="Times New Roman" w:hAnsi="Times New Roman" w:eastAsia="宋体" w:cs="Times New Roman"/>
                      <w:color w:val="000000" w:themeColor="text1"/>
                      <w:kern w:val="0"/>
                      <w:sz w:val="21"/>
                      <w:szCs w:val="21"/>
                      <w14:textFill>
                        <w14:solidFill>
                          <w14:schemeClr w14:val="tx1"/>
                        </w14:solidFill>
                      </w14:textFill>
                    </w:rPr>
                    <w:t>固化、</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喷漆烘干</w:t>
                  </w:r>
                  <w:r>
                    <w:rPr>
                      <w:rFonts w:hint="default" w:ascii="Times New Roman" w:hAnsi="Times New Roman" w:eastAsia="宋体" w:cs="Times New Roman"/>
                      <w:color w:val="000000" w:themeColor="text1"/>
                      <w:kern w:val="0"/>
                      <w:sz w:val="21"/>
                      <w:szCs w:val="21"/>
                      <w14:textFill>
                        <w14:solidFill>
                          <w14:schemeClr w14:val="tx1"/>
                        </w14:solidFill>
                      </w14:textFill>
                    </w:rPr>
                    <w:t>工序</w:t>
                  </w:r>
                </w:p>
              </w:tc>
              <w:tc>
                <w:tcPr>
                  <w:tcW w:w="1005" w:type="dxa"/>
                  <w:vMerge w:val="continue"/>
                  <w:shd w:val="clear" w:color="auto" w:fill="auto"/>
                  <w:vAlign w:val="center"/>
                </w:tcPr>
                <w:p w14:paraId="458C0AA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1095" w:type="dxa"/>
                  <w:vMerge w:val="continue"/>
                  <w:shd w:val="clear" w:color="auto" w:fill="auto"/>
                  <w:vAlign w:val="center"/>
                </w:tcPr>
                <w:p w14:paraId="28810E38">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960" w:type="dxa"/>
                  <w:vMerge w:val="continue"/>
                  <w:shd w:val="clear" w:color="auto" w:fill="auto"/>
                  <w:vAlign w:val="center"/>
                </w:tcPr>
                <w:p w14:paraId="7A0B4F9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c>
                <w:tcPr>
                  <w:tcW w:w="2343" w:type="dxa"/>
                  <w:vMerge w:val="continue"/>
                  <w:shd w:val="clear" w:color="auto" w:fill="auto"/>
                  <w:vAlign w:val="center"/>
                </w:tcPr>
                <w:p w14:paraId="1EFA08A3">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023A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839" w:type="dxa"/>
                  <w:vMerge w:val="restart"/>
                  <w:vAlign w:val="center"/>
                </w:tcPr>
                <w:p w14:paraId="5FBB5C05">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DA00</w:t>
                  </w:r>
                  <w:r>
                    <w:rPr>
                      <w:rFonts w:hint="eastAsia" w:cs="Times New Roman"/>
                      <w:color w:val="000000" w:themeColor="text1"/>
                      <w:kern w:val="0"/>
                      <w:sz w:val="21"/>
                      <w:szCs w:val="21"/>
                      <w:lang w:val="en-US" w:eastAsia="zh-CN"/>
                      <w14:textFill>
                        <w14:solidFill>
                          <w14:schemeClr w14:val="tx1"/>
                        </w14:solidFill>
                      </w14:textFill>
                    </w:rPr>
                    <w:t>2</w:t>
                  </w:r>
                </w:p>
              </w:tc>
              <w:tc>
                <w:tcPr>
                  <w:tcW w:w="735" w:type="dxa"/>
                  <w:vMerge w:val="restart"/>
                  <w:vAlign w:val="center"/>
                </w:tcPr>
                <w:p w14:paraId="31C60A7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15m</w:t>
                  </w:r>
                </w:p>
              </w:tc>
              <w:tc>
                <w:tcPr>
                  <w:tcW w:w="1404" w:type="dxa"/>
                  <w:vMerge w:val="restart"/>
                  <w:vAlign w:val="center"/>
                </w:tcPr>
                <w:p w14:paraId="3AEC1418">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前处理烘干</w:t>
                  </w:r>
                  <w:r>
                    <w:rPr>
                      <w:rFonts w:hint="default" w:ascii="Times New Roman" w:hAnsi="Times New Roman" w:eastAsia="宋体" w:cs="Times New Roman"/>
                      <w:color w:val="000000" w:themeColor="text1"/>
                      <w:kern w:val="0"/>
                      <w:sz w:val="21"/>
                      <w:szCs w:val="21"/>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喷漆烘干和喷粉固化天然气燃烧工序</w:t>
                  </w:r>
                </w:p>
              </w:tc>
              <w:tc>
                <w:tcPr>
                  <w:tcW w:w="1005" w:type="dxa"/>
                  <w:shd w:val="clear" w:color="auto" w:fill="auto"/>
                  <w:vAlign w:val="center"/>
                </w:tcPr>
                <w:p w14:paraId="2E6E7EC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颗粒物</w:t>
                  </w:r>
                </w:p>
              </w:tc>
              <w:tc>
                <w:tcPr>
                  <w:tcW w:w="1095" w:type="dxa"/>
                  <w:shd w:val="clear" w:color="auto" w:fill="auto"/>
                  <w:vAlign w:val="center"/>
                </w:tcPr>
                <w:p w14:paraId="6002A4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30</w:t>
                  </w:r>
                </w:p>
              </w:tc>
              <w:tc>
                <w:tcPr>
                  <w:tcW w:w="960" w:type="dxa"/>
                  <w:shd w:val="clear" w:color="auto" w:fill="auto"/>
                  <w:vAlign w:val="center"/>
                </w:tcPr>
                <w:p w14:paraId="607B5C7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w:t>
                  </w:r>
                </w:p>
              </w:tc>
              <w:tc>
                <w:tcPr>
                  <w:tcW w:w="2343" w:type="dxa"/>
                  <w:vMerge w:val="restart"/>
                  <w:vAlign w:val="center"/>
                </w:tcPr>
                <w:p w14:paraId="77974B8C">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color w:val="auto"/>
                    </w:rPr>
                    <w:t>《工业炉窑大气污染综合治理方案》（环大气[2019]56号）排放限值</w:t>
                  </w:r>
                </w:p>
              </w:tc>
            </w:tr>
            <w:tr w14:paraId="10418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6" w:hRule="atLeast"/>
                <w:jc w:val="center"/>
              </w:trPr>
              <w:tc>
                <w:tcPr>
                  <w:tcW w:w="839" w:type="dxa"/>
                  <w:vMerge w:val="continue"/>
                  <w:vAlign w:val="center"/>
                </w:tcPr>
                <w:p w14:paraId="279CF49D">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735" w:type="dxa"/>
                  <w:vMerge w:val="continue"/>
                  <w:vAlign w:val="center"/>
                </w:tcPr>
                <w:p w14:paraId="7D835EB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lang w:eastAsia="zh-CN"/>
                      <w14:textFill>
                        <w14:solidFill>
                          <w14:schemeClr w14:val="tx1"/>
                        </w14:solidFill>
                      </w14:textFill>
                    </w:rPr>
                  </w:pPr>
                </w:p>
              </w:tc>
              <w:tc>
                <w:tcPr>
                  <w:tcW w:w="1404" w:type="dxa"/>
                  <w:vMerge w:val="continue"/>
                  <w:vAlign w:val="center"/>
                </w:tcPr>
                <w:p w14:paraId="501BB0A8">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p>
              </w:tc>
              <w:tc>
                <w:tcPr>
                  <w:tcW w:w="1005" w:type="dxa"/>
                  <w:shd w:val="clear" w:color="auto" w:fill="auto"/>
                  <w:vAlign w:val="center"/>
                </w:tcPr>
                <w:p w14:paraId="15C857C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eastAsiaTheme="minorEastAsia"/>
                      <w:snapToGrid w:val="0"/>
                      <w:color w:val="auto"/>
                      <w:kern w:val="0"/>
                      <w:szCs w:val="21"/>
                    </w:rPr>
                    <w:t>SO</w:t>
                  </w:r>
                  <w:r>
                    <w:rPr>
                      <w:rFonts w:hint="default" w:eastAsiaTheme="minorEastAsia"/>
                      <w:snapToGrid w:val="0"/>
                      <w:color w:val="auto"/>
                      <w:kern w:val="0"/>
                      <w:szCs w:val="21"/>
                      <w:vertAlign w:val="subscript"/>
                    </w:rPr>
                    <w:t>2</w:t>
                  </w:r>
                </w:p>
              </w:tc>
              <w:tc>
                <w:tcPr>
                  <w:tcW w:w="1095" w:type="dxa"/>
                  <w:shd w:val="clear" w:color="auto" w:fill="auto"/>
                  <w:vAlign w:val="center"/>
                </w:tcPr>
                <w:p w14:paraId="36C7AC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200</w:t>
                  </w:r>
                </w:p>
              </w:tc>
              <w:tc>
                <w:tcPr>
                  <w:tcW w:w="960" w:type="dxa"/>
                  <w:shd w:val="clear" w:color="auto" w:fill="auto"/>
                  <w:vAlign w:val="center"/>
                </w:tcPr>
                <w:p w14:paraId="6F56874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w:t>
                  </w:r>
                </w:p>
              </w:tc>
              <w:tc>
                <w:tcPr>
                  <w:tcW w:w="2343" w:type="dxa"/>
                  <w:vMerge w:val="continue"/>
                  <w:vAlign w:val="center"/>
                </w:tcPr>
                <w:p w14:paraId="183B2A61">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r>
            <w:tr w14:paraId="6BC4E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839" w:type="dxa"/>
                  <w:vMerge w:val="continue"/>
                  <w:vAlign w:val="center"/>
                </w:tcPr>
                <w:p w14:paraId="3041D873">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735" w:type="dxa"/>
                  <w:vMerge w:val="continue"/>
                  <w:vAlign w:val="center"/>
                </w:tcPr>
                <w:p w14:paraId="163BB0A6">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lang w:eastAsia="zh-CN"/>
                      <w14:textFill>
                        <w14:solidFill>
                          <w14:schemeClr w14:val="tx1"/>
                        </w14:solidFill>
                      </w14:textFill>
                    </w:rPr>
                  </w:pPr>
                </w:p>
              </w:tc>
              <w:tc>
                <w:tcPr>
                  <w:tcW w:w="1404" w:type="dxa"/>
                  <w:vMerge w:val="continue"/>
                  <w:vAlign w:val="center"/>
                </w:tcPr>
                <w:p w14:paraId="7215515A">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p>
              </w:tc>
              <w:tc>
                <w:tcPr>
                  <w:tcW w:w="1005" w:type="dxa"/>
                  <w:shd w:val="clear" w:color="auto" w:fill="auto"/>
                  <w:vAlign w:val="center"/>
                </w:tcPr>
                <w:p w14:paraId="7E89707F">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2"/>
                      <w:sz w:val="24"/>
                      <w:szCs w:val="20"/>
                      <w:lang w:val="en-US" w:eastAsia="zh-CN" w:bidi="ar-SA"/>
                    </w:rPr>
                  </w:pPr>
                  <w:r>
                    <w:rPr>
                      <w:rFonts w:hint="default" w:eastAsiaTheme="minorEastAsia"/>
                      <w:snapToGrid w:val="0"/>
                      <w:color w:val="auto"/>
                      <w:kern w:val="0"/>
                      <w:szCs w:val="21"/>
                    </w:rPr>
                    <w:t>NOx</w:t>
                  </w:r>
                </w:p>
              </w:tc>
              <w:tc>
                <w:tcPr>
                  <w:tcW w:w="1095" w:type="dxa"/>
                  <w:shd w:val="clear" w:color="auto" w:fill="auto"/>
                  <w:vAlign w:val="center"/>
                </w:tcPr>
                <w:p w14:paraId="435675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300</w:t>
                  </w:r>
                </w:p>
              </w:tc>
              <w:tc>
                <w:tcPr>
                  <w:tcW w:w="960" w:type="dxa"/>
                  <w:shd w:val="clear" w:color="auto" w:fill="auto"/>
                  <w:vAlign w:val="center"/>
                </w:tcPr>
                <w:p w14:paraId="63979CB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w:t>
                  </w:r>
                </w:p>
              </w:tc>
              <w:tc>
                <w:tcPr>
                  <w:tcW w:w="2343" w:type="dxa"/>
                  <w:vMerge w:val="continue"/>
                  <w:vAlign w:val="center"/>
                </w:tcPr>
                <w:p w14:paraId="3AF0D09E">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p>
              </w:tc>
            </w:tr>
          </w:tbl>
          <w:p w14:paraId="24B9E4B9">
            <w:pPr>
              <w:keepNext w:val="0"/>
              <w:keepLines w:val="0"/>
              <w:suppressLineNumbers w:val="0"/>
              <w:snapToGrid w:val="0"/>
              <w:spacing w:before="0" w:beforeAutospacing="0" w:after="0" w:afterAutospacing="0"/>
              <w:ind w:left="0" w:right="0"/>
              <w:jc w:val="center"/>
              <w:rPr>
                <w:rFonts w:hint="default" w:ascii="Times New Roman" w:hAnsi="Times New Roman" w:cs="Times New Roman"/>
                <w:b/>
                <w:color w:val="000000" w:themeColor="text1"/>
                <w:sz w:val="24"/>
                <w:szCs w:val="20"/>
                <w:lang w:val="zh-CN"/>
                <w14:textFill>
                  <w14:solidFill>
                    <w14:schemeClr w14:val="tx1"/>
                  </w14:solidFill>
                </w14:textFill>
              </w:rPr>
            </w:pPr>
            <w:r>
              <w:rPr>
                <w:rFonts w:hint="default" w:ascii="Times New Roman" w:hAnsi="Times New Roman" w:cs="Times New Roman"/>
                <w:b/>
                <w:color w:val="000000" w:themeColor="text1"/>
                <w:sz w:val="24"/>
                <w:szCs w:val="20"/>
                <w:lang w:val="zh-CN"/>
                <w14:textFill>
                  <w14:solidFill>
                    <w14:schemeClr w14:val="tx1"/>
                  </w14:solidFill>
                </w14:textFill>
              </w:rPr>
              <w:t>表3-</w:t>
            </w:r>
            <w:r>
              <w:rPr>
                <w:rFonts w:hint="eastAsia" w:cs="Times New Roman"/>
                <w:b/>
                <w:color w:val="000000" w:themeColor="text1"/>
                <w:sz w:val="24"/>
                <w:szCs w:val="20"/>
                <w:lang w:val="en-US" w:eastAsia="zh-CN"/>
                <w14:textFill>
                  <w14:solidFill>
                    <w14:schemeClr w14:val="tx1"/>
                  </w14:solidFill>
                </w14:textFill>
              </w:rPr>
              <w:t>8</w:t>
            </w:r>
            <w:r>
              <w:rPr>
                <w:rFonts w:hint="default" w:ascii="Times New Roman" w:hAnsi="Times New Roman" w:cs="Times New Roman"/>
                <w:b/>
                <w:color w:val="000000" w:themeColor="text1"/>
                <w:sz w:val="24"/>
                <w:szCs w:val="20"/>
                <w:lang w:val="zh-CN"/>
                <w14:textFill>
                  <w14:solidFill>
                    <w14:schemeClr w14:val="tx1"/>
                  </w14:solidFill>
                </w14:textFill>
              </w:rPr>
              <w:t xml:space="preserve">  无组织废气污染物排放标准</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1467"/>
              <w:gridCol w:w="2017"/>
              <w:gridCol w:w="3293"/>
            </w:tblGrid>
            <w:tr w14:paraId="1C7C1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0A88417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w:t>
                  </w:r>
                </w:p>
              </w:tc>
              <w:tc>
                <w:tcPr>
                  <w:tcW w:w="1467" w:type="dxa"/>
                  <w:vAlign w:val="center"/>
                </w:tcPr>
                <w:p w14:paraId="2843185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排放限值（mg/m</w:t>
                  </w:r>
                  <w:r>
                    <w:rPr>
                      <w:rFonts w:hint="default" w:ascii="Times New Roman" w:hAnsi="Times New Roman" w:cs="Times New Roman"/>
                      <w:b/>
                      <w:bCs/>
                      <w:color w:val="000000" w:themeColor="text1"/>
                      <w:szCs w:val="21"/>
                      <w:vertAlign w:val="super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w:t>
                  </w:r>
                </w:p>
              </w:tc>
              <w:tc>
                <w:tcPr>
                  <w:tcW w:w="2017" w:type="dxa"/>
                  <w:vAlign w:val="center"/>
                </w:tcPr>
                <w:p w14:paraId="3109935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监控点</w:t>
                  </w:r>
                </w:p>
              </w:tc>
              <w:tc>
                <w:tcPr>
                  <w:tcW w:w="3293" w:type="dxa"/>
                  <w:vAlign w:val="center"/>
                </w:tcPr>
                <w:p w14:paraId="5766C40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标准依据</w:t>
                  </w:r>
                </w:p>
              </w:tc>
            </w:tr>
            <w:tr w14:paraId="27152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5F927EED">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颗粒物</w:t>
                  </w:r>
                </w:p>
              </w:tc>
              <w:tc>
                <w:tcPr>
                  <w:tcW w:w="1467" w:type="dxa"/>
                  <w:vAlign w:val="center"/>
                </w:tcPr>
                <w:p w14:paraId="121C38E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2017" w:type="dxa"/>
                  <w:vMerge w:val="restart"/>
                  <w:vAlign w:val="center"/>
                </w:tcPr>
                <w:p w14:paraId="5FC05BA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周界外浓度最高点</w:t>
                  </w:r>
                </w:p>
              </w:tc>
              <w:tc>
                <w:tcPr>
                  <w:tcW w:w="3293" w:type="dxa"/>
                  <w:vMerge w:val="restart"/>
                  <w:vAlign w:val="center"/>
                </w:tcPr>
                <w:p w14:paraId="7188C5B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20A80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71AEC4F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w:t>
                  </w:r>
                </w:p>
              </w:tc>
              <w:tc>
                <w:tcPr>
                  <w:tcW w:w="1467" w:type="dxa"/>
                  <w:vAlign w:val="center"/>
                </w:tcPr>
                <w:p w14:paraId="58C6A7F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w:t>
                  </w:r>
                </w:p>
              </w:tc>
              <w:tc>
                <w:tcPr>
                  <w:tcW w:w="2017" w:type="dxa"/>
                  <w:vMerge w:val="continue"/>
                  <w:vAlign w:val="center"/>
                </w:tcPr>
                <w:p w14:paraId="5827B614">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293" w:type="dxa"/>
                  <w:vMerge w:val="continue"/>
                  <w:vAlign w:val="center"/>
                </w:tcPr>
                <w:p w14:paraId="0681124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r>
          </w:tbl>
          <w:p w14:paraId="6982A662">
            <w:pPr>
              <w:keepNext w:val="0"/>
              <w:keepLines w:val="0"/>
              <w:suppressLineNumbers w:val="0"/>
              <w:spacing w:before="120" w:beforeLines="5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w:t>
            </w:r>
            <w:r>
              <w:rPr>
                <w:rFonts w:hint="eastAsia" w:cs="Times New Roman"/>
                <w:b/>
                <w:color w:val="000000" w:themeColor="text1"/>
                <w:kern w:val="0"/>
                <w:sz w:val="24"/>
                <w:lang w:val="en-US" w:eastAsia="zh-CN"/>
                <w14:textFill>
                  <w14:solidFill>
                    <w14:schemeClr w14:val="tx1"/>
                  </w14:solidFill>
                </w14:textFill>
              </w:rPr>
              <w:t>9</w:t>
            </w:r>
            <w:r>
              <w:rPr>
                <w:rFonts w:hint="default" w:ascii="Times New Roman" w:hAnsi="Times New Roman" w:cs="Times New Roman"/>
                <w:b/>
                <w:color w:val="000000" w:themeColor="text1"/>
                <w:kern w:val="0"/>
                <w:sz w:val="24"/>
                <w14:textFill>
                  <w14:solidFill>
                    <w14:schemeClr w14:val="tx1"/>
                  </w14:solidFill>
                </w14:textFill>
              </w:rPr>
              <w:t xml:space="preserve">  厂区内VOCs无组织排放限值   单位：mg/m</w:t>
            </w:r>
            <w:r>
              <w:rPr>
                <w:rFonts w:hint="default" w:ascii="Times New Roman" w:hAnsi="Times New Roman" w:cs="Times New Roman"/>
                <w:b/>
                <w:color w:val="000000" w:themeColor="text1"/>
                <w:kern w:val="0"/>
                <w:sz w:val="24"/>
                <w:vertAlign w:val="superscript"/>
                <w14:textFill>
                  <w14:solidFill>
                    <w14:schemeClr w14:val="tx1"/>
                  </w14:solidFill>
                </w14:textFill>
              </w:rPr>
              <w:t>3</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46"/>
              <w:gridCol w:w="909"/>
              <w:gridCol w:w="1510"/>
              <w:gridCol w:w="1433"/>
              <w:gridCol w:w="2880"/>
            </w:tblGrid>
            <w:tr w14:paraId="3BE30C8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35" w:hRule="atLeast"/>
                <w:jc w:val="center"/>
              </w:trPr>
              <w:tc>
                <w:tcPr>
                  <w:tcW w:w="982" w:type="pct"/>
                  <w:vAlign w:val="center"/>
                </w:tcPr>
                <w:p w14:paraId="5435E0B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污染物</w:t>
                  </w:r>
                </w:p>
              </w:tc>
              <w:tc>
                <w:tcPr>
                  <w:tcW w:w="542" w:type="pct"/>
                  <w:vAlign w:val="center"/>
                </w:tcPr>
                <w:p w14:paraId="31FB4BB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w:t>
                  </w:r>
                </w:p>
                <w:p w14:paraId="10936C0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限值</w:t>
                  </w:r>
                </w:p>
              </w:tc>
              <w:tc>
                <w:tcPr>
                  <w:tcW w:w="901" w:type="pct"/>
                  <w:vAlign w:val="center"/>
                </w:tcPr>
                <w:p w14:paraId="02A491F4">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限值含义</w:t>
                  </w:r>
                </w:p>
              </w:tc>
              <w:tc>
                <w:tcPr>
                  <w:tcW w:w="855" w:type="pct"/>
                  <w:vAlign w:val="center"/>
                </w:tcPr>
                <w:p w14:paraId="7E7FFAB4">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无组织排放监控位置</w:t>
                  </w:r>
                </w:p>
              </w:tc>
              <w:tc>
                <w:tcPr>
                  <w:tcW w:w="1718" w:type="pct"/>
                  <w:vAlign w:val="center"/>
                </w:tcPr>
                <w:p w14:paraId="0EC1CD0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标准来源</w:t>
                  </w:r>
                </w:p>
              </w:tc>
            </w:tr>
            <w:tr w14:paraId="28CACD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982" w:type="pct"/>
                  <w:vMerge w:val="restart"/>
                  <w:vAlign w:val="center"/>
                </w:tcPr>
                <w:p w14:paraId="1063D35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NMHC</w:t>
                  </w:r>
                </w:p>
              </w:tc>
              <w:tc>
                <w:tcPr>
                  <w:tcW w:w="542" w:type="pct"/>
                  <w:vAlign w:val="center"/>
                </w:tcPr>
                <w:p w14:paraId="60AE4FBE">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901" w:type="pct"/>
                  <w:vAlign w:val="center"/>
                </w:tcPr>
                <w:p w14:paraId="1A36284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监控点处1h平均浓度值</w:t>
                  </w:r>
                </w:p>
              </w:tc>
              <w:tc>
                <w:tcPr>
                  <w:tcW w:w="855" w:type="pct"/>
                  <w:vMerge w:val="restart"/>
                  <w:vAlign w:val="center"/>
                </w:tcPr>
                <w:p w14:paraId="2AB3259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在厂房外设置监控点</w:t>
                  </w:r>
                </w:p>
              </w:tc>
              <w:tc>
                <w:tcPr>
                  <w:tcW w:w="1718" w:type="pct"/>
                  <w:vMerge w:val="restart"/>
                  <w:vAlign w:val="center"/>
                </w:tcPr>
                <w:p w14:paraId="35B62C3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《固定源挥发性有机物综合排放标准第6部分：其他行业》（DB34/4812.6-2024）表4</w:t>
                  </w:r>
                </w:p>
              </w:tc>
            </w:tr>
            <w:tr w14:paraId="3453E7A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982" w:type="pct"/>
                  <w:vMerge w:val="continue"/>
                  <w:vAlign w:val="center"/>
                </w:tcPr>
                <w:p w14:paraId="074D297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542" w:type="pct"/>
                  <w:vAlign w:val="center"/>
                </w:tcPr>
                <w:p w14:paraId="363DA4A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p>
              </w:tc>
              <w:tc>
                <w:tcPr>
                  <w:tcW w:w="901" w:type="pct"/>
                  <w:vAlign w:val="center"/>
                </w:tcPr>
                <w:p w14:paraId="75E2B1B8">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监控点处任意一次浓度值</w:t>
                  </w:r>
                </w:p>
              </w:tc>
              <w:tc>
                <w:tcPr>
                  <w:tcW w:w="855" w:type="pct"/>
                  <w:vMerge w:val="continue"/>
                  <w:vAlign w:val="center"/>
                </w:tcPr>
                <w:p w14:paraId="14C8E73E">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18" w:type="pct"/>
                  <w:vMerge w:val="continue"/>
                  <w:vAlign w:val="center"/>
                </w:tcPr>
                <w:p w14:paraId="7A5BF1B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bl>
          <w:p w14:paraId="4384842E">
            <w:pPr>
              <w:keepNext w:val="0"/>
              <w:keepLines w:val="0"/>
              <w:suppressLineNumbers w:val="0"/>
              <w:adjustRightInd w:val="0"/>
              <w:spacing w:before="100" w:beforeAutospacing="1" w:after="0" w:afterAutospacing="0" w:line="360" w:lineRule="auto"/>
              <w:ind w:left="0" w:right="0"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2、废水</w:t>
            </w:r>
          </w:p>
          <w:p w14:paraId="3D56469E">
            <w:pPr>
              <w:keepNext w:val="0"/>
              <w:keepLines w:val="0"/>
              <w:suppressLineNumbers w:val="0"/>
              <w:wordWrap w:val="0"/>
              <w:topLinePunct/>
              <w:spacing w:before="0" w:beforeAutospacing="0" w:after="0" w:afterAutospacing="0" w:line="360" w:lineRule="auto"/>
              <w:ind w:left="0" w:right="0" w:firstLine="480" w:firstLineChars="200"/>
              <w:rPr>
                <w:rFonts w:hint="default" w:ascii="Times New Roman" w:hAnsi="Times New Roman" w:cs="Times New Roman"/>
                <w:b/>
                <w:bCs/>
                <w:color w:val="auto"/>
                <w:szCs w:val="21"/>
                <w:highlight w:val="none"/>
              </w:rPr>
            </w:pPr>
            <w:r>
              <w:rPr>
                <w:rFonts w:hint="default"/>
                <w:color w:val="auto"/>
                <w:kern w:val="0"/>
                <w:sz w:val="24"/>
              </w:rPr>
              <w:t>项目排水采用雨、污分流制。雨水经雨水管道排入雨水管网，项目生活污水经化粪池预处理后</w:t>
            </w:r>
            <w:r>
              <w:rPr>
                <w:rFonts w:hint="default"/>
                <w:color w:val="auto"/>
                <w:sz w:val="24"/>
              </w:rPr>
              <w:t>和经污水处理站处理的</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w:t>
            </w:r>
            <w:r>
              <w:rPr>
                <w:rFonts w:hint="default"/>
                <w:color w:val="auto"/>
                <w:sz w:val="24"/>
              </w:rPr>
              <w:t>一同排入市政污水管网，</w:t>
            </w:r>
            <w:r>
              <w:rPr>
                <w:rFonts w:hint="default" w:ascii="Times New Roman" w:hAnsi="Times New Roman" w:cs="Times New Roman"/>
                <w:color w:val="auto"/>
                <w:sz w:val="24"/>
                <w:highlight w:val="none"/>
              </w:rPr>
              <w:t>接入芜湖县新芜开发区城东污水处理厂处理达标后排入汪溪坝撇洪沟后汇入裘公河。</w:t>
            </w:r>
            <w:r>
              <w:rPr>
                <w:rFonts w:hint="default"/>
                <w:color w:val="auto"/>
                <w:kern w:val="0"/>
                <w:sz w:val="24"/>
              </w:rPr>
              <w:t>废水水质执行《污水综合排放标准》（GB8978-1996）表4三级标准，芜湖县新芜开发区城东污水处理厂出水水质执行《城镇污水处理厂污染物排放标准》（GB18918-2002）表1中一级A标准，尾水排入汪溪坝撇洪沟后汇入裘公河，废水排放标准如下表。</w:t>
            </w:r>
          </w:p>
          <w:p w14:paraId="64733701">
            <w:pPr>
              <w:pStyle w:val="229"/>
              <w:keepNext w:val="0"/>
              <w:keepLines w:val="0"/>
              <w:suppressLineNumbers w:val="0"/>
              <w:spacing w:before="0" w:beforeAutospacing="0" w:after="0" w:afterAutospacing="0"/>
              <w:ind w:left="0" w:right="74"/>
              <w:rPr>
                <w:rFonts w:hint="default" w:ascii="Times New Roman" w:hAnsi="Times New Roman" w:cs="Times New Roman"/>
                <w:b/>
                <w:color w:val="auto"/>
                <w:kern w:val="2"/>
                <w:sz w:val="24"/>
                <w:szCs w:val="24"/>
                <w:highlight w:val="none"/>
                <w:lang w:val="en-US" w:bidi="ar-SA"/>
              </w:rPr>
            </w:pPr>
            <w:r>
              <w:rPr>
                <w:rFonts w:hint="default" w:ascii="Times New Roman" w:hAnsi="Times New Roman" w:cs="Times New Roman"/>
                <w:b/>
                <w:color w:val="auto"/>
                <w:kern w:val="2"/>
                <w:sz w:val="24"/>
                <w:szCs w:val="24"/>
                <w:highlight w:val="none"/>
                <w:lang w:val="en-US" w:bidi="ar-SA"/>
              </w:rPr>
              <w:t>表3-</w:t>
            </w:r>
            <w:r>
              <w:rPr>
                <w:rFonts w:hint="eastAsia" w:ascii="Times New Roman" w:hAnsi="Times New Roman" w:cs="Times New Roman"/>
                <w:b/>
                <w:color w:val="auto"/>
                <w:kern w:val="2"/>
                <w:sz w:val="24"/>
                <w:szCs w:val="24"/>
                <w:highlight w:val="none"/>
                <w:lang w:val="en-US" w:eastAsia="zh-CN" w:bidi="ar-SA"/>
              </w:rPr>
              <w:t>10</w:t>
            </w:r>
            <w:r>
              <w:rPr>
                <w:rFonts w:hint="default" w:ascii="Times New Roman" w:hAnsi="Times New Roman" w:cs="Times New Roman"/>
                <w:b/>
                <w:color w:val="auto"/>
                <w:kern w:val="2"/>
                <w:sz w:val="24"/>
                <w:szCs w:val="24"/>
                <w:highlight w:val="none"/>
                <w:lang w:val="en-US" w:bidi="ar-SA"/>
              </w:rPr>
              <w:t xml:space="preserve">  污水排放标准执行标准值  单位：mg/L，pH除外</w:t>
            </w:r>
          </w:p>
          <w:tbl>
            <w:tblPr>
              <w:tblStyle w:val="61"/>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536"/>
              <w:gridCol w:w="2178"/>
              <w:gridCol w:w="563"/>
              <w:gridCol w:w="714"/>
              <w:gridCol w:w="772"/>
              <w:gridCol w:w="555"/>
              <w:gridCol w:w="858"/>
              <w:gridCol w:w="506"/>
              <w:gridCol w:w="653"/>
              <w:gridCol w:w="501"/>
              <w:gridCol w:w="532"/>
            </w:tblGrid>
            <w:tr w14:paraId="515907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1620" w:type="pct"/>
                  <w:gridSpan w:val="2"/>
                  <w:vAlign w:val="center"/>
                </w:tcPr>
                <w:p w14:paraId="43C7EB55">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污染物</w:t>
                  </w:r>
                </w:p>
              </w:tc>
              <w:tc>
                <w:tcPr>
                  <w:tcW w:w="336" w:type="pct"/>
                  <w:vAlign w:val="center"/>
                </w:tcPr>
                <w:p w14:paraId="679BE262">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pH</w:t>
                  </w:r>
                </w:p>
              </w:tc>
              <w:tc>
                <w:tcPr>
                  <w:tcW w:w="426" w:type="pct"/>
                  <w:vAlign w:val="center"/>
                </w:tcPr>
                <w:p w14:paraId="6248C6E1">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COD</w:t>
                  </w:r>
                </w:p>
              </w:tc>
              <w:tc>
                <w:tcPr>
                  <w:tcW w:w="461" w:type="pct"/>
                  <w:vAlign w:val="center"/>
                </w:tcPr>
                <w:p w14:paraId="1D029A8E">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BOD</w:t>
                  </w:r>
                  <w:r>
                    <w:rPr>
                      <w:rFonts w:hint="default" w:ascii="Times New Roman" w:hAnsi="Times New Roman"/>
                      <w:b/>
                      <w:bCs/>
                      <w:color w:val="auto"/>
                      <w:sz w:val="21"/>
                      <w:szCs w:val="21"/>
                      <w:vertAlign w:val="subscript"/>
                    </w:rPr>
                    <w:t>5</w:t>
                  </w:r>
                </w:p>
              </w:tc>
              <w:tc>
                <w:tcPr>
                  <w:tcW w:w="331" w:type="pct"/>
                  <w:vAlign w:val="center"/>
                </w:tcPr>
                <w:p w14:paraId="07EFF3E2">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SS</w:t>
                  </w:r>
                </w:p>
              </w:tc>
              <w:tc>
                <w:tcPr>
                  <w:tcW w:w="512" w:type="pct"/>
                  <w:vAlign w:val="center"/>
                </w:tcPr>
                <w:p w14:paraId="1B6BE4B8">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NH</w:t>
                  </w:r>
                  <w:r>
                    <w:rPr>
                      <w:rFonts w:hint="default" w:ascii="Times New Roman" w:hAnsi="Times New Roman"/>
                      <w:b/>
                      <w:bCs/>
                      <w:color w:val="auto"/>
                      <w:sz w:val="21"/>
                      <w:szCs w:val="21"/>
                      <w:vertAlign w:val="subscript"/>
                    </w:rPr>
                    <w:t>3</w:t>
                  </w:r>
                  <w:r>
                    <w:rPr>
                      <w:rFonts w:hint="default" w:ascii="Times New Roman" w:hAnsi="Times New Roman"/>
                      <w:b/>
                      <w:bCs/>
                      <w:color w:val="auto"/>
                      <w:sz w:val="21"/>
                      <w:szCs w:val="21"/>
                    </w:rPr>
                    <w:t>-N</w:t>
                  </w:r>
                </w:p>
              </w:tc>
              <w:tc>
                <w:tcPr>
                  <w:tcW w:w="302" w:type="pct"/>
                  <w:vAlign w:val="center"/>
                </w:tcPr>
                <w:p w14:paraId="1532227D">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TP</w:t>
                  </w:r>
                </w:p>
              </w:tc>
              <w:tc>
                <w:tcPr>
                  <w:tcW w:w="390" w:type="pct"/>
                  <w:vAlign w:val="center"/>
                </w:tcPr>
                <w:p w14:paraId="3F61DF5D">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LAS</w:t>
                  </w:r>
                </w:p>
              </w:tc>
              <w:tc>
                <w:tcPr>
                  <w:tcW w:w="299" w:type="pct"/>
                  <w:vAlign w:val="center"/>
                </w:tcPr>
                <w:p w14:paraId="28C2D757">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石油类</w:t>
                  </w:r>
                </w:p>
              </w:tc>
              <w:tc>
                <w:tcPr>
                  <w:tcW w:w="317" w:type="pct"/>
                  <w:vAlign w:val="center"/>
                </w:tcPr>
                <w:p w14:paraId="55CBF54D">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TN</w:t>
                  </w:r>
                </w:p>
              </w:tc>
            </w:tr>
            <w:tr w14:paraId="63515C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320" w:type="pct"/>
                  <w:vAlign w:val="center"/>
                </w:tcPr>
                <w:p w14:paraId="5F8A0B16">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接管标准</w:t>
                  </w:r>
                </w:p>
              </w:tc>
              <w:tc>
                <w:tcPr>
                  <w:tcW w:w="1299" w:type="pct"/>
                  <w:vAlign w:val="center"/>
                </w:tcPr>
                <w:p w14:paraId="4DD844C0">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《污水综合排放标准》（GB8978-1996）表4中三级标准</w:t>
                  </w:r>
                </w:p>
              </w:tc>
              <w:tc>
                <w:tcPr>
                  <w:tcW w:w="336" w:type="pct"/>
                  <w:vAlign w:val="center"/>
                </w:tcPr>
                <w:p w14:paraId="7CD259F4">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6~9</w:t>
                  </w:r>
                </w:p>
              </w:tc>
              <w:tc>
                <w:tcPr>
                  <w:tcW w:w="426" w:type="pct"/>
                  <w:vAlign w:val="center"/>
                </w:tcPr>
                <w:p w14:paraId="2CD1EE89">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500</w:t>
                  </w:r>
                </w:p>
              </w:tc>
              <w:tc>
                <w:tcPr>
                  <w:tcW w:w="461" w:type="pct"/>
                  <w:vAlign w:val="center"/>
                </w:tcPr>
                <w:p w14:paraId="0CB8D238">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300</w:t>
                  </w:r>
                </w:p>
              </w:tc>
              <w:tc>
                <w:tcPr>
                  <w:tcW w:w="331" w:type="pct"/>
                  <w:vAlign w:val="center"/>
                </w:tcPr>
                <w:p w14:paraId="296556A8">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400</w:t>
                  </w:r>
                </w:p>
              </w:tc>
              <w:tc>
                <w:tcPr>
                  <w:tcW w:w="512" w:type="pct"/>
                  <w:vAlign w:val="center"/>
                </w:tcPr>
                <w:p w14:paraId="2FBA3A3B">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w:t>
                  </w:r>
                </w:p>
              </w:tc>
              <w:tc>
                <w:tcPr>
                  <w:tcW w:w="302" w:type="pct"/>
                  <w:vAlign w:val="center"/>
                </w:tcPr>
                <w:p w14:paraId="1658C30D">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w:t>
                  </w:r>
                </w:p>
              </w:tc>
              <w:tc>
                <w:tcPr>
                  <w:tcW w:w="390" w:type="pct"/>
                  <w:vAlign w:val="center"/>
                </w:tcPr>
                <w:p w14:paraId="663F867D">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20</w:t>
                  </w:r>
                </w:p>
              </w:tc>
              <w:tc>
                <w:tcPr>
                  <w:tcW w:w="299" w:type="pct"/>
                  <w:vAlign w:val="center"/>
                </w:tcPr>
                <w:p w14:paraId="2E174F2A">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20</w:t>
                  </w:r>
                </w:p>
              </w:tc>
              <w:tc>
                <w:tcPr>
                  <w:tcW w:w="317" w:type="pct"/>
                  <w:vAlign w:val="center"/>
                </w:tcPr>
                <w:p w14:paraId="4F44CB5C">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w:t>
                  </w:r>
                </w:p>
              </w:tc>
            </w:tr>
            <w:tr w14:paraId="0EFFE5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320" w:type="pct"/>
                  <w:vAlign w:val="center"/>
                </w:tcPr>
                <w:p w14:paraId="4346B99E">
                  <w:pPr>
                    <w:pStyle w:val="99"/>
                    <w:keepNext w:val="0"/>
                    <w:keepLines w:val="0"/>
                    <w:suppressLineNumbers w:val="0"/>
                    <w:spacing w:before="24" w:after="24"/>
                    <w:ind w:left="0" w:right="0" w:firstLine="1"/>
                    <w:rPr>
                      <w:rFonts w:hint="default" w:ascii="Times New Roman" w:hAnsi="Times New Roman"/>
                      <w:b/>
                      <w:bCs/>
                      <w:color w:val="auto"/>
                      <w:sz w:val="21"/>
                      <w:szCs w:val="21"/>
                    </w:rPr>
                  </w:pPr>
                  <w:r>
                    <w:rPr>
                      <w:rFonts w:hint="default" w:ascii="Times New Roman" w:hAnsi="Times New Roman"/>
                      <w:b/>
                      <w:bCs/>
                      <w:color w:val="auto"/>
                      <w:sz w:val="21"/>
                      <w:szCs w:val="21"/>
                    </w:rPr>
                    <w:t>出水标准</w:t>
                  </w:r>
                </w:p>
              </w:tc>
              <w:tc>
                <w:tcPr>
                  <w:tcW w:w="1299" w:type="pct"/>
                  <w:vAlign w:val="center"/>
                </w:tcPr>
                <w:p w14:paraId="0B4BC562">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城镇污水处理厂污染物排放标准》（GB18918—2002）一级A标准</w:t>
                  </w:r>
                </w:p>
              </w:tc>
              <w:tc>
                <w:tcPr>
                  <w:tcW w:w="336" w:type="pct"/>
                  <w:vAlign w:val="center"/>
                </w:tcPr>
                <w:p w14:paraId="74DFF20D">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6~9</w:t>
                  </w:r>
                </w:p>
              </w:tc>
              <w:tc>
                <w:tcPr>
                  <w:tcW w:w="426" w:type="pct"/>
                  <w:vAlign w:val="center"/>
                </w:tcPr>
                <w:p w14:paraId="4E55D86E">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50</w:t>
                  </w:r>
                </w:p>
              </w:tc>
              <w:tc>
                <w:tcPr>
                  <w:tcW w:w="461" w:type="pct"/>
                  <w:vAlign w:val="center"/>
                </w:tcPr>
                <w:p w14:paraId="4E5CC99A">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10</w:t>
                  </w:r>
                </w:p>
              </w:tc>
              <w:tc>
                <w:tcPr>
                  <w:tcW w:w="331" w:type="pct"/>
                  <w:vAlign w:val="center"/>
                </w:tcPr>
                <w:p w14:paraId="58AF0A63">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10</w:t>
                  </w:r>
                </w:p>
              </w:tc>
              <w:tc>
                <w:tcPr>
                  <w:tcW w:w="512" w:type="pct"/>
                  <w:vAlign w:val="center"/>
                </w:tcPr>
                <w:p w14:paraId="4E2E51F4">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5（8）</w:t>
                  </w:r>
                </w:p>
              </w:tc>
              <w:tc>
                <w:tcPr>
                  <w:tcW w:w="302" w:type="pct"/>
                  <w:vAlign w:val="center"/>
                </w:tcPr>
                <w:p w14:paraId="620ADD3F">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0.5</w:t>
                  </w:r>
                </w:p>
              </w:tc>
              <w:tc>
                <w:tcPr>
                  <w:tcW w:w="390" w:type="pct"/>
                  <w:vAlign w:val="center"/>
                </w:tcPr>
                <w:p w14:paraId="55D6B165">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0.5</w:t>
                  </w:r>
                </w:p>
              </w:tc>
              <w:tc>
                <w:tcPr>
                  <w:tcW w:w="299" w:type="pct"/>
                  <w:vAlign w:val="center"/>
                </w:tcPr>
                <w:p w14:paraId="28606508">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1.0</w:t>
                  </w:r>
                </w:p>
              </w:tc>
              <w:tc>
                <w:tcPr>
                  <w:tcW w:w="317" w:type="pct"/>
                  <w:vAlign w:val="center"/>
                </w:tcPr>
                <w:p w14:paraId="1510A89E">
                  <w:pPr>
                    <w:pStyle w:val="99"/>
                    <w:keepNext w:val="0"/>
                    <w:keepLines w:val="0"/>
                    <w:suppressLineNumbers w:val="0"/>
                    <w:spacing w:before="24" w:after="24"/>
                    <w:ind w:left="0" w:right="0" w:firstLine="1"/>
                    <w:rPr>
                      <w:rFonts w:hint="default" w:ascii="Times New Roman" w:hAnsi="Times New Roman"/>
                      <w:color w:val="auto"/>
                      <w:sz w:val="21"/>
                      <w:szCs w:val="21"/>
                    </w:rPr>
                  </w:pPr>
                  <w:r>
                    <w:rPr>
                      <w:rFonts w:hint="default" w:ascii="Times New Roman" w:hAnsi="Times New Roman"/>
                      <w:color w:val="auto"/>
                      <w:sz w:val="21"/>
                      <w:szCs w:val="21"/>
                    </w:rPr>
                    <w:t>15</w:t>
                  </w:r>
                </w:p>
              </w:tc>
            </w:tr>
          </w:tbl>
          <w:p w14:paraId="130C983C">
            <w:pPr>
              <w:keepNext w:val="0"/>
              <w:keepLines w:val="0"/>
              <w:suppressLineNumbers w:val="0"/>
              <w:wordWrap w:val="0"/>
              <w:topLinePunct/>
              <w:adjustRightInd w:val="0"/>
              <w:snapToGrid w:val="0"/>
              <w:spacing w:before="0" w:beforeAutospacing="0" w:after="0" w:afterAutospacing="0" w:line="360" w:lineRule="auto"/>
              <w:ind w:left="0" w:right="0" w:firstLine="361" w:firstLineChars="200"/>
              <w:jc w:val="left"/>
              <w:rPr>
                <w:rFonts w:hint="default" w:ascii="Times New Roman" w:hAnsi="Times New Roman" w:eastAsia="宋体" w:cs="Times New Roman"/>
                <w:b/>
                <w:bCs/>
                <w:color w:val="auto"/>
                <w:kern w:val="0"/>
                <w:sz w:val="18"/>
                <w:szCs w:val="21"/>
                <w:highlight w:val="none"/>
              </w:rPr>
            </w:pPr>
            <w:r>
              <w:rPr>
                <w:rFonts w:hint="default" w:ascii="Times New Roman" w:hAnsi="Times New Roman" w:cs="Times New Roman"/>
                <w:b/>
                <w:bCs/>
                <w:color w:val="auto"/>
                <w:kern w:val="0"/>
                <w:sz w:val="18"/>
                <w:szCs w:val="21"/>
                <w:highlight w:val="none"/>
              </w:rPr>
              <w:t>注：括号外数值为水温＞12℃</w:t>
            </w:r>
            <w:r>
              <w:rPr>
                <w:rFonts w:hint="default" w:ascii="Times New Roman" w:hAnsi="Times New Roman" w:eastAsia="宋体" w:cs="Times New Roman"/>
                <w:b/>
                <w:bCs/>
                <w:color w:val="auto"/>
                <w:kern w:val="0"/>
                <w:sz w:val="18"/>
                <w:szCs w:val="21"/>
                <w:highlight w:val="none"/>
              </w:rPr>
              <w:t>时的控制指标，括号内数值为水温≤12℃时的控制指标。</w:t>
            </w:r>
          </w:p>
          <w:p w14:paraId="5A3F170B">
            <w:pPr>
              <w:keepNext w:val="0"/>
              <w:keepLines w:val="0"/>
              <w:suppressLineNumbers w:val="0"/>
              <w:spacing w:before="100" w:beforeAutospacing="1" w:after="0" w:afterAutospacing="0" w:line="360" w:lineRule="auto"/>
              <w:ind w:left="0" w:right="0" w:firstLine="482" w:firstLineChars="200"/>
              <w:rPr>
                <w:rFonts w:hint="default" w:ascii="Times New Roman" w:hAnsi="Times New Roman" w:cs="Times New Roman"/>
                <w:b/>
                <w:color w:val="auto"/>
                <w:kern w:val="0"/>
                <w:sz w:val="24"/>
                <w:szCs w:val="20"/>
                <w:highlight w:val="none"/>
              </w:rPr>
            </w:pPr>
            <w:r>
              <w:rPr>
                <w:rFonts w:hint="default" w:ascii="Times New Roman" w:hAnsi="Times New Roman" w:cs="Times New Roman"/>
                <w:b/>
                <w:color w:val="auto"/>
                <w:kern w:val="0"/>
                <w:sz w:val="24"/>
                <w:szCs w:val="20"/>
                <w:highlight w:val="none"/>
              </w:rPr>
              <w:t>3、噪声</w:t>
            </w:r>
          </w:p>
          <w:p w14:paraId="4D4673BA">
            <w:pPr>
              <w:keepNext w:val="0"/>
              <w:keepLines w:val="0"/>
              <w:widowControl/>
              <w:suppressLineNumbers w:val="0"/>
              <w:spacing w:before="0" w:beforeAutospacing="0" w:after="0" w:afterAutospacing="0" w:line="360" w:lineRule="auto"/>
              <w:ind w:left="-2" w:leftChars="-1" w:right="0" w:firstLine="480" w:firstLineChars="200"/>
              <w:jc w:val="left"/>
              <w:rPr>
                <w:rFonts w:hint="default" w:ascii="Times New Roman" w:hAnsi="Times New Roman" w:cs="Times New Roman"/>
                <w:color w:val="auto"/>
                <w:kern w:val="0"/>
                <w:sz w:val="24"/>
                <w:szCs w:val="20"/>
                <w:highlight w:val="none"/>
              </w:rPr>
            </w:pPr>
            <w:r>
              <w:rPr>
                <w:rFonts w:hint="default" w:ascii="Times New Roman" w:hAnsi="Times New Roman" w:cs="Times New Roman"/>
                <w:color w:val="000000" w:themeColor="text1"/>
                <w:kern w:val="0"/>
                <w:sz w:val="24"/>
                <w:szCs w:val="20"/>
                <w14:textFill>
                  <w14:solidFill>
                    <w14:schemeClr w14:val="tx1"/>
                  </w14:solidFill>
                </w14:textFill>
              </w:rPr>
              <w:t>运营期厂界噪声厂界噪声执行《工业企业厂界环境噪声排放标准》（</w:t>
            </w:r>
            <w:r>
              <w:rPr>
                <w:rFonts w:hint="default" w:ascii="Times New Roman" w:hAnsi="Times New Roman" w:cs="Times New Roman"/>
                <w:bCs/>
                <w:color w:val="000000" w:themeColor="text1"/>
                <w:kern w:val="0"/>
                <w:sz w:val="24"/>
                <w:szCs w:val="20"/>
                <w14:textFill>
                  <w14:solidFill>
                    <w14:schemeClr w14:val="tx1"/>
                  </w14:solidFill>
                </w14:textFill>
              </w:rPr>
              <w:t>GB12348-2008）</w:t>
            </w:r>
            <w:r>
              <w:rPr>
                <w:rFonts w:hint="default" w:ascii="Times New Roman" w:hAnsi="Times New Roman" w:cs="Times New Roman"/>
                <w:color w:val="000000" w:themeColor="text1"/>
                <w:kern w:val="0"/>
                <w:sz w:val="24"/>
                <w:szCs w:val="20"/>
                <w14:textFill>
                  <w14:solidFill>
                    <w14:schemeClr w14:val="tx1"/>
                  </w14:solidFill>
                </w14:textFill>
              </w:rPr>
              <w:t>中的3类标准</w:t>
            </w:r>
            <w:r>
              <w:rPr>
                <w:rFonts w:hint="default" w:ascii="Times New Roman" w:hAnsi="Times New Roman" w:cs="Times New Roman"/>
                <w:color w:val="auto"/>
                <w:kern w:val="0"/>
                <w:sz w:val="24"/>
                <w:szCs w:val="20"/>
                <w:highlight w:val="none"/>
              </w:rPr>
              <w:t>。</w:t>
            </w:r>
          </w:p>
          <w:p w14:paraId="2AFA2377">
            <w:pPr>
              <w:pStyle w:val="229"/>
              <w:keepNext w:val="0"/>
              <w:keepLines w:val="0"/>
              <w:suppressLineNumbers w:val="0"/>
              <w:spacing w:before="0" w:beforeAutospacing="0" w:after="0" w:afterAutospacing="0"/>
              <w:ind w:left="0" w:right="74"/>
              <w:rPr>
                <w:rFonts w:hint="default" w:ascii="Times New Roman" w:hAnsi="Times New Roman" w:cs="Times New Roman"/>
                <w:b/>
                <w:color w:val="auto"/>
                <w:kern w:val="2"/>
                <w:sz w:val="24"/>
                <w:szCs w:val="24"/>
                <w:highlight w:val="none"/>
                <w:lang w:val="en-US" w:bidi="ar-SA"/>
              </w:rPr>
            </w:pPr>
            <w:r>
              <w:rPr>
                <w:rFonts w:hint="default" w:ascii="Times New Roman" w:hAnsi="Times New Roman" w:cs="Times New Roman"/>
                <w:b/>
                <w:color w:val="auto"/>
                <w:kern w:val="2"/>
                <w:sz w:val="24"/>
                <w:szCs w:val="24"/>
                <w:highlight w:val="none"/>
                <w:lang w:val="en-US" w:bidi="ar-SA"/>
              </w:rPr>
              <w:t>表3-1</w:t>
            </w:r>
            <w:r>
              <w:rPr>
                <w:rFonts w:hint="eastAsia" w:ascii="Times New Roman" w:hAnsi="Times New Roman" w:cs="Times New Roman"/>
                <w:b/>
                <w:color w:val="auto"/>
                <w:kern w:val="2"/>
                <w:sz w:val="24"/>
                <w:szCs w:val="24"/>
                <w:highlight w:val="none"/>
                <w:lang w:val="en-US" w:eastAsia="zh-CN" w:bidi="ar-SA"/>
              </w:rPr>
              <w:t>1</w:t>
            </w:r>
            <w:r>
              <w:rPr>
                <w:rFonts w:hint="default" w:ascii="Times New Roman" w:hAnsi="Times New Roman" w:cs="Times New Roman"/>
                <w:b/>
                <w:color w:val="auto"/>
                <w:kern w:val="2"/>
                <w:sz w:val="24"/>
                <w:szCs w:val="24"/>
                <w:highlight w:val="none"/>
                <w:lang w:val="en-US" w:bidi="ar-SA"/>
              </w:rPr>
              <w:t xml:space="preserve">  项目环境噪声排放标准  单位：dB(A)</w:t>
            </w:r>
          </w:p>
          <w:tbl>
            <w:tblPr>
              <w:tblStyle w:val="61"/>
              <w:tblW w:w="8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717"/>
              <w:gridCol w:w="1717"/>
              <w:gridCol w:w="3125"/>
            </w:tblGrid>
            <w:tr w14:paraId="5C691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2" w:hRule="atLeast"/>
                <w:jc w:val="center"/>
              </w:trPr>
              <w:tc>
                <w:tcPr>
                  <w:tcW w:w="1751" w:type="dxa"/>
                  <w:vMerge w:val="restart"/>
                  <w:vAlign w:val="center"/>
                </w:tcPr>
                <w:p w14:paraId="0B1A8EAE">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类别</w:t>
                  </w:r>
                </w:p>
              </w:tc>
              <w:tc>
                <w:tcPr>
                  <w:tcW w:w="3434" w:type="dxa"/>
                  <w:gridSpan w:val="2"/>
                  <w:vAlign w:val="center"/>
                </w:tcPr>
                <w:p w14:paraId="6BEAAFE8">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标准值dB(A)</w:t>
                  </w:r>
                </w:p>
              </w:tc>
              <w:tc>
                <w:tcPr>
                  <w:tcW w:w="3125" w:type="dxa"/>
                  <w:vMerge w:val="restart"/>
                  <w:vAlign w:val="center"/>
                </w:tcPr>
                <w:p w14:paraId="1171665C">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标准来源</w:t>
                  </w:r>
                </w:p>
              </w:tc>
            </w:tr>
            <w:tr w14:paraId="54D79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751" w:type="dxa"/>
                  <w:vMerge w:val="continue"/>
                  <w:vAlign w:val="center"/>
                </w:tcPr>
                <w:p w14:paraId="56CC3B4B">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p>
              </w:tc>
              <w:tc>
                <w:tcPr>
                  <w:tcW w:w="1717" w:type="dxa"/>
                  <w:vAlign w:val="center"/>
                </w:tcPr>
                <w:p w14:paraId="61140B1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昼间</w:t>
                  </w:r>
                </w:p>
              </w:tc>
              <w:tc>
                <w:tcPr>
                  <w:tcW w:w="1717" w:type="dxa"/>
                  <w:vAlign w:val="center"/>
                </w:tcPr>
                <w:p w14:paraId="46F4B0CB">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夜间</w:t>
                  </w:r>
                </w:p>
              </w:tc>
              <w:tc>
                <w:tcPr>
                  <w:tcW w:w="3125" w:type="dxa"/>
                  <w:vMerge w:val="continue"/>
                  <w:vAlign w:val="center"/>
                </w:tcPr>
                <w:p w14:paraId="385C6293">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p>
              </w:tc>
            </w:tr>
            <w:tr w14:paraId="74C84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751" w:type="dxa"/>
                  <w:vAlign w:val="center"/>
                </w:tcPr>
                <w:p w14:paraId="1E667B4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3类</w:t>
                  </w:r>
                </w:p>
              </w:tc>
              <w:tc>
                <w:tcPr>
                  <w:tcW w:w="1717" w:type="dxa"/>
                  <w:vAlign w:val="center"/>
                </w:tcPr>
                <w:p w14:paraId="57A1A75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65</w:t>
                  </w:r>
                </w:p>
              </w:tc>
              <w:tc>
                <w:tcPr>
                  <w:tcW w:w="1717" w:type="dxa"/>
                  <w:vAlign w:val="center"/>
                </w:tcPr>
                <w:p w14:paraId="42B79E8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55</w:t>
                  </w:r>
                </w:p>
              </w:tc>
              <w:tc>
                <w:tcPr>
                  <w:tcW w:w="3125" w:type="dxa"/>
                  <w:vAlign w:val="center"/>
                </w:tcPr>
                <w:p w14:paraId="5859581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《工业企业厂界环境噪声排放标准》（</w:t>
                  </w:r>
                  <w:r>
                    <w:rPr>
                      <w:rFonts w:hint="default" w:ascii="Times New Roman" w:hAnsi="Times New Roman" w:cs="Times New Roman"/>
                      <w:bCs/>
                      <w:color w:val="auto"/>
                      <w:kern w:val="0"/>
                      <w:szCs w:val="21"/>
                      <w:highlight w:val="none"/>
                    </w:rPr>
                    <w:t>GB12348-2008）</w:t>
                  </w:r>
                </w:p>
              </w:tc>
            </w:tr>
          </w:tbl>
          <w:p w14:paraId="6713F859">
            <w:pPr>
              <w:keepNext w:val="0"/>
              <w:keepLines w:val="0"/>
              <w:widowControl/>
              <w:suppressLineNumbers w:val="0"/>
              <w:spacing w:before="100" w:beforeAutospacing="1" w:after="0" w:afterAutospacing="0" w:line="360" w:lineRule="auto"/>
              <w:ind w:left="0" w:right="0" w:firstLine="482" w:firstLineChars="200"/>
              <w:jc w:val="left"/>
              <w:rPr>
                <w:rFonts w:hint="default" w:ascii="Times New Roman" w:hAnsi="Times New Roman" w:cs="Times New Roman"/>
                <w:b/>
                <w:color w:val="auto"/>
                <w:kern w:val="0"/>
                <w:sz w:val="24"/>
                <w:szCs w:val="20"/>
                <w:highlight w:val="none"/>
              </w:rPr>
            </w:pPr>
            <w:r>
              <w:rPr>
                <w:rFonts w:hint="default" w:ascii="Times New Roman" w:hAnsi="Times New Roman" w:cs="Times New Roman"/>
                <w:b/>
                <w:color w:val="auto"/>
                <w:kern w:val="0"/>
                <w:sz w:val="24"/>
                <w:szCs w:val="20"/>
                <w:highlight w:val="none"/>
              </w:rPr>
              <w:t>4、固废</w:t>
            </w:r>
          </w:p>
          <w:p w14:paraId="5D7D415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项目运营期生活垃圾的管理执行《中华人民共和国固体废物污染环境防治法》（2020.4.29修订）等有关规定；一般固废处置按照《一般工业固体废物贮存和填埋污染控制标准》（GB 18599-2020）中的有关规定执行；危险废物处置按照《危险废物贮存污染控制标准》（GB18597-2023）中的有关规定执行。</w:t>
            </w:r>
          </w:p>
          <w:p w14:paraId="128C07D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28FE8A51">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2A3D6153">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54C0BA61">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26E141BA">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6DB495C1">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60BF5FE1">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12161752">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737E88FE">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65AAA2F5">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7D48B527">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highlight w:val="none"/>
              </w:rPr>
            </w:pPr>
          </w:p>
          <w:p w14:paraId="31A5186A">
            <w:pPr>
              <w:pStyle w:val="5"/>
              <w:suppressLineNumbers w:val="0"/>
              <w:spacing w:beforeAutospacing="0" w:afterAutospacing="0"/>
              <w:ind w:right="0"/>
              <w:rPr>
                <w:rFonts w:hint="default" w:ascii="Times New Roman" w:hAnsi="Times New Roman" w:cs="Times New Roman"/>
                <w:color w:val="auto"/>
                <w:sz w:val="24"/>
                <w:highlight w:val="none"/>
              </w:rPr>
            </w:pPr>
          </w:p>
          <w:p w14:paraId="19150980">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3B83E3B2">
            <w:pPr>
              <w:pStyle w:val="5"/>
              <w:suppressLineNumbers w:val="0"/>
              <w:spacing w:beforeAutospacing="0" w:afterAutospacing="0"/>
              <w:ind w:right="0"/>
              <w:rPr>
                <w:rFonts w:hint="default" w:ascii="Times New Roman" w:hAnsi="Times New Roman" w:cs="Times New Roman"/>
                <w:color w:val="auto"/>
                <w:sz w:val="24"/>
                <w:highlight w:val="none"/>
              </w:rPr>
            </w:pPr>
          </w:p>
          <w:p w14:paraId="728EF4F9">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39937514">
            <w:pPr>
              <w:pStyle w:val="5"/>
              <w:suppressLineNumbers w:val="0"/>
              <w:spacing w:beforeAutospacing="0" w:afterAutospacing="0"/>
              <w:ind w:right="0"/>
              <w:rPr>
                <w:rFonts w:hint="default" w:ascii="Times New Roman" w:hAnsi="Times New Roman" w:cs="Times New Roman"/>
                <w:color w:val="auto"/>
                <w:sz w:val="24"/>
                <w:highlight w:val="none"/>
              </w:rPr>
            </w:pPr>
          </w:p>
          <w:p w14:paraId="4C930BE8">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1BDBBC20">
            <w:pPr>
              <w:pStyle w:val="5"/>
              <w:suppressLineNumbers w:val="0"/>
              <w:spacing w:beforeAutospacing="0" w:afterAutospacing="0"/>
              <w:ind w:right="0"/>
              <w:rPr>
                <w:rFonts w:hint="default" w:ascii="Times New Roman" w:hAnsi="Times New Roman" w:cs="Times New Roman"/>
                <w:color w:val="auto"/>
                <w:sz w:val="24"/>
                <w:highlight w:val="none"/>
              </w:rPr>
            </w:pPr>
          </w:p>
          <w:p w14:paraId="0B87665A">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6E1E4E50">
            <w:pPr>
              <w:pStyle w:val="5"/>
              <w:suppressLineNumbers w:val="0"/>
              <w:spacing w:beforeAutospacing="0" w:afterAutospacing="0"/>
              <w:ind w:right="0"/>
              <w:rPr>
                <w:rFonts w:hint="default" w:ascii="Times New Roman" w:hAnsi="Times New Roman" w:cs="Times New Roman"/>
                <w:color w:val="auto"/>
                <w:sz w:val="24"/>
                <w:highlight w:val="none"/>
              </w:rPr>
            </w:pPr>
          </w:p>
          <w:p w14:paraId="6EB22FC0">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3C0E1A4B">
            <w:pPr>
              <w:pStyle w:val="5"/>
              <w:suppressLineNumbers w:val="0"/>
              <w:spacing w:beforeAutospacing="0" w:afterAutospacing="0"/>
              <w:ind w:right="0"/>
              <w:rPr>
                <w:rFonts w:hint="default" w:ascii="Times New Roman" w:hAnsi="Times New Roman" w:cs="Times New Roman"/>
                <w:color w:val="auto"/>
                <w:sz w:val="24"/>
                <w:highlight w:val="none"/>
              </w:rPr>
            </w:pPr>
          </w:p>
          <w:p w14:paraId="6E204ACC">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180F79AB">
            <w:pPr>
              <w:pStyle w:val="5"/>
              <w:suppressLineNumbers w:val="0"/>
              <w:spacing w:beforeAutospacing="0" w:afterAutospacing="0"/>
              <w:ind w:right="0"/>
              <w:rPr>
                <w:rFonts w:hint="default" w:ascii="Times New Roman" w:hAnsi="Times New Roman" w:cs="Times New Roman"/>
                <w:color w:val="auto"/>
                <w:sz w:val="24"/>
                <w:highlight w:val="none"/>
              </w:rPr>
            </w:pPr>
          </w:p>
          <w:p w14:paraId="23C10D8D">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678D2FF1">
            <w:pPr>
              <w:pStyle w:val="5"/>
              <w:suppressLineNumbers w:val="0"/>
              <w:spacing w:beforeAutospacing="0" w:afterAutospacing="0"/>
              <w:ind w:right="0"/>
              <w:rPr>
                <w:rFonts w:hint="default" w:ascii="Times New Roman" w:hAnsi="Times New Roman" w:cs="Times New Roman"/>
                <w:color w:val="auto"/>
                <w:sz w:val="24"/>
                <w:highlight w:val="none"/>
              </w:rPr>
            </w:pPr>
          </w:p>
          <w:p w14:paraId="2E9B19AE">
            <w:pPr>
              <w:keepNext w:val="0"/>
              <w:keepLines w:val="0"/>
              <w:suppressLineNumbers w:val="0"/>
              <w:spacing w:before="0" w:beforeAutospacing="0" w:after="0" w:afterAutospacing="0"/>
              <w:ind w:left="0" w:right="0"/>
              <w:rPr>
                <w:rFonts w:hint="default" w:ascii="Times New Roman" w:hAnsi="Times New Roman" w:cs="Times New Roman"/>
                <w:color w:val="auto"/>
                <w:sz w:val="24"/>
                <w:highlight w:val="none"/>
              </w:rPr>
            </w:pPr>
          </w:p>
          <w:p w14:paraId="2EC7C67B">
            <w:pPr>
              <w:pStyle w:val="5"/>
              <w:suppressLineNumbers w:val="0"/>
              <w:spacing w:beforeAutospacing="0" w:afterAutospacing="0"/>
              <w:ind w:right="0"/>
              <w:rPr>
                <w:rFonts w:hint="default"/>
              </w:rPr>
            </w:pPr>
          </w:p>
        </w:tc>
      </w:tr>
    </w:tbl>
    <w:p w14:paraId="555D5B14">
      <w:pPr>
        <w:rPr>
          <w:rFonts w:hint="default" w:ascii="Times New Roman" w:hAnsi="Times New Roman" w:cs="Times New Roman"/>
          <w:snapToGrid w:val="0"/>
          <w:color w:val="auto"/>
          <w:sz w:val="36"/>
          <w:szCs w:val="36"/>
          <w:highlight w:val="none"/>
        </w:rPr>
      </w:pPr>
      <w:r>
        <w:rPr>
          <w:rFonts w:hint="default" w:ascii="Times New Roman" w:hAnsi="Times New Roman" w:cs="Times New Roman"/>
          <w:snapToGrid w:val="0"/>
          <w:color w:val="auto"/>
          <w:sz w:val="36"/>
          <w:szCs w:val="36"/>
          <w:highlight w:val="none"/>
        </w:rPr>
        <w:br w:type="page"/>
      </w:r>
    </w:p>
    <w:tbl>
      <w:tblPr>
        <w:tblStyle w:val="61"/>
        <w:tblW w:w="90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8544"/>
      </w:tblGrid>
      <w:tr w14:paraId="343664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81" w:hRule="atLeast"/>
          <w:jc w:val="center"/>
        </w:trPr>
        <w:tc>
          <w:tcPr>
            <w:tcW w:w="513" w:type="dxa"/>
            <w:vAlign w:val="center"/>
          </w:tcPr>
          <w:p w14:paraId="093C6DA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总量</w:t>
            </w:r>
          </w:p>
          <w:p w14:paraId="489EDD3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控制</w:t>
            </w:r>
          </w:p>
          <w:p w14:paraId="189F2A0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 w:val="24"/>
                <w:highlight w:val="none"/>
              </w:rPr>
              <w:t>指标</w:t>
            </w:r>
          </w:p>
        </w:tc>
        <w:tc>
          <w:tcPr>
            <w:tcW w:w="8544" w:type="dxa"/>
            <w:vAlign w:val="center"/>
          </w:tcPr>
          <w:p w14:paraId="710EAB4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根据《国务院关于印发&lt;“十四五”节能减排综合性工作方案&gt;的通知》（国发[2021]33号），目前国家对化学需氧量COD、氨氮NH</w:t>
            </w:r>
            <w:r>
              <w:rPr>
                <w:rFonts w:hint="default" w:ascii="Times New Roman" w:hAnsi="Times New Roman" w:cs="Times New Roman"/>
                <w:color w:val="auto"/>
                <w:sz w:val="24"/>
                <w:highlight w:val="none"/>
                <w:vertAlign w:val="subscript"/>
              </w:rPr>
              <w:t>3</w:t>
            </w:r>
            <w:r>
              <w:rPr>
                <w:rFonts w:hint="default" w:ascii="Times New Roman" w:hAnsi="Times New Roman" w:cs="Times New Roman"/>
                <w:color w:val="auto"/>
                <w:sz w:val="24"/>
                <w:highlight w:val="none"/>
              </w:rPr>
              <w:t>-N、氮氧化物NOx、挥发性有机物VOCs等四种主要污染物纳入排放总量控制计划管理。</w:t>
            </w:r>
          </w:p>
          <w:p w14:paraId="1B54765A">
            <w:pPr>
              <w:keepNext w:val="0"/>
              <w:keepLines w:val="0"/>
              <w:suppressLineNumbers w:val="0"/>
              <w:wordWrap w:val="0"/>
              <w:topLinePunct/>
              <w:spacing w:before="0" w:beforeAutospacing="0" w:after="0" w:afterAutospacing="0" w:line="360" w:lineRule="auto"/>
              <w:ind w:left="0" w:right="0" w:firstLine="480" w:firstLineChars="200"/>
              <w:contextualSpacing/>
              <w:textAlignment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本项目总量控制指标见下表：</w:t>
            </w:r>
          </w:p>
          <w:p w14:paraId="5A7C378B">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 w:val="24"/>
                <w:szCs w:val="20"/>
                <w:highlight w:val="none"/>
              </w:rPr>
            </w:pPr>
            <w:r>
              <w:rPr>
                <w:rFonts w:hint="default" w:ascii="Times New Roman" w:hAnsi="Times New Roman" w:cs="Times New Roman"/>
                <w:b/>
                <w:color w:val="auto"/>
                <w:kern w:val="0"/>
                <w:sz w:val="24"/>
                <w:szCs w:val="20"/>
                <w:highlight w:val="none"/>
              </w:rPr>
              <w:t>表3-1</w:t>
            </w:r>
            <w:r>
              <w:rPr>
                <w:rFonts w:hint="eastAsia" w:cs="Times New Roman"/>
                <w:b/>
                <w:color w:val="auto"/>
                <w:kern w:val="0"/>
                <w:sz w:val="24"/>
                <w:szCs w:val="20"/>
                <w:highlight w:val="none"/>
                <w:lang w:val="en-US" w:eastAsia="zh-CN"/>
              </w:rPr>
              <w:t>2</w:t>
            </w:r>
            <w:r>
              <w:rPr>
                <w:rFonts w:hint="default" w:ascii="Times New Roman" w:hAnsi="Times New Roman" w:cs="Times New Roman"/>
                <w:b/>
                <w:color w:val="auto"/>
                <w:kern w:val="0"/>
                <w:sz w:val="24"/>
                <w:szCs w:val="20"/>
                <w:highlight w:val="none"/>
              </w:rPr>
              <w:t xml:space="preserve">  项目总量控制指</w:t>
            </w:r>
            <w:r>
              <w:rPr>
                <w:rFonts w:hint="default"/>
              </w:rPr>
              <w:commentReference w:id="28"/>
            </w:r>
            <w:r>
              <w:rPr>
                <w:rFonts w:hint="default" w:ascii="Times New Roman" w:hAnsi="Times New Roman" w:cs="Times New Roman"/>
                <w:b/>
                <w:color w:val="auto"/>
                <w:kern w:val="0"/>
                <w:sz w:val="24"/>
                <w:szCs w:val="20"/>
                <w:highlight w:val="none"/>
              </w:rPr>
              <w:t>标 单位：t/a</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007"/>
              <w:gridCol w:w="2250"/>
              <w:gridCol w:w="1108"/>
              <w:gridCol w:w="1533"/>
              <w:gridCol w:w="1779"/>
            </w:tblGrid>
            <w:tr w14:paraId="227FF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tcBorders>
                    <w:tl2br w:val="nil"/>
                    <w:tr2bl w:val="nil"/>
                  </w:tcBorders>
                  <w:vAlign w:val="center"/>
                </w:tcPr>
                <w:p w14:paraId="2126C52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项目</w:t>
                  </w:r>
                </w:p>
              </w:tc>
              <w:tc>
                <w:tcPr>
                  <w:tcW w:w="1957" w:type="pct"/>
                  <w:gridSpan w:val="2"/>
                  <w:tcBorders>
                    <w:tl2br w:val="nil"/>
                    <w:tr2bl w:val="nil"/>
                  </w:tcBorders>
                  <w:vAlign w:val="center"/>
                </w:tcPr>
                <w:p w14:paraId="3E54081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总量控制因子</w:t>
                  </w:r>
                </w:p>
              </w:tc>
              <w:tc>
                <w:tcPr>
                  <w:tcW w:w="666" w:type="pct"/>
                  <w:tcBorders>
                    <w:tl2br w:val="nil"/>
                    <w:tr2bl w:val="nil"/>
                  </w:tcBorders>
                  <w:shd w:val="clear" w:color="auto" w:fill="auto"/>
                  <w:vAlign w:val="center"/>
                </w:tcPr>
                <w:p w14:paraId="4C4D60FB">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本项目</w:t>
                  </w:r>
                </w:p>
                <w:p w14:paraId="03B5E809">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总量</w:t>
                  </w:r>
                </w:p>
              </w:tc>
              <w:tc>
                <w:tcPr>
                  <w:tcW w:w="921" w:type="pct"/>
                  <w:tcBorders>
                    <w:tl2br w:val="nil"/>
                    <w:tr2bl w:val="nil"/>
                  </w:tcBorders>
                  <w:shd w:val="clear" w:color="auto" w:fill="auto"/>
                  <w:vAlign w:val="center"/>
                </w:tcPr>
                <w:p w14:paraId="61C6A728">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以新带老</w:t>
                  </w:r>
                </w:p>
                <w:p w14:paraId="0942C4DF">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削减总量</w:t>
                  </w:r>
                </w:p>
              </w:tc>
              <w:tc>
                <w:tcPr>
                  <w:tcW w:w="1069" w:type="pct"/>
                  <w:tcBorders>
                    <w:tl2br w:val="nil"/>
                    <w:tr2bl w:val="nil"/>
                  </w:tcBorders>
                  <w:shd w:val="clear" w:color="auto" w:fill="auto"/>
                  <w:vAlign w:val="center"/>
                </w:tcPr>
                <w:p w14:paraId="741F31A2">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全厂总量</w:t>
                  </w:r>
                </w:p>
              </w:tc>
            </w:tr>
            <w:tr w14:paraId="73ABA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restart"/>
                  <w:tcBorders>
                    <w:tl2br w:val="nil"/>
                    <w:tr2bl w:val="nil"/>
                  </w:tcBorders>
                  <w:vAlign w:val="center"/>
                </w:tcPr>
                <w:p w14:paraId="2E3C86C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1957" w:type="pct"/>
                  <w:gridSpan w:val="2"/>
                  <w:tcBorders>
                    <w:tl2br w:val="nil"/>
                    <w:tr2bl w:val="nil"/>
                  </w:tcBorders>
                  <w:vAlign w:val="center"/>
                </w:tcPr>
                <w:p w14:paraId="29F52D0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废水量</w:t>
                  </w:r>
                </w:p>
              </w:tc>
              <w:tc>
                <w:tcPr>
                  <w:tcW w:w="666" w:type="pct"/>
                  <w:tcBorders>
                    <w:tl2br w:val="nil"/>
                    <w:tr2bl w:val="nil"/>
                  </w:tcBorders>
                  <w:vAlign w:val="center"/>
                </w:tcPr>
                <w:p w14:paraId="611A9B05">
                  <w:pPr>
                    <w:pStyle w:val="1112"/>
                    <w:keepNext w:val="0"/>
                    <w:keepLines w:val="0"/>
                    <w:suppressLineNumbers w:val="0"/>
                    <w:spacing w:before="0" w:beforeAutospacing="0" w:after="0" w:afterAutospacing="0"/>
                    <w:ind w:left="0" w:right="0"/>
                    <w:rPr>
                      <w:rFonts w:hint="default" w:ascii="Times New Roman" w:hAnsi="Times New Roman" w:cs="Times New Roman"/>
                      <w:color w:val="auto"/>
                      <w:kern w:val="2"/>
                      <w:highlight w:val="none"/>
                    </w:rPr>
                  </w:pPr>
                  <w:r>
                    <w:rPr>
                      <w:rFonts w:hint="eastAsia"/>
                      <w:color w:val="auto"/>
                      <w:szCs w:val="21"/>
                      <w:highlight w:val="none"/>
                      <w:lang w:val="en-US" w:eastAsia="zh-CN"/>
                    </w:rPr>
                    <w:t>2597.339</w:t>
                  </w:r>
                </w:p>
              </w:tc>
              <w:tc>
                <w:tcPr>
                  <w:tcW w:w="921" w:type="pct"/>
                  <w:tcBorders>
                    <w:tl2br w:val="nil"/>
                    <w:tr2bl w:val="nil"/>
                  </w:tcBorders>
                  <w:vAlign w:val="center"/>
                </w:tcPr>
                <w:p w14:paraId="37849B33">
                  <w:pPr>
                    <w:pStyle w:val="1112"/>
                    <w:keepNext w:val="0"/>
                    <w:keepLines w:val="0"/>
                    <w:suppressLineNumbers w:val="0"/>
                    <w:spacing w:before="0" w:beforeAutospacing="0" w:after="0" w:afterAutospacing="0"/>
                    <w:ind w:left="0" w:right="0"/>
                    <w:rPr>
                      <w:rFonts w:hint="default" w:ascii="Times New Roman" w:hAnsi="Times New Roman" w:cs="Times New Roman"/>
                      <w:color w:val="auto"/>
                      <w:kern w:val="2"/>
                      <w:highlight w:val="none"/>
                    </w:rPr>
                  </w:pPr>
                  <w:r>
                    <w:rPr>
                      <w:rFonts w:hint="eastAsia" w:cs="Times New Roman"/>
                      <w:color w:val="auto"/>
                      <w:sz w:val="21"/>
                      <w:szCs w:val="21"/>
                      <w:highlight w:val="none"/>
                      <w:lang w:val="en-US" w:eastAsia="zh-CN"/>
                    </w:rPr>
                    <w:t>/</w:t>
                  </w:r>
                </w:p>
              </w:tc>
              <w:tc>
                <w:tcPr>
                  <w:tcW w:w="1069" w:type="pct"/>
                  <w:tcBorders>
                    <w:tl2br w:val="nil"/>
                    <w:tr2bl w:val="nil"/>
                  </w:tcBorders>
                  <w:shd w:val="clear" w:color="auto" w:fill="auto"/>
                  <w:vAlign w:val="center"/>
                </w:tcPr>
                <w:p w14:paraId="12C390ED">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2597.339</w:t>
                  </w:r>
                </w:p>
              </w:tc>
            </w:tr>
            <w:tr w14:paraId="5B7AA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tcBorders>
                    <w:tl2br w:val="nil"/>
                    <w:tr2bl w:val="nil"/>
                  </w:tcBorders>
                  <w:vAlign w:val="center"/>
                </w:tcPr>
                <w:p w14:paraId="21C98A7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05" w:type="pct"/>
                  <w:vMerge w:val="restart"/>
                  <w:tcBorders>
                    <w:tl2br w:val="nil"/>
                    <w:tr2bl w:val="nil"/>
                  </w:tcBorders>
                  <w:vAlign w:val="center"/>
                </w:tcPr>
                <w:p w14:paraId="2EF5EFF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接管量</w:t>
                  </w:r>
                </w:p>
              </w:tc>
              <w:tc>
                <w:tcPr>
                  <w:tcW w:w="1352" w:type="pct"/>
                  <w:tcBorders>
                    <w:tl2br w:val="nil"/>
                    <w:tr2bl w:val="nil"/>
                  </w:tcBorders>
                  <w:vAlign w:val="center"/>
                </w:tcPr>
                <w:p w14:paraId="164DDDF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COD</w:t>
                  </w:r>
                </w:p>
              </w:tc>
              <w:tc>
                <w:tcPr>
                  <w:tcW w:w="666" w:type="pct"/>
                  <w:tcBorders>
                    <w:tl2br w:val="nil"/>
                    <w:tr2bl w:val="nil"/>
                  </w:tcBorders>
                  <w:shd w:val="clear" w:color="auto" w:fill="auto"/>
                  <w:vAlign w:val="center"/>
                </w:tcPr>
                <w:p w14:paraId="5378E4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1.476 </w:t>
                  </w:r>
                </w:p>
              </w:tc>
              <w:tc>
                <w:tcPr>
                  <w:tcW w:w="921" w:type="pct"/>
                  <w:tcBorders>
                    <w:tl2br w:val="nil"/>
                    <w:tr2bl w:val="nil"/>
                  </w:tcBorders>
                  <w:vAlign w:val="center"/>
                </w:tcPr>
                <w:p w14:paraId="5CAE1FE7">
                  <w:pPr>
                    <w:pStyle w:val="1112"/>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highlight w:val="none"/>
                      <w:lang w:val="en-US" w:eastAsia="zh-CN"/>
                    </w:rPr>
                  </w:pPr>
                  <w:r>
                    <w:rPr>
                      <w:rFonts w:hint="eastAsia" w:cs="Times New Roman"/>
                      <w:color w:val="auto"/>
                      <w:kern w:val="2"/>
                      <w:highlight w:val="none"/>
                      <w:lang w:val="en-US" w:eastAsia="zh-CN"/>
                    </w:rPr>
                    <w:t>/</w:t>
                  </w:r>
                </w:p>
              </w:tc>
              <w:tc>
                <w:tcPr>
                  <w:tcW w:w="1069" w:type="pct"/>
                  <w:tcBorders>
                    <w:tl2br w:val="nil"/>
                    <w:tr2bl w:val="nil"/>
                  </w:tcBorders>
                  <w:vAlign w:val="center"/>
                </w:tcPr>
                <w:p w14:paraId="3346380A">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1.476</w:t>
                  </w:r>
                </w:p>
              </w:tc>
            </w:tr>
            <w:tr w14:paraId="7F430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tcBorders>
                    <w:tl2br w:val="nil"/>
                    <w:tr2bl w:val="nil"/>
                  </w:tcBorders>
                  <w:vAlign w:val="center"/>
                </w:tcPr>
                <w:p w14:paraId="4881F08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05" w:type="pct"/>
                  <w:vMerge w:val="continue"/>
                  <w:tcBorders>
                    <w:tl2br w:val="nil"/>
                    <w:tr2bl w:val="nil"/>
                  </w:tcBorders>
                  <w:vAlign w:val="center"/>
                </w:tcPr>
                <w:p w14:paraId="6FFAD69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352" w:type="pct"/>
                  <w:tcBorders>
                    <w:tl2br w:val="nil"/>
                    <w:tr2bl w:val="nil"/>
                  </w:tcBorders>
                  <w:vAlign w:val="center"/>
                </w:tcPr>
                <w:p w14:paraId="7617D37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NH</w:t>
                  </w:r>
                  <w:r>
                    <w:rPr>
                      <w:rFonts w:hint="default" w:ascii="Times New Roman" w:hAnsi="Times New Roman" w:cs="Times New Roman"/>
                      <w:color w:val="auto"/>
                      <w:kern w:val="0"/>
                      <w:szCs w:val="21"/>
                      <w:highlight w:val="none"/>
                      <w:vertAlign w:val="subscript"/>
                    </w:rPr>
                    <w:t>3</w:t>
                  </w:r>
                  <w:r>
                    <w:rPr>
                      <w:rFonts w:hint="default" w:ascii="Times New Roman" w:hAnsi="Times New Roman" w:cs="Times New Roman"/>
                      <w:color w:val="auto"/>
                      <w:kern w:val="0"/>
                      <w:szCs w:val="21"/>
                      <w:highlight w:val="none"/>
                    </w:rPr>
                    <w:t>-N</w:t>
                  </w:r>
                </w:p>
              </w:tc>
              <w:tc>
                <w:tcPr>
                  <w:tcW w:w="666" w:type="pct"/>
                  <w:tcBorders>
                    <w:tl2br w:val="nil"/>
                    <w:tr2bl w:val="nil"/>
                  </w:tcBorders>
                  <w:shd w:val="clear" w:color="auto" w:fill="auto"/>
                  <w:vAlign w:val="center"/>
                </w:tcPr>
                <w:p w14:paraId="17545B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0.084 </w:t>
                  </w:r>
                </w:p>
              </w:tc>
              <w:tc>
                <w:tcPr>
                  <w:tcW w:w="921" w:type="pct"/>
                  <w:tcBorders>
                    <w:tl2br w:val="nil"/>
                    <w:tr2bl w:val="nil"/>
                  </w:tcBorders>
                  <w:vAlign w:val="center"/>
                </w:tcPr>
                <w:p w14:paraId="3398C10E">
                  <w:pPr>
                    <w:pStyle w:val="1112"/>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highlight w:val="none"/>
                      <w:lang w:val="en-US" w:eastAsia="zh-CN"/>
                    </w:rPr>
                  </w:pPr>
                  <w:r>
                    <w:rPr>
                      <w:rFonts w:hint="eastAsia" w:cs="Times New Roman"/>
                      <w:color w:val="auto"/>
                      <w:kern w:val="2"/>
                      <w:highlight w:val="none"/>
                      <w:lang w:val="en-US" w:eastAsia="zh-CN"/>
                    </w:rPr>
                    <w:t>/</w:t>
                  </w:r>
                </w:p>
              </w:tc>
              <w:tc>
                <w:tcPr>
                  <w:tcW w:w="1069" w:type="pct"/>
                  <w:tcBorders>
                    <w:tl2br w:val="nil"/>
                    <w:tr2bl w:val="nil"/>
                  </w:tcBorders>
                  <w:vAlign w:val="center"/>
                </w:tcPr>
                <w:p w14:paraId="43D1C28F">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0.084</w:t>
                  </w:r>
                </w:p>
              </w:tc>
            </w:tr>
            <w:tr w14:paraId="392F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tcBorders>
                    <w:tl2br w:val="nil"/>
                    <w:tr2bl w:val="nil"/>
                  </w:tcBorders>
                  <w:vAlign w:val="center"/>
                </w:tcPr>
                <w:p w14:paraId="19D3DA1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05" w:type="pct"/>
                  <w:vMerge w:val="restart"/>
                  <w:tcBorders>
                    <w:tl2br w:val="nil"/>
                    <w:tr2bl w:val="nil"/>
                  </w:tcBorders>
                  <w:vAlign w:val="center"/>
                </w:tcPr>
                <w:p w14:paraId="7EB3138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外排量</w:t>
                  </w:r>
                </w:p>
              </w:tc>
              <w:tc>
                <w:tcPr>
                  <w:tcW w:w="1352" w:type="pct"/>
                  <w:tcBorders>
                    <w:tl2br w:val="nil"/>
                    <w:tr2bl w:val="nil"/>
                  </w:tcBorders>
                  <w:vAlign w:val="center"/>
                </w:tcPr>
                <w:p w14:paraId="6C47CC7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COD</w:t>
                  </w:r>
                </w:p>
              </w:tc>
              <w:tc>
                <w:tcPr>
                  <w:tcW w:w="666" w:type="pct"/>
                  <w:tcBorders>
                    <w:tl2br w:val="nil"/>
                    <w:tr2bl w:val="nil"/>
                  </w:tcBorders>
                  <w:vAlign w:val="center"/>
                </w:tcPr>
                <w:p w14:paraId="1BC2F535">
                  <w:pPr>
                    <w:pStyle w:val="1112"/>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0.589 </w:t>
                  </w:r>
                </w:p>
              </w:tc>
              <w:tc>
                <w:tcPr>
                  <w:tcW w:w="921" w:type="pct"/>
                  <w:tcBorders>
                    <w:tl2br w:val="nil"/>
                    <w:tr2bl w:val="nil"/>
                  </w:tcBorders>
                  <w:vAlign w:val="center"/>
                </w:tcPr>
                <w:p w14:paraId="6D33D81E">
                  <w:pPr>
                    <w:pStyle w:val="1112"/>
                    <w:keepNext w:val="0"/>
                    <w:keepLines w:val="0"/>
                    <w:suppressLineNumbers w:val="0"/>
                    <w:spacing w:before="0" w:beforeAutospacing="0" w:after="0" w:afterAutospacing="0"/>
                    <w:ind w:left="0" w:right="0"/>
                    <w:rPr>
                      <w:rFonts w:hint="default" w:ascii="Times New Roman" w:hAnsi="Times New Roman" w:cs="Times New Roman"/>
                      <w:color w:val="auto"/>
                      <w:kern w:val="2"/>
                      <w:highlight w:val="none"/>
                    </w:rPr>
                  </w:pPr>
                  <w:r>
                    <w:rPr>
                      <w:rFonts w:hint="eastAsia" w:cs="Times New Roman"/>
                      <w:color w:val="auto"/>
                      <w:szCs w:val="21"/>
                      <w:highlight w:val="none"/>
                      <w:lang w:val="en-US" w:eastAsia="zh-CN"/>
                    </w:rPr>
                    <w:t>0.048</w:t>
                  </w:r>
                </w:p>
              </w:tc>
              <w:tc>
                <w:tcPr>
                  <w:tcW w:w="1069" w:type="pct"/>
                  <w:tcBorders>
                    <w:tl2br w:val="nil"/>
                    <w:tr2bl w:val="nil"/>
                  </w:tcBorders>
                  <w:vAlign w:val="center"/>
                </w:tcPr>
                <w:p w14:paraId="00EC02FF">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0.541</w:t>
                  </w:r>
                </w:p>
              </w:tc>
            </w:tr>
            <w:tr w14:paraId="66F71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tcBorders>
                    <w:tl2br w:val="nil"/>
                    <w:tr2bl w:val="nil"/>
                  </w:tcBorders>
                  <w:vAlign w:val="center"/>
                </w:tcPr>
                <w:p w14:paraId="0FA1362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05" w:type="pct"/>
                  <w:vMerge w:val="continue"/>
                  <w:tcBorders>
                    <w:tl2br w:val="nil"/>
                    <w:tr2bl w:val="nil"/>
                  </w:tcBorders>
                  <w:vAlign w:val="center"/>
                </w:tcPr>
                <w:p w14:paraId="1A07B71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352" w:type="pct"/>
                  <w:tcBorders>
                    <w:tl2br w:val="nil"/>
                    <w:tr2bl w:val="nil"/>
                  </w:tcBorders>
                  <w:vAlign w:val="center"/>
                </w:tcPr>
                <w:p w14:paraId="4102FD5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NH</w:t>
                  </w:r>
                  <w:r>
                    <w:rPr>
                      <w:rFonts w:hint="default" w:ascii="Times New Roman" w:hAnsi="Times New Roman" w:cs="Times New Roman"/>
                      <w:color w:val="auto"/>
                      <w:kern w:val="0"/>
                      <w:szCs w:val="21"/>
                      <w:highlight w:val="none"/>
                      <w:vertAlign w:val="subscript"/>
                    </w:rPr>
                    <w:t>3</w:t>
                  </w:r>
                  <w:r>
                    <w:rPr>
                      <w:rFonts w:hint="default" w:ascii="Times New Roman" w:hAnsi="Times New Roman" w:cs="Times New Roman"/>
                      <w:color w:val="auto"/>
                      <w:kern w:val="0"/>
                      <w:szCs w:val="21"/>
                      <w:highlight w:val="none"/>
                    </w:rPr>
                    <w:t>-N</w:t>
                  </w:r>
                </w:p>
              </w:tc>
              <w:tc>
                <w:tcPr>
                  <w:tcW w:w="666" w:type="pct"/>
                  <w:tcBorders>
                    <w:tl2br w:val="nil"/>
                    <w:tr2bl w:val="nil"/>
                  </w:tcBorders>
                  <w:vAlign w:val="center"/>
                </w:tcPr>
                <w:p w14:paraId="23B9994F">
                  <w:pPr>
                    <w:pStyle w:val="1112"/>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0.073 </w:t>
                  </w:r>
                </w:p>
              </w:tc>
              <w:tc>
                <w:tcPr>
                  <w:tcW w:w="921" w:type="pct"/>
                  <w:tcBorders>
                    <w:tl2br w:val="nil"/>
                    <w:tr2bl w:val="nil"/>
                  </w:tcBorders>
                  <w:vAlign w:val="center"/>
                </w:tcPr>
                <w:p w14:paraId="6D976B47">
                  <w:pPr>
                    <w:pStyle w:val="1112"/>
                    <w:keepNext w:val="0"/>
                    <w:keepLines w:val="0"/>
                    <w:suppressLineNumbers w:val="0"/>
                    <w:spacing w:before="0" w:beforeAutospacing="0" w:after="0" w:afterAutospacing="0"/>
                    <w:ind w:left="0" w:right="0"/>
                    <w:rPr>
                      <w:rFonts w:hint="default" w:ascii="Times New Roman" w:hAnsi="Times New Roman" w:cs="Times New Roman"/>
                      <w:color w:val="auto"/>
                      <w:kern w:val="2"/>
                      <w:highlight w:val="none"/>
                    </w:rPr>
                  </w:pPr>
                  <w:r>
                    <w:rPr>
                      <w:rFonts w:hint="eastAsia" w:cs="Times New Roman"/>
                      <w:color w:val="auto"/>
                      <w:szCs w:val="21"/>
                      <w:highlight w:val="none"/>
                      <w:lang w:val="en-US" w:eastAsia="zh-CN"/>
                    </w:rPr>
                    <w:t>0.004</w:t>
                  </w:r>
                </w:p>
              </w:tc>
              <w:tc>
                <w:tcPr>
                  <w:tcW w:w="1069" w:type="pct"/>
                  <w:tcBorders>
                    <w:tl2br w:val="nil"/>
                    <w:tr2bl w:val="nil"/>
                  </w:tcBorders>
                  <w:vAlign w:val="center"/>
                </w:tcPr>
                <w:p w14:paraId="7CA36378">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0.069</w:t>
                  </w:r>
                </w:p>
              </w:tc>
            </w:tr>
            <w:tr w14:paraId="5DAD7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restart"/>
                  <w:tcBorders>
                    <w:tl2br w:val="nil"/>
                    <w:tr2bl w:val="nil"/>
                  </w:tcBorders>
                  <w:vAlign w:val="center"/>
                </w:tcPr>
                <w:p w14:paraId="573D81A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605" w:type="pct"/>
                  <w:vMerge w:val="restart"/>
                  <w:tcBorders>
                    <w:tl2br w:val="nil"/>
                    <w:tr2bl w:val="nil"/>
                  </w:tcBorders>
                  <w:vAlign w:val="center"/>
                </w:tcPr>
                <w:p w14:paraId="4C3B683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VOC</w:t>
                  </w:r>
                  <w:r>
                    <w:rPr>
                      <w:rFonts w:hint="default" w:ascii="Times New Roman" w:hAnsi="Times New Roman" w:cs="Times New Roman"/>
                      <w:color w:val="auto"/>
                      <w:kern w:val="0"/>
                      <w:szCs w:val="21"/>
                      <w:highlight w:val="none"/>
                      <w:vertAlign w:val="subscript"/>
                    </w:rPr>
                    <w:t>S</w:t>
                  </w:r>
                </w:p>
              </w:tc>
              <w:tc>
                <w:tcPr>
                  <w:tcW w:w="1352" w:type="pct"/>
                  <w:tcBorders>
                    <w:tl2br w:val="nil"/>
                    <w:tr2bl w:val="nil"/>
                  </w:tcBorders>
                  <w:shd w:val="clear" w:color="auto" w:fill="auto"/>
                  <w:vAlign w:val="center"/>
                </w:tcPr>
                <w:p w14:paraId="605EA5D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非甲烷总烃（有组织）</w:t>
                  </w:r>
                </w:p>
              </w:tc>
              <w:tc>
                <w:tcPr>
                  <w:tcW w:w="666" w:type="pct"/>
                  <w:tcBorders>
                    <w:tl2br w:val="nil"/>
                    <w:tr2bl w:val="nil"/>
                  </w:tcBorders>
                  <w:shd w:val="clear" w:color="auto" w:fill="auto"/>
                  <w:vAlign w:val="center"/>
                </w:tcPr>
                <w:p w14:paraId="153A7672">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0.0505</w:t>
                  </w:r>
                </w:p>
              </w:tc>
              <w:tc>
                <w:tcPr>
                  <w:tcW w:w="921" w:type="pct"/>
                  <w:tcBorders>
                    <w:tl2br w:val="nil"/>
                    <w:tr2bl w:val="nil"/>
                  </w:tcBorders>
                  <w:vAlign w:val="center"/>
                </w:tcPr>
                <w:p w14:paraId="2C6049CB">
                  <w:pPr>
                    <w:pStyle w:val="1112"/>
                    <w:keepNext w:val="0"/>
                    <w:keepLines w:val="0"/>
                    <w:suppressLineNumbers w:val="0"/>
                    <w:spacing w:before="0" w:beforeAutospacing="0" w:after="0" w:afterAutospacing="0"/>
                    <w:ind w:left="0" w:right="0"/>
                    <w:rPr>
                      <w:rFonts w:hint="default" w:ascii="Times New Roman" w:hAnsi="Times New Roman" w:cs="Times New Roman"/>
                      <w:color w:val="auto"/>
                      <w:kern w:val="2"/>
                      <w:highlight w:val="none"/>
                    </w:rPr>
                  </w:pPr>
                  <w:r>
                    <w:rPr>
                      <w:rFonts w:hint="eastAsia" w:ascii="Times New Roman" w:hAnsi="Times New Roman" w:eastAsia="宋体" w:cs="Times New Roman"/>
                      <w:sz w:val="21"/>
                      <w:szCs w:val="21"/>
                      <w:highlight w:val="none"/>
                      <w:lang w:val="en-US" w:eastAsia="zh-CN"/>
                    </w:rPr>
                    <w:t>0.114</w:t>
                  </w:r>
                </w:p>
              </w:tc>
              <w:tc>
                <w:tcPr>
                  <w:tcW w:w="1069" w:type="pct"/>
                  <w:tcBorders>
                    <w:tl2br w:val="nil"/>
                    <w:tr2bl w:val="nil"/>
                  </w:tcBorders>
                  <w:vAlign w:val="center"/>
                </w:tcPr>
                <w:p w14:paraId="3D6A2DBE">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-0.0635</w:t>
                  </w:r>
                </w:p>
              </w:tc>
            </w:tr>
            <w:tr w14:paraId="55E5E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84" w:type="pct"/>
                  <w:vMerge w:val="continue"/>
                  <w:tcBorders>
                    <w:tl2br w:val="nil"/>
                    <w:tr2bl w:val="nil"/>
                  </w:tcBorders>
                  <w:vAlign w:val="center"/>
                </w:tcPr>
                <w:p w14:paraId="06A1EC5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05" w:type="pct"/>
                  <w:vMerge w:val="continue"/>
                  <w:tcBorders>
                    <w:tl2br w:val="nil"/>
                    <w:tr2bl w:val="nil"/>
                  </w:tcBorders>
                  <w:vAlign w:val="center"/>
                </w:tcPr>
                <w:p w14:paraId="7483A33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352" w:type="pct"/>
                  <w:tcBorders>
                    <w:tl2br w:val="nil"/>
                    <w:tr2bl w:val="nil"/>
                  </w:tcBorders>
                  <w:shd w:val="clear" w:color="auto" w:fill="auto"/>
                  <w:vAlign w:val="center"/>
                </w:tcPr>
                <w:p w14:paraId="2F2022B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非甲烷总烃（无组织）</w:t>
                  </w:r>
                </w:p>
              </w:tc>
              <w:tc>
                <w:tcPr>
                  <w:tcW w:w="666" w:type="pct"/>
                  <w:tcBorders>
                    <w:tl2br w:val="nil"/>
                    <w:tr2bl w:val="nil"/>
                  </w:tcBorders>
                  <w:shd w:val="clear" w:color="auto" w:fill="auto"/>
                  <w:vAlign w:val="center"/>
                </w:tcPr>
                <w:p w14:paraId="59BFCAAD">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0.042</w:t>
                  </w:r>
                </w:p>
              </w:tc>
              <w:tc>
                <w:tcPr>
                  <w:tcW w:w="921" w:type="pct"/>
                  <w:tcBorders>
                    <w:tl2br w:val="nil"/>
                    <w:tr2bl w:val="nil"/>
                  </w:tcBorders>
                  <w:vAlign w:val="center"/>
                </w:tcPr>
                <w:p w14:paraId="12ACFBE2">
                  <w:pPr>
                    <w:pStyle w:val="1112"/>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highlight w:val="none"/>
                      <w:lang w:val="en-US" w:eastAsia="zh-CN"/>
                    </w:rPr>
                  </w:pPr>
                  <w:r>
                    <w:rPr>
                      <w:rFonts w:hint="eastAsia" w:cs="Times New Roman"/>
                      <w:color w:val="auto"/>
                      <w:kern w:val="2"/>
                      <w:highlight w:val="none"/>
                      <w:lang w:val="en-US" w:eastAsia="zh-CN"/>
                    </w:rPr>
                    <w:t>/</w:t>
                  </w:r>
                </w:p>
              </w:tc>
              <w:tc>
                <w:tcPr>
                  <w:tcW w:w="1069" w:type="pct"/>
                  <w:tcBorders>
                    <w:tl2br w:val="nil"/>
                    <w:tr2bl w:val="nil"/>
                  </w:tcBorders>
                  <w:vAlign w:val="center"/>
                </w:tcPr>
                <w:p w14:paraId="46C4B942">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0.152</w:t>
                  </w:r>
                </w:p>
              </w:tc>
            </w:tr>
            <w:tr w14:paraId="48C26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tcBorders>
                    <w:tl2br w:val="nil"/>
                    <w:tr2bl w:val="nil"/>
                  </w:tcBorders>
                  <w:vAlign w:val="center"/>
                </w:tcPr>
                <w:p w14:paraId="1EF56A4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05" w:type="pct"/>
                  <w:vMerge w:val="restart"/>
                  <w:tcBorders>
                    <w:tl2br w:val="nil"/>
                    <w:tr2bl w:val="nil"/>
                  </w:tcBorders>
                  <w:vAlign w:val="center"/>
                </w:tcPr>
                <w:p w14:paraId="4AB5863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 w:val="21"/>
                      <w:szCs w:val="21"/>
                      <w:highlight w:val="none"/>
                    </w:rPr>
                    <w:t>NOx</w:t>
                  </w:r>
                </w:p>
              </w:tc>
              <w:tc>
                <w:tcPr>
                  <w:tcW w:w="1352" w:type="pct"/>
                  <w:tcBorders>
                    <w:tl2br w:val="nil"/>
                    <w:tr2bl w:val="nil"/>
                  </w:tcBorders>
                  <w:shd w:val="clear" w:color="auto" w:fill="auto"/>
                  <w:vAlign w:val="center"/>
                </w:tcPr>
                <w:p w14:paraId="42C8CC2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NOx</w:t>
                  </w:r>
                </w:p>
                <w:p w14:paraId="3D93EB3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（有组织）</w:t>
                  </w:r>
                </w:p>
              </w:tc>
              <w:tc>
                <w:tcPr>
                  <w:tcW w:w="666" w:type="pct"/>
                  <w:tcBorders>
                    <w:tl2br w:val="nil"/>
                    <w:tr2bl w:val="nil"/>
                  </w:tcBorders>
                  <w:shd w:val="clear" w:color="auto" w:fill="auto"/>
                  <w:vAlign w:val="center"/>
                </w:tcPr>
                <w:p w14:paraId="16026686">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0.101</w:t>
                  </w:r>
                </w:p>
              </w:tc>
              <w:tc>
                <w:tcPr>
                  <w:tcW w:w="921" w:type="pct"/>
                  <w:tcBorders>
                    <w:tl2br w:val="nil"/>
                    <w:tr2bl w:val="nil"/>
                  </w:tcBorders>
                  <w:vAlign w:val="center"/>
                </w:tcPr>
                <w:p w14:paraId="5FDBCE7C">
                  <w:pPr>
                    <w:pStyle w:val="1112"/>
                    <w:keepNext w:val="0"/>
                    <w:keepLines w:val="0"/>
                    <w:suppressLineNumbers w:val="0"/>
                    <w:spacing w:before="0" w:beforeAutospacing="0" w:after="0" w:afterAutospacing="0"/>
                    <w:ind w:left="0" w:right="0"/>
                    <w:rPr>
                      <w:rFonts w:hint="default" w:ascii="Times New Roman" w:hAnsi="Times New Roman" w:cs="Times New Roman"/>
                      <w:color w:val="auto"/>
                      <w:kern w:val="2"/>
                      <w:highlight w:val="none"/>
                    </w:rPr>
                  </w:pPr>
                  <w:r>
                    <w:rPr>
                      <w:rFonts w:hint="default" w:ascii="Times New Roman" w:hAnsi="Times New Roman" w:eastAsia="宋体" w:cs="Times New Roman"/>
                      <w:sz w:val="21"/>
                      <w:szCs w:val="21"/>
                      <w:highlight w:val="none"/>
                      <w:lang w:eastAsia="zh-CN"/>
                    </w:rPr>
                    <w:t>0.084</w:t>
                  </w:r>
                </w:p>
              </w:tc>
              <w:tc>
                <w:tcPr>
                  <w:tcW w:w="1069" w:type="pct"/>
                  <w:tcBorders>
                    <w:tl2br w:val="nil"/>
                    <w:tr2bl w:val="nil"/>
                  </w:tcBorders>
                  <w:vAlign w:val="center"/>
                </w:tcPr>
                <w:p w14:paraId="3CE34E9E">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0.017</w:t>
                  </w:r>
                </w:p>
              </w:tc>
            </w:tr>
            <w:tr w14:paraId="11A76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tcBorders>
                    <w:tl2br w:val="nil"/>
                    <w:tr2bl w:val="nil"/>
                  </w:tcBorders>
                  <w:vAlign w:val="center"/>
                </w:tcPr>
                <w:p w14:paraId="6C222F0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05" w:type="pct"/>
                  <w:vMerge w:val="continue"/>
                  <w:tcBorders>
                    <w:tl2br w:val="nil"/>
                    <w:tr2bl w:val="nil"/>
                  </w:tcBorders>
                  <w:vAlign w:val="center"/>
                </w:tcPr>
                <w:p w14:paraId="2602006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1352" w:type="pct"/>
                  <w:tcBorders>
                    <w:tl2br w:val="nil"/>
                    <w:tr2bl w:val="nil"/>
                  </w:tcBorders>
                  <w:shd w:val="clear" w:color="auto" w:fill="auto"/>
                  <w:vAlign w:val="center"/>
                </w:tcPr>
                <w:p w14:paraId="3B3C302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NOx</w:t>
                  </w:r>
                </w:p>
                <w:p w14:paraId="4445ACD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（无组织）</w:t>
                  </w:r>
                </w:p>
              </w:tc>
              <w:tc>
                <w:tcPr>
                  <w:tcW w:w="666" w:type="pct"/>
                  <w:tcBorders>
                    <w:tl2br w:val="nil"/>
                    <w:tr2bl w:val="nil"/>
                  </w:tcBorders>
                  <w:shd w:val="clear" w:color="auto" w:fill="auto"/>
                  <w:vAlign w:val="center"/>
                </w:tcPr>
                <w:p w14:paraId="2BF4009E">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0.022</w:t>
                  </w:r>
                </w:p>
              </w:tc>
              <w:tc>
                <w:tcPr>
                  <w:tcW w:w="921" w:type="pct"/>
                  <w:tcBorders>
                    <w:tl2br w:val="nil"/>
                    <w:tr2bl w:val="nil"/>
                  </w:tcBorders>
                  <w:vAlign w:val="center"/>
                </w:tcPr>
                <w:p w14:paraId="2D4B732C">
                  <w:pPr>
                    <w:pStyle w:val="1112"/>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highlight w:val="none"/>
                      <w:lang w:val="en-US" w:eastAsia="zh-CN"/>
                    </w:rPr>
                  </w:pPr>
                  <w:r>
                    <w:rPr>
                      <w:rFonts w:hint="eastAsia" w:cs="Times New Roman"/>
                      <w:color w:val="auto"/>
                      <w:kern w:val="2"/>
                      <w:highlight w:val="none"/>
                      <w:lang w:val="en-US" w:eastAsia="zh-CN"/>
                    </w:rPr>
                    <w:t>/</w:t>
                  </w:r>
                </w:p>
              </w:tc>
              <w:tc>
                <w:tcPr>
                  <w:tcW w:w="1069" w:type="pct"/>
                  <w:tcBorders>
                    <w:tl2br w:val="nil"/>
                    <w:tr2bl w:val="nil"/>
                  </w:tcBorders>
                  <w:vAlign w:val="center"/>
                </w:tcPr>
                <w:p w14:paraId="232ACAC2">
                  <w:pPr>
                    <w:pStyle w:val="1112"/>
                    <w:keepNext w:val="0"/>
                    <w:keepLines w:val="0"/>
                    <w:suppressLineNumbers w:val="0"/>
                    <w:spacing w:before="0" w:beforeAutospacing="0" w:after="0" w:afterAutospacing="0"/>
                    <w:ind w:left="0" w:right="0"/>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0.022</w:t>
                  </w:r>
                </w:p>
              </w:tc>
            </w:tr>
          </w:tbl>
          <w:p w14:paraId="7EB01722">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1、总量控制指标</w:t>
            </w:r>
          </w:p>
          <w:p w14:paraId="3241825A">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auto"/>
                <w:kern w:val="0"/>
                <w:sz w:val="24"/>
                <w:szCs w:val="24"/>
                <w:highlight w:val="none"/>
                <w:lang w:bidi="ar"/>
              </w:rPr>
            </w:pPr>
            <w:r>
              <w:rPr>
                <w:rFonts w:hint="default" w:ascii="Times New Roman" w:hAnsi="Times New Roman" w:cs="Times New Roman"/>
                <w:color w:val="auto"/>
                <w:kern w:val="0"/>
                <w:sz w:val="24"/>
                <w:highlight w:val="none"/>
                <w:lang w:bidi="ar"/>
              </w:rPr>
              <w:t>项目废气总量控制指</w:t>
            </w:r>
            <w:r>
              <w:rPr>
                <w:rFonts w:hint="default"/>
              </w:rPr>
              <w:commentReference w:id="29"/>
            </w:r>
            <w:r>
              <w:rPr>
                <w:rFonts w:hint="default" w:ascii="Times New Roman" w:hAnsi="Times New Roman" w:cs="Times New Roman"/>
                <w:color w:val="auto"/>
                <w:kern w:val="0"/>
                <w:sz w:val="24"/>
                <w:highlight w:val="none"/>
                <w:lang w:bidi="ar"/>
              </w:rPr>
              <w:t>标</w:t>
            </w:r>
            <w:r>
              <w:rPr>
                <w:rFonts w:hint="default" w:ascii="Times New Roman" w:hAnsi="Times New Roman" w:cs="Times New Roman"/>
                <w:color w:val="auto"/>
                <w:kern w:val="0"/>
                <w:sz w:val="24"/>
                <w:szCs w:val="24"/>
                <w:highlight w:val="none"/>
                <w:lang w:bidi="ar"/>
              </w:rPr>
              <w:t>：VOCs：</w:t>
            </w:r>
            <w:r>
              <w:rPr>
                <w:rFonts w:hint="eastAsia" w:cs="Times New Roman"/>
                <w:color w:val="auto"/>
                <w:kern w:val="0"/>
                <w:sz w:val="24"/>
                <w:szCs w:val="24"/>
                <w:highlight w:val="none"/>
                <w:lang w:val="en-US" w:eastAsia="zh-CN" w:bidi="ar"/>
              </w:rPr>
              <w:t>0</w:t>
            </w:r>
            <w:r>
              <w:rPr>
                <w:rFonts w:hint="default" w:ascii="Times New Roman" w:hAnsi="Times New Roman" w:cs="Times New Roman"/>
                <w:color w:val="auto"/>
                <w:kern w:val="0"/>
                <w:sz w:val="24"/>
                <w:szCs w:val="24"/>
                <w:highlight w:val="none"/>
                <w:lang w:bidi="ar"/>
              </w:rPr>
              <w:t>t/a</w:t>
            </w:r>
            <w:r>
              <w:rPr>
                <w:rFonts w:hint="eastAsia" w:cs="Times New Roman"/>
                <w:color w:val="auto"/>
                <w:kern w:val="0"/>
                <w:sz w:val="24"/>
                <w:szCs w:val="24"/>
                <w:highlight w:val="none"/>
                <w:lang w:eastAsia="zh-CN" w:bidi="ar"/>
              </w:rPr>
              <w:t>，</w:t>
            </w:r>
            <w:r>
              <w:rPr>
                <w:rFonts w:hint="default" w:ascii="Times New Roman" w:hAnsi="Times New Roman" w:cs="Times New Roman"/>
                <w:color w:val="auto"/>
                <w:sz w:val="24"/>
                <w:szCs w:val="24"/>
                <w:highlight w:val="none"/>
              </w:rPr>
              <w:t>NOx</w:t>
            </w:r>
            <w:r>
              <w:rPr>
                <w:rFonts w:hint="eastAsia" w:ascii="Times New Roman" w:hAnsi="Times New Roman" w:cs="Times New Roman"/>
                <w:color w:val="auto"/>
                <w:sz w:val="24"/>
                <w:szCs w:val="24"/>
                <w:highlight w:val="none"/>
                <w:lang w:val="en-US" w:eastAsia="zh-CN"/>
              </w:rPr>
              <w:t>0.017</w:t>
            </w:r>
            <w:r>
              <w:rPr>
                <w:rFonts w:hint="default" w:ascii="Times New Roman" w:hAnsi="Times New Roman" w:cs="Times New Roman"/>
                <w:color w:val="auto"/>
                <w:kern w:val="0"/>
                <w:sz w:val="24"/>
                <w:szCs w:val="24"/>
                <w:highlight w:val="none"/>
                <w:lang w:bidi="ar"/>
              </w:rPr>
              <w:t xml:space="preserve">t/a。 </w:t>
            </w:r>
          </w:p>
          <w:p w14:paraId="31F35DBE">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kern w:val="0"/>
                <w:sz w:val="24"/>
                <w:szCs w:val="24"/>
                <w:highlight w:val="none"/>
                <w:lang w:bidi="ar"/>
              </w:rPr>
              <w:t>项目废水总量控制指标：项目废水总量控制指标：废水接管量288t/a，接管量COD</w:t>
            </w:r>
            <w:r>
              <w:rPr>
                <w:rFonts w:hint="eastAsia" w:cs="Times New Roman"/>
                <w:color w:val="auto"/>
                <w:kern w:val="0"/>
                <w:sz w:val="24"/>
                <w:szCs w:val="24"/>
                <w:highlight w:val="none"/>
                <w:lang w:val="en-US" w:eastAsia="zh-CN" w:bidi="ar"/>
              </w:rPr>
              <w:t>1.476</w:t>
            </w:r>
            <w:r>
              <w:rPr>
                <w:rFonts w:hint="default" w:ascii="Times New Roman" w:hAnsi="Times New Roman" w:cs="Times New Roman"/>
                <w:color w:val="auto"/>
                <w:kern w:val="0"/>
                <w:sz w:val="24"/>
                <w:szCs w:val="24"/>
                <w:highlight w:val="none"/>
                <w:lang w:bidi="ar"/>
              </w:rPr>
              <w:t>t/a，NH3-N</w:t>
            </w:r>
            <w:r>
              <w:rPr>
                <w:rFonts w:hint="eastAsia" w:cs="Times New Roman"/>
                <w:color w:val="auto"/>
                <w:kern w:val="0"/>
                <w:sz w:val="24"/>
                <w:szCs w:val="24"/>
                <w:highlight w:val="none"/>
                <w:lang w:val="en-US" w:eastAsia="zh-CN" w:bidi="ar"/>
              </w:rPr>
              <w:t>0.084</w:t>
            </w:r>
            <w:r>
              <w:rPr>
                <w:rFonts w:hint="default" w:ascii="Times New Roman" w:hAnsi="Times New Roman" w:cs="Times New Roman"/>
                <w:color w:val="auto"/>
                <w:kern w:val="0"/>
                <w:sz w:val="24"/>
                <w:szCs w:val="24"/>
                <w:highlight w:val="none"/>
                <w:lang w:bidi="ar"/>
              </w:rPr>
              <w:t>t/a；最终排放量COD0.</w:t>
            </w:r>
            <w:r>
              <w:rPr>
                <w:rFonts w:hint="eastAsia" w:cs="Times New Roman"/>
                <w:color w:val="auto"/>
                <w:kern w:val="0"/>
                <w:sz w:val="24"/>
                <w:szCs w:val="24"/>
                <w:highlight w:val="none"/>
                <w:lang w:val="en-US" w:eastAsia="zh-CN" w:bidi="ar"/>
              </w:rPr>
              <w:t>054</w:t>
            </w:r>
            <w:r>
              <w:rPr>
                <w:rFonts w:hint="default" w:ascii="Times New Roman" w:hAnsi="Times New Roman" w:cs="Times New Roman"/>
                <w:color w:val="auto"/>
                <w:kern w:val="0"/>
                <w:sz w:val="24"/>
                <w:szCs w:val="24"/>
                <w:highlight w:val="none"/>
                <w:lang w:bidi="ar"/>
              </w:rPr>
              <w:t>t/a，NH3-N0.</w:t>
            </w:r>
            <w:r>
              <w:rPr>
                <w:rFonts w:hint="eastAsia" w:cs="Times New Roman"/>
                <w:color w:val="auto"/>
                <w:kern w:val="0"/>
                <w:sz w:val="24"/>
                <w:szCs w:val="24"/>
                <w:highlight w:val="none"/>
                <w:lang w:val="en-US" w:eastAsia="zh-CN" w:bidi="ar"/>
              </w:rPr>
              <w:t>069</w:t>
            </w:r>
            <w:r>
              <w:rPr>
                <w:rFonts w:hint="default" w:ascii="Times New Roman" w:hAnsi="Times New Roman" w:cs="Times New Roman"/>
                <w:color w:val="auto"/>
                <w:kern w:val="0"/>
                <w:sz w:val="24"/>
                <w:szCs w:val="24"/>
                <w:highlight w:val="none"/>
                <w:lang w:bidi="ar"/>
              </w:rPr>
              <w:t xml:space="preserve">t/a； </w:t>
            </w:r>
          </w:p>
          <w:p w14:paraId="6781E455">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color w:val="auto"/>
                <w:highlight w:val="none"/>
              </w:rPr>
            </w:pPr>
            <w:r>
              <w:rPr>
                <w:rFonts w:hint="default" w:ascii="Times New Roman" w:hAnsi="Times New Roman" w:cs="Times New Roman"/>
                <w:b/>
                <w:bCs/>
                <w:color w:val="auto"/>
                <w:kern w:val="0"/>
                <w:sz w:val="24"/>
                <w:highlight w:val="none"/>
                <w:lang w:bidi="ar"/>
              </w:rPr>
              <w:t xml:space="preserve">2、总量控制指标申请量 </w:t>
            </w:r>
          </w:p>
          <w:p w14:paraId="036CA07A">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highlight w:val="none"/>
              </w:rPr>
            </w:pPr>
            <w:r>
              <w:rPr>
                <w:rFonts w:hint="default" w:ascii="Times New Roman" w:hAnsi="Times New Roman" w:cs="Times New Roman"/>
                <w:color w:val="auto"/>
                <w:kern w:val="0"/>
                <w:sz w:val="24"/>
                <w:highlight w:val="none"/>
                <w:lang w:bidi="ar"/>
              </w:rPr>
              <w:t xml:space="preserve">本项目排放生活污水，接入安徽新芜经济开发区城东污水处理厂，COD、氨氮的总量纳入安徽新芜经济开发区城东污水处理厂，不需要单独再申请总量。 </w:t>
            </w:r>
          </w:p>
          <w:p w14:paraId="06E3E0DE">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highlight w:val="none"/>
              </w:rPr>
            </w:pPr>
            <w:r>
              <w:rPr>
                <w:rFonts w:hint="default" w:ascii="Times New Roman" w:hAnsi="Times New Roman" w:cs="Times New Roman"/>
                <w:color w:val="auto"/>
                <w:kern w:val="0"/>
                <w:sz w:val="24"/>
                <w:highlight w:val="none"/>
                <w:lang w:bidi="ar"/>
              </w:rPr>
              <w:t>项目新增废气总量由环保有关部门批准审核后实施。</w:t>
            </w:r>
          </w:p>
          <w:p w14:paraId="559F1C2A">
            <w:pPr>
              <w:keepNext w:val="0"/>
              <w:keepLines w:val="0"/>
              <w:widowControl/>
              <w:suppressLineNumbers w:val="0"/>
              <w:spacing w:before="0" w:beforeAutospacing="0" w:after="0" w:afterAutospacing="0" w:line="360" w:lineRule="auto"/>
              <w:ind w:left="0" w:right="0" w:firstLine="482"/>
              <w:jc w:val="lef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3、排污权核算</w:t>
            </w:r>
          </w:p>
          <w:p w14:paraId="6CBC77E7">
            <w:pPr>
              <w:keepNext w:val="0"/>
              <w:keepLines w:val="0"/>
              <w:numPr>
                <w:ilvl w:val="255"/>
                <w:numId w:val="0"/>
              </w:numPr>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2023年12月29日，安徽省生态环境厅、发改委员会、财政厅、金融监督 管理局联合发布了关于印发《安徽省排污权有偿使用和交易管理办法（试行）》《安徽省排污权交易规则（试行）》《安徽省排污权储备和出让管理办法（试行）》《安徽省排污权租赁管理办法（试行）》的通知（皖环发(2023)72号），自2024 年1月1日起施行其中明确：现阶段实施排污权交易的污染物种类为化学需氧量（COD）、氨氮（NH</w:t>
            </w:r>
            <w:r>
              <w:rPr>
                <w:rFonts w:hint="default" w:ascii="Times New Roman" w:hAnsi="Times New Roman" w:cs="Times New Roman"/>
                <w:color w:val="auto"/>
                <w:sz w:val="24"/>
                <w:highlight w:val="none"/>
                <w:vertAlign w:val="subscript"/>
              </w:rPr>
              <w:t>3</w:t>
            </w:r>
            <w:r>
              <w:rPr>
                <w:rFonts w:hint="default" w:ascii="Times New Roman" w:hAnsi="Times New Roman" w:cs="Times New Roman"/>
                <w:color w:val="auto"/>
                <w:sz w:val="24"/>
                <w:highlight w:val="none"/>
              </w:rPr>
              <w:t>-N）、二氧化硫（SO</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）、氮氧化物（NOx）4类。实施排污权交易的排污单位为全省列入排污许可证重点和简化管理范围内有污染物许可排放量要求的排污单位。</w:t>
            </w:r>
          </w:p>
          <w:p w14:paraId="03506A98">
            <w:pPr>
              <w:keepNext w:val="0"/>
              <w:keepLines w:val="0"/>
              <w:numPr>
                <w:ilvl w:val="255"/>
                <w:numId w:val="0"/>
              </w:numPr>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highlight w:val="none"/>
              </w:rPr>
            </w:pPr>
            <w:r>
              <w:rPr>
                <w:rFonts w:hint="default" w:ascii="Times New Roman" w:hAnsi="Times New Roman" w:cs="Times New Roman"/>
                <w:color w:val="auto"/>
                <w:sz w:val="24"/>
                <w:highlight w:val="none"/>
              </w:rPr>
              <w:t>根据《固定污染源排污许可分类管理名录》（2019 年版），由于本项目属于现行《固定污染源排污许可分类管理名录》中“登记管理”，因此，本项目不涉及排污权交易。</w:t>
            </w:r>
          </w:p>
          <w:p w14:paraId="64569FEA">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18333D81">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06BD9D57">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53ABAD9B">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77ABADBF">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63C79E3E">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73106266">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4469CE0C">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7F4AC0A1">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531A3619">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2A5EE4C9">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54182434">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3BD25839">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135C684C">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23E2296E">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38D60C95">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115B00ED">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4986DCB0">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p w14:paraId="6D7AF708">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06F0A4F7">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26444DB7">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38A2759D">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392E11CC">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5C7161C8">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3E6C1A0A">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69CD995A">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007E248F">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5F550C0A">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1E47FAFB">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336BB214">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36078431">
            <w:pPr>
              <w:pStyle w:val="27"/>
              <w:keepNext w:val="0"/>
              <w:keepLines w:val="0"/>
              <w:suppressLineNumbers w:val="0"/>
              <w:spacing w:beforeAutospacing="0" w:afterAutospacing="0"/>
              <w:ind w:left="0"/>
              <w:rPr>
                <w:rFonts w:hint="default" w:ascii="Times New Roman" w:hAnsi="Times New Roman" w:cs="Times New Roman"/>
                <w:color w:val="auto"/>
                <w:highlight w:val="none"/>
              </w:rPr>
            </w:pPr>
          </w:p>
        </w:tc>
      </w:tr>
    </w:tbl>
    <w:p w14:paraId="39C02467">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r>
        <w:rPr>
          <w:rFonts w:hint="default" w:ascii="Times New Roman" w:hAnsi="Times New Roman" w:cs="Times New Roman"/>
          <w:snapToGrid w:val="0"/>
          <w:color w:val="auto"/>
          <w:sz w:val="36"/>
          <w:szCs w:val="36"/>
          <w:highlight w:val="none"/>
        </w:rPr>
        <w:br w:type="page"/>
      </w:r>
      <w:r>
        <w:rPr>
          <w:rFonts w:hint="default" w:ascii="Times New Roman" w:hAnsi="Times New Roman" w:cs="Times New Roman"/>
          <w:b/>
          <w:snapToGrid w:val="0"/>
          <w:color w:val="auto"/>
          <w:sz w:val="30"/>
          <w:szCs w:val="30"/>
          <w:highlight w:val="none"/>
        </w:rPr>
        <w:t>四、主要环境影响和保护措施</w:t>
      </w:r>
    </w:p>
    <w:tbl>
      <w:tblPr>
        <w:tblStyle w:val="61"/>
        <w:tblW w:w="8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8"/>
        <w:gridCol w:w="8501"/>
      </w:tblGrid>
      <w:tr w14:paraId="08E7B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478" w:type="dxa"/>
            <w:tcMar>
              <w:left w:w="28" w:type="dxa"/>
              <w:right w:w="28" w:type="dxa"/>
            </w:tcMar>
            <w:vAlign w:val="center"/>
          </w:tcPr>
          <w:p w14:paraId="41D63E4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施工</w:t>
            </w:r>
          </w:p>
          <w:p w14:paraId="1B4F958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期环</w:t>
            </w:r>
          </w:p>
          <w:p w14:paraId="04C942C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境保</w:t>
            </w:r>
          </w:p>
          <w:p w14:paraId="7F317A8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护措</w:t>
            </w:r>
          </w:p>
          <w:p w14:paraId="4FED810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施</w:t>
            </w:r>
          </w:p>
        </w:tc>
        <w:tc>
          <w:tcPr>
            <w:tcW w:w="8501" w:type="dxa"/>
            <w:vAlign w:val="center"/>
          </w:tcPr>
          <w:p w14:paraId="089FE944">
            <w:pPr>
              <w:pStyle w:val="23"/>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在现有厂房内进行生产，不新建厂房，项目施工期主要进行设备的安装，产生的污染主要为噪声，由于拟建项目设备数量较少，安装时间较短，且随着施工期的结束，噪声也随之消失，对周边环境影响很小，故本评价不针对项目施工期产生的污染进行具体的分析评价。</w:t>
            </w:r>
          </w:p>
        </w:tc>
      </w:tr>
      <w:tr w14:paraId="08FCE0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67" w:hRule="atLeast"/>
          <w:jc w:val="center"/>
        </w:trPr>
        <w:tc>
          <w:tcPr>
            <w:tcW w:w="478" w:type="dxa"/>
            <w:tcMar>
              <w:left w:w="28" w:type="dxa"/>
              <w:right w:w="28" w:type="dxa"/>
            </w:tcMar>
            <w:vAlign w:val="center"/>
          </w:tcPr>
          <w:p w14:paraId="5979A575">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运营</w:t>
            </w:r>
          </w:p>
          <w:p w14:paraId="0DB0E12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期环</w:t>
            </w:r>
          </w:p>
          <w:p w14:paraId="256C165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境影</w:t>
            </w:r>
          </w:p>
          <w:p w14:paraId="35A5DA3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响和</w:t>
            </w:r>
          </w:p>
          <w:p w14:paraId="2178B0F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保护</w:t>
            </w:r>
          </w:p>
          <w:p w14:paraId="1293CB6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措施</w:t>
            </w:r>
          </w:p>
        </w:tc>
        <w:tc>
          <w:tcPr>
            <w:tcW w:w="8501" w:type="dxa"/>
            <w:vAlign w:val="center"/>
          </w:tcPr>
          <w:p w14:paraId="3C341882">
            <w:pPr>
              <w:keepNext/>
              <w:keepLines/>
              <w:suppressLineNumbers w:val="0"/>
              <w:spacing w:before="0" w:beforeAutospacing="0" w:after="0" w:afterAutospacing="0" w:line="360" w:lineRule="auto"/>
              <w:ind w:left="0" w:right="0" w:firstLine="354" w:firstLineChars="147"/>
              <w:outlineLvl w:val="2"/>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一、废气环境影响和保护措施</w:t>
            </w:r>
          </w:p>
          <w:p w14:paraId="6C345621">
            <w:pPr>
              <w:keepNext/>
              <w:keepLines/>
              <w:suppressLineNumbers w:val="0"/>
              <w:spacing w:before="0" w:beforeAutospacing="0" w:after="0" w:afterAutospacing="0" w:line="360" w:lineRule="auto"/>
              <w:ind w:left="0" w:right="0" w:firstLine="472" w:firstLineChars="196"/>
              <w:outlineLvl w:val="2"/>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1、废气污染源分析</w:t>
            </w:r>
            <w:r>
              <w:rPr>
                <w:rFonts w:hint="default"/>
              </w:rPr>
              <w:commentReference w:id="30"/>
            </w:r>
          </w:p>
          <w:p w14:paraId="15DB6D24">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highlight w:val="none"/>
              </w:rPr>
            </w:pPr>
            <w:r>
              <w:rPr>
                <w:rFonts w:hint="default" w:ascii="Times New Roman" w:hAnsi="Times New Roman" w:cs="Times New Roman" w:eastAsiaTheme="minorEastAsia"/>
                <w:color w:val="auto"/>
                <w:kern w:val="0"/>
                <w:sz w:val="24"/>
                <w:highlight w:val="none"/>
              </w:rPr>
              <w:t>项目营运期废气污染源主要</w:t>
            </w:r>
            <w:r>
              <w:rPr>
                <w:rFonts w:hint="eastAsia" w:ascii="Times New Roman" w:hAnsi="Times New Roman" w:cs="Times New Roman" w:eastAsiaTheme="minorEastAsia"/>
                <w:color w:val="auto"/>
                <w:kern w:val="0"/>
                <w:sz w:val="24"/>
                <w:highlight w:val="none"/>
                <w:lang w:val="en-US" w:eastAsia="zh-CN"/>
              </w:rPr>
              <w:t>人工去毛刺粉尘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打磨粉尘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喷砂粉尘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抛丸粉尘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抛光粉尘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前处理烘干天然气燃烧</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喷粉固化天然气燃烧</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喷漆烘干天然气燃烧</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喷漆烘干</w:t>
            </w:r>
            <w:r>
              <w:rPr>
                <w:rFonts w:hint="default" w:ascii="Times New Roman" w:hAnsi="Times New Roman" w:cs="Times New Roman" w:eastAsiaTheme="minorEastAsia"/>
                <w:color w:val="auto"/>
                <w:kern w:val="0"/>
                <w:sz w:val="24"/>
                <w:highlight w:val="none"/>
              </w:rPr>
              <w:t>废气、</w:t>
            </w:r>
            <w:r>
              <w:rPr>
                <w:rFonts w:hint="eastAsia" w:ascii="Times New Roman" w:hAnsi="Times New Roman" w:cs="Times New Roman" w:eastAsiaTheme="minorEastAsia"/>
                <w:color w:val="auto"/>
                <w:kern w:val="0"/>
                <w:sz w:val="24"/>
                <w:highlight w:val="none"/>
                <w:lang w:val="en-US" w:eastAsia="zh-CN"/>
              </w:rPr>
              <w:t>喷粉固化</w:t>
            </w:r>
            <w:r>
              <w:rPr>
                <w:rFonts w:hint="default" w:ascii="Times New Roman" w:hAnsi="Times New Roman" w:cs="Times New Roman" w:eastAsiaTheme="minorEastAsia"/>
                <w:color w:val="auto"/>
                <w:kern w:val="0"/>
                <w:sz w:val="24"/>
                <w:highlight w:val="none"/>
              </w:rPr>
              <w:t>废气、</w:t>
            </w:r>
            <w:r>
              <w:rPr>
                <w:rFonts w:hint="eastAsia" w:ascii="Times New Roman" w:hAnsi="Times New Roman" w:cs="Times New Roman" w:eastAsiaTheme="minorEastAsia"/>
                <w:color w:val="auto"/>
                <w:kern w:val="0"/>
                <w:sz w:val="24"/>
                <w:highlight w:val="none"/>
                <w:lang w:val="en-US" w:eastAsia="zh-CN"/>
              </w:rPr>
              <w:t>调漆</w:t>
            </w:r>
            <w:r>
              <w:rPr>
                <w:rFonts w:hint="default" w:ascii="Times New Roman" w:hAnsi="Times New Roman" w:cs="Times New Roman" w:eastAsiaTheme="minorEastAsia"/>
                <w:color w:val="auto"/>
                <w:kern w:val="0"/>
                <w:sz w:val="24"/>
                <w:highlight w:val="none"/>
              </w:rPr>
              <w:t>废气、</w:t>
            </w:r>
            <w:r>
              <w:rPr>
                <w:rFonts w:hint="eastAsia" w:ascii="Times New Roman" w:hAnsi="Times New Roman" w:cs="Times New Roman" w:eastAsiaTheme="minorEastAsia"/>
                <w:color w:val="auto"/>
                <w:kern w:val="0"/>
                <w:sz w:val="24"/>
                <w:highlight w:val="none"/>
                <w:lang w:val="en-US" w:eastAsia="zh-CN"/>
              </w:rPr>
              <w:t>喷漆</w:t>
            </w:r>
            <w:r>
              <w:rPr>
                <w:rFonts w:hint="default" w:ascii="Times New Roman" w:hAnsi="Times New Roman" w:cs="Times New Roman" w:eastAsiaTheme="minorEastAsia"/>
                <w:color w:val="auto"/>
                <w:kern w:val="0"/>
                <w:sz w:val="24"/>
                <w:highlight w:val="none"/>
              </w:rPr>
              <w:t>废气、喷漆清洗废气、</w:t>
            </w:r>
            <w:r>
              <w:rPr>
                <w:rFonts w:hint="eastAsia" w:ascii="Times New Roman" w:hAnsi="Times New Roman" w:cs="Times New Roman" w:eastAsiaTheme="minorEastAsia"/>
                <w:color w:val="auto"/>
                <w:kern w:val="0"/>
                <w:sz w:val="24"/>
                <w:highlight w:val="none"/>
                <w:lang w:val="en-US" w:eastAsia="zh-CN"/>
              </w:rPr>
              <w:t>喷粉粉尘</w:t>
            </w:r>
            <w:r>
              <w:rPr>
                <w:rFonts w:hint="default" w:ascii="Times New Roman" w:hAnsi="Times New Roman" w:cs="Times New Roman" w:eastAsiaTheme="minorEastAsia"/>
                <w:color w:val="auto"/>
                <w:kern w:val="0"/>
                <w:sz w:val="24"/>
                <w:highlight w:val="none"/>
              </w:rPr>
              <w:t>、危废库废气。</w:t>
            </w:r>
            <w:r>
              <w:rPr>
                <w:rFonts w:hint="default"/>
              </w:rPr>
              <w:commentReference w:id="31"/>
            </w:r>
          </w:p>
          <w:p w14:paraId="7791E0F0">
            <w:pPr>
              <w:keepNext w:val="0"/>
              <w:keepLines w:val="0"/>
              <w:widowControl/>
              <w:numPr>
                <w:ilvl w:val="0"/>
                <w:numId w:val="0"/>
              </w:numPr>
              <w:suppressLineNumbers w:val="0"/>
              <w:tabs>
                <w:tab w:val="center" w:pos="4381"/>
              </w:tabs>
              <w:spacing w:before="0" w:beforeAutospacing="0" w:after="0" w:afterAutospacing="0" w:line="360" w:lineRule="auto"/>
              <w:ind w:left="420" w:leftChars="200" w:right="0"/>
              <w:jc w:val="left"/>
              <w:rPr>
                <w:rFonts w:hint="default" w:ascii="Times New Roman" w:hAnsi="Times New Roman"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cs="Times New Roman" w:eastAsiaTheme="minorEastAsia"/>
                <w:color w:val="auto"/>
                <w:kern w:val="0"/>
                <w:sz w:val="24"/>
                <w:highlight w:val="none"/>
                <w:lang w:val="en-US" w:eastAsia="zh-CN"/>
              </w:rPr>
              <w:t>人工去毛刺粉尘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打磨粉尘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喷砂粉尘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抛丸粉尘</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抛光粉尘</w:t>
            </w:r>
          </w:p>
          <w:p w14:paraId="07D267E2">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color w:val="auto"/>
                <w:kern w:val="0"/>
                <w:sz w:val="24"/>
                <w:highlight w:val="none"/>
                <w:lang w:val="en-US" w:eastAsia="zh-CN"/>
              </w:rPr>
              <w:t>人工去毛刺</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打磨</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喷砂</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抛丸</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抛光工序</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会产生粉尘</w:t>
            </w:r>
            <w:r>
              <w:rPr>
                <w:rFonts w:hint="default" w:ascii="Times New Roman" w:hAnsi="Times New Roman" w:cs="Times New Roman"/>
                <w:bCs/>
                <w:color w:val="000000" w:themeColor="text1"/>
                <w:sz w:val="24"/>
                <w14:textFill>
                  <w14:solidFill>
                    <w14:schemeClr w14:val="tx1"/>
                  </w14:solidFill>
                </w14:textFill>
              </w:rPr>
              <w:t>，</w:t>
            </w:r>
            <w:r>
              <w:rPr>
                <w:rFonts w:hint="default" w:ascii="Times New Roman" w:hAnsi="Times New Roman" w:cs="Times New Roman"/>
                <w:bCs/>
                <w:color w:val="000000" w:themeColor="text1"/>
                <w:sz w:val="24"/>
                <w:lang w:eastAsia="zh-CN"/>
                <w14:textFill>
                  <w14:solidFill>
                    <w14:schemeClr w14:val="tx1"/>
                  </w14:solidFill>
                </w14:textFill>
              </w:rPr>
              <w:t>参照</w:t>
            </w:r>
            <w:r>
              <w:rPr>
                <w:rFonts w:hint="default" w:ascii="Times New Roman" w:hAnsi="Times New Roman" w:cs="Times New Roman"/>
                <w:color w:val="000000" w:themeColor="text1"/>
                <w:spacing w:val="0"/>
                <w:sz w:val="24"/>
                <w:szCs w:val="24"/>
                <w:highlight w:val="none"/>
                <w:lang w:val="en-US" w:eastAsia="zh-CN"/>
                <w14:textFill>
                  <w14:solidFill>
                    <w14:schemeClr w14:val="tx1"/>
                  </w14:solidFill>
                </w14:textFill>
              </w:rPr>
              <w:t>“33-37，431-434</w:t>
            </w:r>
            <w:r>
              <w:rPr>
                <w:rFonts w:hint="default"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 xml:space="preserve"> 机械行业系数手册</w:t>
            </w:r>
            <w:r>
              <w:rPr>
                <w:rFonts w:hint="default" w:ascii="Times New Roman" w:hAnsi="Times New Roman" w:cs="Times New Roman"/>
                <w:color w:val="000000" w:themeColor="text1"/>
                <w:spacing w:val="0"/>
                <w:sz w:val="24"/>
                <w:szCs w:val="24"/>
                <w:highlight w:val="none"/>
                <w:lang w:val="en-US" w:eastAsia="zh-CN"/>
                <w14:textFill>
                  <w14:solidFill>
                    <w14:schemeClr w14:val="tx1"/>
                  </w14:solidFill>
                </w14:textFill>
              </w:rPr>
              <w:t>”50页表中-“06预处理”-“</w:t>
            </w:r>
            <w:r>
              <w:rPr>
                <w:rFonts w:hint="default" w:ascii="Times New Roman" w:hAnsi="Times New Roman" w:cs="Times New Roman"/>
                <w:bCs/>
                <w:color w:val="000000" w:themeColor="text1"/>
                <w:sz w:val="24"/>
                <w:lang w:eastAsia="zh-CN"/>
                <w14:textFill>
                  <w14:solidFill>
                    <w14:schemeClr w14:val="tx1"/>
                  </w14:solidFill>
                </w14:textFill>
              </w:rPr>
              <w:t>抛丸、喷砂、打磨、滚筒</w:t>
            </w:r>
            <w:r>
              <w:rPr>
                <w:rFonts w:hint="default" w:ascii="Times New Roman" w:hAnsi="Times New Roman" w:cs="Times New Roman"/>
                <w:color w:val="000000" w:themeColor="text1"/>
                <w:spacing w:val="0"/>
                <w:sz w:val="24"/>
                <w:szCs w:val="24"/>
                <w:highlight w:val="none"/>
                <w:lang w:val="en-US" w:eastAsia="zh-CN"/>
                <w14:textFill>
                  <w14:solidFill>
                    <w14:schemeClr w14:val="tx1"/>
                  </w14:solidFill>
                </w14:textFill>
              </w:rPr>
              <w:t>)”</w:t>
            </w:r>
            <w:r>
              <w:rPr>
                <w:rFonts w:hint="default" w:ascii="Times New Roman" w:hAnsi="Times New Roman" w:cs="Times New Roman"/>
                <w:bCs/>
                <w:color w:val="000000" w:themeColor="text1"/>
                <w:sz w:val="24"/>
                <w14:textFill>
                  <w14:solidFill>
                    <w14:schemeClr w14:val="tx1"/>
                  </w14:solidFill>
                </w14:textFill>
              </w:rPr>
              <w:t>颗粒物产污系数</w:t>
            </w:r>
            <w:r>
              <w:rPr>
                <w:rFonts w:hint="default" w:ascii="Times New Roman" w:hAnsi="Times New Roman" w:cs="Times New Roman"/>
                <w:color w:val="000000" w:themeColor="text1"/>
                <w:kern w:val="0"/>
                <w:sz w:val="24"/>
                <w14:textFill>
                  <w14:solidFill>
                    <w14:schemeClr w14:val="tx1"/>
                  </w14:solidFill>
                </w14:textFill>
              </w:rPr>
              <w:t>产生系数：2.19kg/t原料</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本项目</w:t>
            </w:r>
            <w:r>
              <w:rPr>
                <w:rFonts w:hint="eastAsia" w:ascii="Times New Roman" w:hAnsi="Times New Roman" w:cs="Times New Roman"/>
                <w:color w:val="000000" w:themeColor="text1"/>
                <w:kern w:val="0"/>
                <w:sz w:val="24"/>
                <w:lang w:val="en-US" w:eastAsia="zh-CN"/>
                <w14:textFill>
                  <w14:solidFill>
                    <w14:schemeClr w14:val="tx1"/>
                  </w14:solidFill>
                </w14:textFill>
              </w:rPr>
              <w:t>铝材</w:t>
            </w:r>
            <w:r>
              <w:rPr>
                <w:rFonts w:hint="default" w:ascii="Times New Roman" w:hAnsi="Times New Roman" w:cs="Times New Roman"/>
                <w:color w:val="000000" w:themeColor="text1"/>
                <w:kern w:val="0"/>
                <w:sz w:val="24"/>
                <w14:textFill>
                  <w14:solidFill>
                    <w14:schemeClr w14:val="tx1"/>
                  </w14:solidFill>
                </w14:textFill>
              </w:rPr>
              <w:t>年用量为</w:t>
            </w:r>
            <w:r>
              <w:rPr>
                <w:rFonts w:hint="eastAsia" w:ascii="Times New Roman" w:hAnsi="Times New Roman" w:cs="Times New Roman"/>
                <w:color w:val="000000" w:themeColor="text1"/>
                <w:kern w:val="0"/>
                <w:sz w:val="24"/>
                <w:lang w:val="en-US" w:eastAsia="zh-CN"/>
                <w14:textFill>
                  <w14:solidFill>
                    <w14:schemeClr w14:val="tx1"/>
                  </w14:solidFill>
                </w14:textFill>
              </w:rPr>
              <w:t>800</w:t>
            </w:r>
            <w:r>
              <w:rPr>
                <w:rFonts w:hint="default" w:ascii="Times New Roman" w:hAnsi="Times New Roman" w:cs="Times New Roman"/>
                <w:color w:val="000000" w:themeColor="text1"/>
                <w:kern w:val="0"/>
                <w:sz w:val="24"/>
                <w14:textFill>
                  <w14:solidFill>
                    <w14:schemeClr w14:val="tx1"/>
                  </w14:solidFill>
                </w14:textFill>
              </w:rPr>
              <w:t>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钢材年用量为500t，不锈钢年用量为100t，钛合金年用量为20t，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则</w:t>
            </w:r>
            <w:r>
              <w:rPr>
                <w:rFonts w:hint="eastAsia" w:ascii="Times New Roman" w:hAnsi="Times New Roman" w:cs="Times New Roman" w:eastAsiaTheme="minorEastAsia"/>
                <w:color w:val="auto"/>
                <w:kern w:val="0"/>
                <w:sz w:val="24"/>
                <w:highlight w:val="none"/>
                <w:lang w:val="en-US" w:eastAsia="zh-CN"/>
              </w:rPr>
              <w:t>人工去毛刺</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打磨</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喷砂</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抛丸</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抛光工序</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粉尘产生量为</w:t>
            </w:r>
            <w:r>
              <w:rPr>
                <w:rFonts w:hint="eastAsia" w:ascii="Times New Roman" w:hAnsi="Times New Roman" w:cs="Times New Roman"/>
                <w:color w:val="000000" w:themeColor="text1"/>
                <w:kern w:val="0"/>
                <w:sz w:val="24"/>
                <w:szCs w:val="20"/>
                <w:lang w:val="en-US" w:eastAsia="zh-CN" w:bidi="ar-SA"/>
                <w14:textFill>
                  <w14:solidFill>
                    <w14:schemeClr w14:val="tx1"/>
                  </w14:solidFill>
                </w14:textFill>
              </w:rPr>
              <w:t>3.11</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t/a。</w:t>
            </w:r>
          </w:p>
          <w:p w14:paraId="010C1A1E">
            <w:pPr>
              <w:pStyle w:val="23"/>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eastAsia" w:ascii="Times New Roman" w:hAnsi="Times New Roman" w:cs="Times New Roman" w:eastAsiaTheme="minorEastAsia"/>
                <w:color w:val="auto"/>
                <w:kern w:val="0"/>
                <w:sz w:val="24"/>
                <w:highlight w:val="none"/>
                <w:lang w:val="en-US" w:eastAsia="zh-CN"/>
              </w:rPr>
              <w:t>人工去毛刺</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打磨</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喷砂</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抛丸</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抛光</w:t>
            </w:r>
            <w:r>
              <w:rPr>
                <w:rFonts w:hint="default" w:ascii="Times New Roman" w:hAnsi="Times New Roman" w:cs="Times New Roman"/>
                <w:color w:val="000000" w:themeColor="text1"/>
                <w14:textFill>
                  <w14:solidFill>
                    <w14:schemeClr w14:val="tx1"/>
                  </w14:solidFill>
                </w14:textFill>
              </w:rPr>
              <w:t>工序工况为每天工作</w:t>
            </w:r>
            <w:r>
              <w:rPr>
                <w:rFonts w:hint="eastAsia" w:ascii="Times New Roman" w:hAnsi="Times New Roman" w:cs="Times New Roman"/>
                <w:color w:val="000000" w:themeColor="text1"/>
                <w:lang w:val="en-US" w:eastAsia="zh-CN"/>
                <w14:textFill>
                  <w14:solidFill>
                    <w14:schemeClr w14:val="tx1"/>
                  </w14:solidFill>
                </w14:textFill>
              </w:rPr>
              <w:t>8</w:t>
            </w:r>
            <w:r>
              <w:rPr>
                <w:rFonts w:hint="default" w:ascii="Times New Roman" w:hAnsi="Times New Roman" w:cs="Times New Roman"/>
                <w:color w:val="000000" w:themeColor="text1"/>
                <w14:textFill>
                  <w14:solidFill>
                    <w14:schemeClr w14:val="tx1"/>
                  </w14:solidFill>
                </w14:textFill>
              </w:rPr>
              <w:t>小时，年工作3</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0天。</w:t>
            </w:r>
          </w:p>
          <w:p w14:paraId="425D7A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color w:val="000000" w:themeColor="text1"/>
                <w:sz w:val="24"/>
                <w14:textFill>
                  <w14:solidFill>
                    <w14:schemeClr w14:val="tx1"/>
                  </w14:solidFill>
                </w14:textFill>
              </w:rPr>
            </w:pPr>
            <w:r>
              <w:rPr>
                <w:rFonts w:hint="default" w:ascii="Times New Roman" w:hAnsi="Times New Roman" w:eastAsia="宋体" w:cs="Times New Roman"/>
                <w:b/>
                <w:color w:val="000000" w:themeColor="text1"/>
                <w:sz w:val="24"/>
                <w:lang w:val="en-US" w:eastAsia="zh-CN"/>
                <w14:textFill>
                  <w14:solidFill>
                    <w14:schemeClr w14:val="tx1"/>
                  </w14:solidFill>
                </w14:textFill>
              </w:rPr>
              <w:t>表4-</w:t>
            </w:r>
            <w:r>
              <w:rPr>
                <w:rFonts w:hint="eastAsia" w:ascii="Times New Roman" w:hAnsi="Times New Roman" w:eastAsia="宋体" w:cs="Times New Roman"/>
                <w:b/>
                <w:color w:val="000000" w:themeColor="text1"/>
                <w:sz w:val="24"/>
                <w:lang w:val="en-US" w:eastAsia="zh-CN"/>
                <w14:textFill>
                  <w14:solidFill>
                    <w14:schemeClr w14:val="tx1"/>
                  </w14:solidFill>
                </w14:textFill>
              </w:rPr>
              <w:t>1</w:t>
            </w:r>
            <w:r>
              <w:rPr>
                <w:rFonts w:hint="default" w:ascii="Times New Roman" w:hAnsi="Times New Roman" w:eastAsia="宋体" w:cs="Times New Roman"/>
                <w:b/>
                <w:color w:val="000000" w:themeColor="text1"/>
                <w:sz w:val="24"/>
                <w:lang w:val="en-US" w:eastAsia="zh-CN"/>
                <w14:textFill>
                  <w14:solidFill>
                    <w14:schemeClr w14:val="tx1"/>
                  </w14:solidFill>
                </w14:textFill>
              </w:rPr>
              <w:t xml:space="preserve">  项目</w:t>
            </w:r>
            <w:r>
              <w:rPr>
                <w:rFonts w:hint="eastAsia" w:ascii="Times New Roman" w:hAnsi="Times New Roman" w:cs="Times New Roman" w:eastAsiaTheme="minorEastAsia"/>
                <w:b/>
                <w:bCs/>
                <w:color w:val="auto"/>
                <w:kern w:val="0"/>
                <w:sz w:val="24"/>
                <w:highlight w:val="none"/>
                <w:lang w:val="en-US" w:eastAsia="zh-CN"/>
              </w:rPr>
              <w:t>人工去毛刺</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cs="Times New Roman" w:eastAsiaTheme="minorEastAsia"/>
                <w:b/>
                <w:bCs/>
                <w:color w:val="auto"/>
                <w:kern w:val="0"/>
                <w:sz w:val="24"/>
                <w:highlight w:val="none"/>
                <w:lang w:val="en-US" w:eastAsia="zh-CN"/>
              </w:rPr>
              <w:t>打磨</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cs="Times New Roman" w:eastAsiaTheme="minorEastAsia"/>
                <w:b/>
                <w:bCs/>
                <w:color w:val="auto"/>
                <w:kern w:val="0"/>
                <w:sz w:val="24"/>
                <w:highlight w:val="none"/>
                <w:lang w:val="en-US" w:eastAsia="zh-CN"/>
              </w:rPr>
              <w:t>喷砂</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cs="Times New Roman" w:eastAsiaTheme="minorEastAsia"/>
                <w:b/>
                <w:bCs/>
                <w:color w:val="auto"/>
                <w:kern w:val="0"/>
                <w:sz w:val="24"/>
                <w:highlight w:val="none"/>
                <w:lang w:val="en-US" w:eastAsia="zh-CN"/>
              </w:rPr>
              <w:t>抛丸</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cs="Times New Roman" w:eastAsiaTheme="minorEastAsia"/>
                <w:b/>
                <w:bCs/>
                <w:color w:val="auto"/>
                <w:kern w:val="0"/>
                <w:sz w:val="24"/>
                <w:highlight w:val="none"/>
                <w:lang w:val="en-US" w:eastAsia="zh-CN"/>
              </w:rPr>
              <w:t>抛光</w:t>
            </w:r>
            <w:r>
              <w:rPr>
                <w:rFonts w:hint="default" w:ascii="Times New Roman" w:hAnsi="Times New Roman" w:eastAsia="宋体" w:cs="Times New Roman"/>
                <w:b/>
                <w:color w:val="000000" w:themeColor="text1"/>
                <w:sz w:val="24"/>
                <w:lang w:val="en-US" w:eastAsia="zh-CN"/>
                <w14:textFill>
                  <w14:solidFill>
                    <w14:schemeClr w14:val="tx1"/>
                  </w14:solidFill>
                </w14:textFill>
              </w:rPr>
              <w:t>粉尘产生情况一览表</w:t>
            </w:r>
          </w:p>
          <w:tbl>
            <w:tblPr>
              <w:tblStyle w:val="6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6"/>
              <w:gridCol w:w="1137"/>
              <w:gridCol w:w="775"/>
              <w:gridCol w:w="850"/>
              <w:gridCol w:w="1438"/>
              <w:gridCol w:w="1175"/>
              <w:gridCol w:w="946"/>
            </w:tblGrid>
            <w:tr w14:paraId="7601E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6" w:type="pct"/>
                  <w:vMerge w:val="restart"/>
                  <w:noWrap w:val="0"/>
                  <w:vAlign w:val="center"/>
                </w:tcPr>
                <w:p w14:paraId="527394F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工段</w:t>
                  </w:r>
                </w:p>
              </w:tc>
              <w:tc>
                <w:tcPr>
                  <w:tcW w:w="687" w:type="pct"/>
                  <w:vMerge w:val="restart"/>
                  <w:noWrap w:val="0"/>
                  <w:vAlign w:val="center"/>
                </w:tcPr>
                <w:p w14:paraId="063B9D3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原料名称</w:t>
                  </w:r>
                </w:p>
              </w:tc>
              <w:tc>
                <w:tcPr>
                  <w:tcW w:w="468" w:type="pct"/>
                  <w:vMerge w:val="restart"/>
                  <w:noWrap w:val="0"/>
                  <w:vAlign w:val="center"/>
                </w:tcPr>
                <w:p w14:paraId="71D2395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用量</w:t>
                  </w:r>
                </w:p>
              </w:tc>
              <w:tc>
                <w:tcPr>
                  <w:tcW w:w="514" w:type="pct"/>
                  <w:vMerge w:val="restart"/>
                  <w:noWrap w:val="0"/>
                  <w:vAlign w:val="center"/>
                </w:tcPr>
                <w:p w14:paraId="5F5F39D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vertAlign w:val="baseline"/>
                      <w:lang w:val="en-US" w:eastAsia="zh-CN"/>
                      <w14:textFill>
                        <w14:solidFill>
                          <w14:schemeClr w14:val="tx1"/>
                        </w14:solidFill>
                      </w14:textFill>
                    </w:rPr>
                    <w:t>污染物</w:t>
                  </w:r>
                </w:p>
              </w:tc>
              <w:tc>
                <w:tcPr>
                  <w:tcW w:w="869" w:type="pct"/>
                  <w:vMerge w:val="restart"/>
                  <w:noWrap w:val="0"/>
                  <w:vAlign w:val="center"/>
                </w:tcPr>
                <w:p w14:paraId="41D4C40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系数</w:t>
                  </w:r>
                </w:p>
              </w:tc>
              <w:tc>
                <w:tcPr>
                  <w:tcW w:w="710" w:type="pct"/>
                  <w:vMerge w:val="restart"/>
                  <w:noWrap w:val="0"/>
                  <w:vAlign w:val="center"/>
                </w:tcPr>
                <w:p w14:paraId="6116836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产生量t/a</w:t>
                  </w:r>
                </w:p>
              </w:tc>
              <w:tc>
                <w:tcPr>
                  <w:tcW w:w="572" w:type="pct"/>
                  <w:vMerge w:val="restart"/>
                  <w:noWrap w:val="0"/>
                  <w:vAlign w:val="center"/>
                </w:tcPr>
                <w:p w14:paraId="591CBFA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工况</w:t>
                  </w:r>
                </w:p>
              </w:tc>
            </w:tr>
            <w:tr w14:paraId="0B1B7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6" w:type="pct"/>
                  <w:vMerge w:val="continue"/>
                  <w:noWrap w:val="0"/>
                  <w:vAlign w:val="center"/>
                </w:tcPr>
                <w:p w14:paraId="018A060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687" w:type="pct"/>
                  <w:vMerge w:val="continue"/>
                  <w:noWrap w:val="0"/>
                  <w:vAlign w:val="center"/>
                </w:tcPr>
                <w:p w14:paraId="771F9C5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468" w:type="pct"/>
                  <w:vMerge w:val="continue"/>
                  <w:noWrap w:val="0"/>
                  <w:vAlign w:val="center"/>
                </w:tcPr>
                <w:p w14:paraId="43CF2A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514" w:type="pct"/>
                  <w:vMerge w:val="continue"/>
                  <w:noWrap w:val="0"/>
                  <w:vAlign w:val="center"/>
                </w:tcPr>
                <w:p w14:paraId="2D9E50A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869" w:type="pct"/>
                  <w:vMerge w:val="continue"/>
                  <w:noWrap w:val="0"/>
                  <w:vAlign w:val="center"/>
                </w:tcPr>
                <w:p w14:paraId="3213BA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10" w:type="pct"/>
                  <w:vMerge w:val="continue"/>
                  <w:noWrap w:val="0"/>
                  <w:vAlign w:val="center"/>
                </w:tcPr>
                <w:p w14:paraId="470167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572" w:type="pct"/>
                  <w:vMerge w:val="continue"/>
                  <w:noWrap w:val="0"/>
                  <w:vAlign w:val="center"/>
                </w:tcPr>
                <w:p w14:paraId="55D405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23FDA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restart"/>
                  <w:noWrap w:val="0"/>
                  <w:vAlign w:val="center"/>
                </w:tcPr>
                <w:p w14:paraId="09880E4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w:t>
                  </w:r>
                </w:p>
              </w:tc>
              <w:tc>
                <w:tcPr>
                  <w:tcW w:w="687" w:type="pct"/>
                  <w:shd w:val="clear" w:color="auto" w:fill="auto"/>
                  <w:noWrap w:val="0"/>
                  <w:vAlign w:val="center"/>
                </w:tcPr>
                <w:p w14:paraId="02BB0A3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铝材</w:t>
                  </w:r>
                </w:p>
              </w:tc>
              <w:tc>
                <w:tcPr>
                  <w:tcW w:w="468" w:type="pct"/>
                  <w:shd w:val="clear" w:color="auto" w:fill="auto"/>
                  <w:noWrap w:val="0"/>
                  <w:vAlign w:val="center"/>
                </w:tcPr>
                <w:p w14:paraId="3211225A">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800</w:t>
                  </w:r>
                  <w:r>
                    <w:rPr>
                      <w:rFonts w:hint="default" w:ascii="Times New Roman" w:hAnsi="Times New Roman" w:eastAsia="宋体" w:cs="Times New Roman"/>
                      <w:b w:val="0"/>
                      <w:bCs w:val="0"/>
                      <w:sz w:val="21"/>
                      <w:szCs w:val="21"/>
                      <w:lang w:val="en-US" w:eastAsia="zh-CN"/>
                    </w:rPr>
                    <w:t>t/a</w:t>
                  </w:r>
                </w:p>
              </w:tc>
              <w:tc>
                <w:tcPr>
                  <w:tcW w:w="514" w:type="pct"/>
                  <w:vMerge w:val="restart"/>
                  <w:noWrap w:val="0"/>
                  <w:vAlign w:val="center"/>
                </w:tcPr>
                <w:p w14:paraId="6C2E36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t>颗粒物</w:t>
                  </w:r>
                </w:p>
              </w:tc>
              <w:tc>
                <w:tcPr>
                  <w:tcW w:w="869" w:type="pct"/>
                  <w:vMerge w:val="restart"/>
                  <w:noWrap w:val="0"/>
                  <w:vAlign w:val="center"/>
                </w:tcPr>
                <w:p w14:paraId="4959A2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t>2.19kg/t产品</w:t>
                  </w:r>
                </w:p>
              </w:tc>
              <w:tc>
                <w:tcPr>
                  <w:tcW w:w="710" w:type="pct"/>
                  <w:vMerge w:val="restart"/>
                  <w:noWrap w:val="0"/>
                  <w:vAlign w:val="center"/>
                </w:tcPr>
                <w:p w14:paraId="1E6BA3A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3.11</w:t>
                  </w:r>
                </w:p>
              </w:tc>
              <w:tc>
                <w:tcPr>
                  <w:tcW w:w="572" w:type="pct"/>
                  <w:vMerge w:val="restart"/>
                  <w:noWrap w:val="0"/>
                  <w:vAlign w:val="center"/>
                </w:tcPr>
                <w:p w14:paraId="18F1EF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56</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0</w:t>
                  </w:r>
                  <w: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t>h/a</w:t>
                  </w:r>
                </w:p>
              </w:tc>
            </w:tr>
            <w:tr w14:paraId="43CEA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noWrap w:val="0"/>
                  <w:vAlign w:val="center"/>
                </w:tcPr>
                <w:p w14:paraId="00DD3D7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687" w:type="pct"/>
                  <w:shd w:val="clear" w:color="auto" w:fill="auto"/>
                  <w:noWrap w:val="0"/>
                  <w:vAlign w:val="center"/>
                </w:tcPr>
                <w:p w14:paraId="2356A63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钢材</w:t>
                  </w:r>
                </w:p>
              </w:tc>
              <w:tc>
                <w:tcPr>
                  <w:tcW w:w="468" w:type="pct"/>
                  <w:shd w:val="clear" w:color="auto" w:fill="auto"/>
                  <w:noWrap w:val="0"/>
                  <w:vAlign w:val="center"/>
                </w:tcPr>
                <w:p w14:paraId="214B33FC">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500</w:t>
                  </w:r>
                  <w:r>
                    <w:rPr>
                      <w:rFonts w:hint="default" w:ascii="Times New Roman" w:hAnsi="Times New Roman" w:eastAsia="宋体" w:cs="Times New Roman"/>
                      <w:b w:val="0"/>
                      <w:bCs w:val="0"/>
                      <w:sz w:val="21"/>
                      <w:szCs w:val="21"/>
                      <w:lang w:val="en-US" w:eastAsia="zh-CN"/>
                    </w:rPr>
                    <w:t>t/a</w:t>
                  </w:r>
                </w:p>
              </w:tc>
              <w:tc>
                <w:tcPr>
                  <w:tcW w:w="514" w:type="pct"/>
                  <w:vMerge w:val="continue"/>
                  <w:noWrap w:val="0"/>
                  <w:vAlign w:val="center"/>
                </w:tcPr>
                <w:p w14:paraId="29FD2E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pPr>
                </w:p>
              </w:tc>
              <w:tc>
                <w:tcPr>
                  <w:tcW w:w="869" w:type="pct"/>
                  <w:vMerge w:val="continue"/>
                  <w:noWrap w:val="0"/>
                  <w:vAlign w:val="center"/>
                </w:tcPr>
                <w:p w14:paraId="3D8DC6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pPr>
                </w:p>
              </w:tc>
              <w:tc>
                <w:tcPr>
                  <w:tcW w:w="710" w:type="pct"/>
                  <w:vMerge w:val="continue"/>
                  <w:noWrap w:val="0"/>
                  <w:vAlign w:val="center"/>
                </w:tcPr>
                <w:p w14:paraId="18E264A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572" w:type="pct"/>
                  <w:vMerge w:val="continue"/>
                  <w:noWrap w:val="0"/>
                  <w:vAlign w:val="center"/>
                </w:tcPr>
                <w:p w14:paraId="39D1FC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48995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noWrap w:val="0"/>
                  <w:vAlign w:val="center"/>
                </w:tcPr>
                <w:p w14:paraId="407068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687" w:type="pct"/>
                  <w:shd w:val="clear" w:color="auto" w:fill="auto"/>
                  <w:noWrap w:val="0"/>
                  <w:vAlign w:val="center"/>
                </w:tcPr>
                <w:p w14:paraId="211BEF1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不锈钢</w:t>
                  </w:r>
                </w:p>
              </w:tc>
              <w:tc>
                <w:tcPr>
                  <w:tcW w:w="468" w:type="pct"/>
                  <w:shd w:val="clear" w:color="auto" w:fill="auto"/>
                  <w:noWrap w:val="0"/>
                  <w:vAlign w:val="center"/>
                </w:tcPr>
                <w:p w14:paraId="0B1B5D1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w:t>
                  </w:r>
                  <w:r>
                    <w:rPr>
                      <w:rFonts w:hint="default" w:ascii="Times New Roman" w:hAnsi="Times New Roman" w:eastAsia="宋体" w:cs="Times New Roman"/>
                      <w:b w:val="0"/>
                      <w:bCs w:val="0"/>
                      <w:sz w:val="21"/>
                      <w:szCs w:val="21"/>
                      <w:lang w:val="en-US" w:eastAsia="zh-CN"/>
                    </w:rPr>
                    <w:t>t/a</w:t>
                  </w:r>
                </w:p>
              </w:tc>
              <w:tc>
                <w:tcPr>
                  <w:tcW w:w="514" w:type="pct"/>
                  <w:vMerge w:val="continue"/>
                  <w:noWrap w:val="0"/>
                  <w:vAlign w:val="center"/>
                </w:tcPr>
                <w:p w14:paraId="1EC99C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pPr>
                </w:p>
              </w:tc>
              <w:tc>
                <w:tcPr>
                  <w:tcW w:w="869" w:type="pct"/>
                  <w:vMerge w:val="continue"/>
                  <w:noWrap w:val="0"/>
                  <w:vAlign w:val="center"/>
                </w:tcPr>
                <w:p w14:paraId="5AA000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pPr>
                </w:p>
              </w:tc>
              <w:tc>
                <w:tcPr>
                  <w:tcW w:w="710" w:type="pct"/>
                  <w:vMerge w:val="continue"/>
                  <w:noWrap w:val="0"/>
                  <w:vAlign w:val="center"/>
                </w:tcPr>
                <w:p w14:paraId="0AD14C8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572" w:type="pct"/>
                  <w:vMerge w:val="continue"/>
                  <w:noWrap w:val="0"/>
                  <w:vAlign w:val="center"/>
                </w:tcPr>
                <w:p w14:paraId="1B0BFD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1552A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pct"/>
                  <w:vMerge w:val="continue"/>
                  <w:noWrap w:val="0"/>
                  <w:vAlign w:val="center"/>
                </w:tcPr>
                <w:p w14:paraId="59F9B3B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687" w:type="pct"/>
                  <w:shd w:val="clear" w:color="auto" w:fill="auto"/>
                  <w:noWrap w:val="0"/>
                  <w:vAlign w:val="center"/>
                </w:tcPr>
                <w:p w14:paraId="33F458BE">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钛合金</w:t>
                  </w:r>
                </w:p>
              </w:tc>
              <w:tc>
                <w:tcPr>
                  <w:tcW w:w="468" w:type="pct"/>
                  <w:shd w:val="clear" w:color="auto" w:fill="auto"/>
                  <w:noWrap w:val="0"/>
                  <w:vAlign w:val="center"/>
                </w:tcPr>
                <w:p w14:paraId="239B78AC">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b w:val="0"/>
                      <w:bCs w:val="0"/>
                      <w:sz w:val="21"/>
                      <w:szCs w:val="21"/>
                      <w:lang w:val="en-US" w:eastAsia="zh-CN"/>
                    </w:rPr>
                    <w:t>t/a</w:t>
                  </w:r>
                </w:p>
              </w:tc>
              <w:tc>
                <w:tcPr>
                  <w:tcW w:w="514" w:type="pct"/>
                  <w:vMerge w:val="continue"/>
                  <w:noWrap w:val="0"/>
                  <w:vAlign w:val="center"/>
                </w:tcPr>
                <w:p w14:paraId="1A6886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pPr>
                </w:p>
              </w:tc>
              <w:tc>
                <w:tcPr>
                  <w:tcW w:w="869" w:type="pct"/>
                  <w:vMerge w:val="continue"/>
                  <w:noWrap w:val="0"/>
                  <w:vAlign w:val="center"/>
                </w:tcPr>
                <w:p w14:paraId="2F544C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pacing w:val="0"/>
                      <w:sz w:val="21"/>
                      <w:szCs w:val="24"/>
                      <w:highlight w:val="none"/>
                      <w:lang w:val="en-US" w:eastAsia="zh-CN"/>
                      <w14:textFill>
                        <w14:solidFill>
                          <w14:schemeClr w14:val="tx1"/>
                        </w14:solidFill>
                      </w14:textFill>
                    </w:rPr>
                  </w:pPr>
                </w:p>
              </w:tc>
              <w:tc>
                <w:tcPr>
                  <w:tcW w:w="710" w:type="pct"/>
                  <w:vMerge w:val="continue"/>
                  <w:noWrap w:val="0"/>
                  <w:vAlign w:val="center"/>
                </w:tcPr>
                <w:p w14:paraId="5DD5D30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572" w:type="pct"/>
                  <w:vMerge w:val="continue"/>
                  <w:noWrap w:val="0"/>
                  <w:vAlign w:val="center"/>
                </w:tcPr>
                <w:p w14:paraId="4179A9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bl>
          <w:p w14:paraId="35A7A2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i w:val="0"/>
                <w:i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i w:val="0"/>
                <w:iCs w:val="0"/>
                <w:color w:val="000000" w:themeColor="text1"/>
                <w:kern w:val="2"/>
                <w:sz w:val="24"/>
                <w:szCs w:val="24"/>
                <w:lang w:val="en-US" w:eastAsia="zh-CN" w:bidi="ar-SA"/>
                <w14:textFill>
                  <w14:solidFill>
                    <w14:schemeClr w14:val="tx1"/>
                  </w14:solidFill>
                </w14:textFill>
              </w:rPr>
              <w:t>风量核算：</w:t>
            </w:r>
          </w:p>
          <w:p w14:paraId="5E831736">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根据工程分析，项目产污设备为</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手持去毛刺机</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磨床</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、喷砂机、抛丸机和抛光机，设有</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5台手持去毛刺机</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5台磨床</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3台</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喷砂机、</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2台</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抛丸机和</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2台</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抛光机</w:t>
            </w:r>
            <w:r>
              <w:rPr>
                <w:rFonts w:hint="default" w:ascii="Times New Roman" w:hAnsi="Times New Roman" w:cs="Times New Roman"/>
                <w:b w:val="0"/>
                <w:bCs w:val="0"/>
                <w:i w:val="0"/>
                <w:iCs w:val="0"/>
                <w:color w:val="000000" w:themeColor="text1"/>
                <w:kern w:val="2"/>
                <w:sz w:val="24"/>
                <w:szCs w:val="24"/>
                <w:lang w:val="en-US" w:eastAsia="zh-CN" w:bidi="ar-SA"/>
                <w14:textFill>
                  <w14:solidFill>
                    <w14:schemeClr w14:val="tx1"/>
                  </w14:solidFill>
                </w14:textFill>
              </w:rPr>
              <w:t>，共</w:t>
            </w:r>
            <w:r>
              <w:rPr>
                <w:rFonts w:hint="eastAsia" w:ascii="Times New Roman" w:hAnsi="Times New Roman" w:cs="Times New Roman"/>
                <w:b w:val="0"/>
                <w:bCs w:val="0"/>
                <w:i w:val="0"/>
                <w:iCs w:val="0"/>
                <w:color w:val="000000" w:themeColor="text1"/>
                <w:kern w:val="2"/>
                <w:sz w:val="24"/>
                <w:szCs w:val="24"/>
                <w:lang w:val="en-US" w:eastAsia="zh-CN" w:bidi="ar-SA"/>
                <w14:textFill>
                  <w14:solidFill>
                    <w14:schemeClr w14:val="tx1"/>
                  </w14:solidFill>
                </w14:textFill>
              </w:rPr>
              <w:t>17</w:t>
            </w:r>
            <w:r>
              <w:rPr>
                <w:rFonts w:hint="default" w:ascii="Times New Roman" w:hAnsi="Times New Roman" w:cs="Times New Roman"/>
                <w:b w:val="0"/>
                <w:bCs w:val="0"/>
                <w:i w:val="0"/>
                <w:iCs w:val="0"/>
                <w:color w:val="000000" w:themeColor="text1"/>
                <w:kern w:val="2"/>
                <w:sz w:val="24"/>
                <w:szCs w:val="24"/>
                <w:lang w:val="en-US" w:eastAsia="zh-CN" w:bidi="ar-SA"/>
                <w14:textFill>
                  <w14:solidFill>
                    <w14:schemeClr w14:val="tx1"/>
                  </w14:solidFill>
                </w14:textFill>
              </w:rPr>
              <w:t>台产污设备</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喷砂机和</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抛</w:t>
            </w:r>
            <w:r>
              <w:rPr>
                <w:rFonts w:hint="default" w:ascii="Times New Roman" w:hAnsi="Times New Roman" w:cs="Times New Roman"/>
                <w:b w:val="0"/>
                <w:bCs w:val="0"/>
                <w:i w:val="0"/>
                <w:iCs w:val="0"/>
                <w:color w:val="000000" w:themeColor="text1"/>
                <w:kern w:val="2"/>
                <w:sz w:val="24"/>
                <w:szCs w:val="24"/>
                <w:lang w:val="en-US" w:eastAsia="zh-CN" w:bidi="ar-SA"/>
                <w14:textFill>
                  <w14:solidFill>
                    <w14:schemeClr w14:val="tx1"/>
                  </w14:solidFill>
                </w14:textFill>
              </w:rPr>
              <w:t>丸</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机设备密闭，管道抽风收集，自带引风机，</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单台</w:t>
            </w:r>
            <w:r>
              <w:rPr>
                <w:rFonts w:hint="default" w:ascii="Times New Roman" w:hAnsi="Times New Roman" w:cs="Times New Roman"/>
                <w:color w:val="000000" w:themeColor="text1"/>
                <w:sz w:val="24"/>
                <w:szCs w:val="24"/>
                <w14:textFill>
                  <w14:solidFill>
                    <w14:schemeClr w14:val="tx1"/>
                  </w14:solidFill>
                </w14:textFill>
              </w:rPr>
              <w:t>风量为2000m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/h</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则喷砂</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抛丸工序风量为10000</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/h</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拟在</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手持去毛刺机</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磨床</w:t>
            </w:r>
            <w:r>
              <w:rPr>
                <w:rFonts w:hint="default"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、抛光</w:t>
            </w:r>
            <w:r>
              <w:rPr>
                <w:rFonts w:hint="eastAsia" w:ascii="Times New Roman" w:hAnsi="Times New Roman" w:eastAsia="宋体" w:cs="Times New Roman"/>
                <w:b w:val="0"/>
                <w:bCs w:val="0"/>
                <w:i w:val="0"/>
                <w:iCs w:val="0"/>
                <w:color w:val="000000" w:themeColor="text1"/>
                <w:kern w:val="2"/>
                <w:sz w:val="24"/>
                <w:szCs w:val="24"/>
                <w:lang w:val="en-US" w:eastAsia="zh-CN" w:bidi="ar-SA"/>
                <w14:textFill>
                  <w14:solidFill>
                    <w14:schemeClr w14:val="tx1"/>
                  </w14:solidFill>
                </w14:textFill>
              </w:rPr>
              <w:t>机</w:t>
            </w:r>
            <w:r>
              <w:rPr>
                <w:rFonts w:hint="default" w:ascii="Times New Roman" w:hAnsi="Times New Roman" w:eastAsia="宋体" w:cs="Times New Roman"/>
                <w:color w:val="000000" w:themeColor="text1"/>
                <w:sz w:val="24"/>
                <w:lang w:eastAsia="zh-CN"/>
                <w14:textFill>
                  <w14:solidFill>
                    <w14:schemeClr w14:val="tx1"/>
                  </w14:solidFill>
                </w14:textFill>
              </w:rPr>
              <w:t>产污设</w:t>
            </w:r>
            <w:r>
              <w:rPr>
                <w:rFonts w:hint="default" w:ascii="Times New Roman" w:hAnsi="Times New Roman" w:eastAsia="宋体" w:cs="Times New Roman"/>
                <w:color w:val="000000" w:themeColor="text1"/>
                <w:sz w:val="24"/>
                <w:lang w:val="en-US" w:eastAsia="zh-CN"/>
                <w14:textFill>
                  <w14:solidFill>
                    <w14:schemeClr w14:val="tx1"/>
                  </w14:solidFill>
                </w14:textFill>
              </w:rPr>
              <w:t>备上设置</w:t>
            </w:r>
            <w:r>
              <w:rPr>
                <w:rFonts w:hint="default" w:ascii="Times New Roman" w:hAnsi="Times New Roman" w:cs="Times New Roman"/>
                <w:color w:val="000000" w:themeColor="text1"/>
                <w:sz w:val="24"/>
                <w:lang w:val="en-US" w:eastAsia="zh-CN"/>
                <w14:textFill>
                  <w14:solidFill>
                    <w14:schemeClr w14:val="tx1"/>
                  </w14:solidFill>
                </w14:textFill>
              </w:rPr>
              <w:t>集气罩</w:t>
            </w:r>
            <w:r>
              <w:rPr>
                <w:rFonts w:hint="default" w:ascii="Times New Roman" w:hAnsi="Times New Roman" w:eastAsia="宋体" w:cs="Times New Roman"/>
                <w:color w:val="000000" w:themeColor="text1"/>
                <w:sz w:val="24"/>
                <w:lang w:val="en-US" w:eastAsia="zh-CN"/>
                <w14:textFill>
                  <w14:solidFill>
                    <w14:schemeClr w14:val="tx1"/>
                  </w14:solidFill>
                </w14:textFill>
              </w:rPr>
              <w:t>对废气进行收集，</w:t>
            </w:r>
            <w:r>
              <w:rPr>
                <w:rFonts w:hint="default" w:ascii="Times New Roman" w:hAnsi="Times New Roman" w:cs="Times New Roman"/>
                <w:color w:val="000000" w:themeColor="text1"/>
                <w:sz w:val="24"/>
                <w14:textFill>
                  <w14:solidFill>
                    <w14:schemeClr w14:val="tx1"/>
                  </w14:solidFill>
                </w14:textFill>
              </w:rPr>
              <w:t>拟设置的集气罩平均长</w:t>
            </w:r>
            <w:r>
              <w:rPr>
                <w:rFonts w:hint="eastAsia" w:ascii="Times New Roman" w:hAnsi="Times New Roman" w:cs="Times New Roman"/>
                <w:color w:val="000000" w:themeColor="text1"/>
                <w:sz w:val="24"/>
                <w:lang w:val="en-US" w:eastAsia="zh-CN"/>
                <w14:textFill>
                  <w14:solidFill>
                    <w14:schemeClr w14:val="tx1"/>
                  </w14:solidFill>
                </w14:textFill>
              </w:rPr>
              <w:t>0.6</w:t>
            </w:r>
            <w:r>
              <w:rPr>
                <w:rFonts w:hint="default" w:ascii="Times New Roman" w:hAnsi="Times New Roman" w:cs="Times New Roman"/>
                <w:color w:val="000000" w:themeColor="text1"/>
                <w:sz w:val="24"/>
                <w14:textFill>
                  <w14:solidFill>
                    <w14:schemeClr w14:val="tx1"/>
                  </w14:solidFill>
                </w14:textFill>
              </w:rPr>
              <w:t>m，宽</w:t>
            </w:r>
            <w:r>
              <w:rPr>
                <w:rFonts w:hint="eastAsia" w:ascii="Times New Roman" w:hAnsi="Times New Roman" w:cs="Times New Roman"/>
                <w:color w:val="000000" w:themeColor="text1"/>
                <w:sz w:val="24"/>
                <w:lang w:val="en-US" w:eastAsia="zh-CN"/>
                <w14:textFill>
                  <w14:solidFill>
                    <w14:schemeClr w14:val="tx1"/>
                  </w14:solidFill>
                </w14:textFill>
              </w:rPr>
              <w:t>0.5</w:t>
            </w:r>
            <w:r>
              <w:rPr>
                <w:rFonts w:hint="default" w:ascii="Times New Roman" w:hAnsi="Times New Roman" w:cs="Times New Roman"/>
                <w:color w:val="000000" w:themeColor="text1"/>
                <w:sz w:val="24"/>
                <w14:textFill>
                  <w14:solidFill>
                    <w14:schemeClr w14:val="tx1"/>
                  </w14:solidFill>
                </w14:textFill>
              </w:rPr>
              <w:t>m；</w:t>
            </w:r>
          </w:p>
          <w:p w14:paraId="217F5F9E">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根据外部集气罩风量依据公式如下：</w:t>
            </w:r>
          </w:p>
          <w:p w14:paraId="3A72292A">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 = K(a+b)×h×Vx×3600=1.4×</w:t>
            </w:r>
            <w:r>
              <w:rPr>
                <w:rFonts w:hint="eastAsia" w:ascii="Times New Roman" w:hAnsi="Times New Roman" w:cs="Times New Roman"/>
                <w:color w:val="000000" w:themeColor="text1"/>
                <w:sz w:val="24"/>
                <w:lang w:val="en-US" w:eastAsia="zh-CN"/>
                <w14:textFill>
                  <w14:solidFill>
                    <w14:schemeClr w14:val="tx1"/>
                  </w14:solidFill>
                </w14:textFill>
              </w:rPr>
              <w:t>2.2</w:t>
            </w:r>
            <w:r>
              <w:rPr>
                <w:rFonts w:hint="default" w:ascii="Times New Roman" w:hAnsi="Times New Roman" w:cs="Times New Roman"/>
                <w:color w:val="000000" w:themeColor="text1"/>
                <w:sz w:val="24"/>
                <w14:textFill>
                  <w14:solidFill>
                    <w14:schemeClr w14:val="tx1"/>
                  </w14:solidFill>
                </w14:textFill>
              </w:rPr>
              <w:t>×0.</w:t>
            </w:r>
            <w:r>
              <w:rPr>
                <w:rFonts w:hint="eastAsia"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×0.5×3600×</w:t>
            </w:r>
            <w:r>
              <w:rPr>
                <w:rFonts w:hint="eastAsia" w:ascii="Times New Roman" w:hAnsi="Times New Roman" w:cs="Times New Roman"/>
                <w:color w:val="000000" w:themeColor="text1"/>
                <w:sz w:val="24"/>
                <w:lang w:val="en-US" w:eastAsia="zh-CN"/>
                <w14:textFill>
                  <w14:solidFill>
                    <w14:schemeClr w14:val="tx1"/>
                  </w14:solidFill>
                </w14:textFill>
              </w:rPr>
              <w:t>12</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19958.4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0336272D">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Q：集气罩排风量（m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694B4823">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K：安全系数（1.4）；</w:t>
            </w:r>
          </w:p>
          <w:p w14:paraId="78378360">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h：污染物产生点至罩口的距离，m，本项目取0.</w:t>
            </w:r>
            <w:r>
              <w:rPr>
                <w:rFonts w:hint="eastAsia"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m；</w:t>
            </w:r>
          </w:p>
          <w:p w14:paraId="0ED20646">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a+b：集气罩周长，m，</w:t>
            </w:r>
            <w:r>
              <w:rPr>
                <w:rFonts w:hint="default" w:ascii="Times New Roman" w:hAnsi="Times New Roman" w:cs="Times New Roman"/>
                <w:color w:val="000000" w:themeColor="text1"/>
                <w:kern w:val="0"/>
                <w:sz w:val="24"/>
                <w14:textFill>
                  <w14:solidFill>
                    <w14:schemeClr w14:val="tx1"/>
                  </w14:solidFill>
                </w14:textFill>
              </w:rPr>
              <w:t>本项目拟设置集气罩总周长为</w:t>
            </w:r>
            <w:r>
              <w:rPr>
                <w:rFonts w:hint="eastAsia" w:ascii="Times New Roman" w:hAnsi="Times New Roman" w:cs="Times New Roman"/>
                <w:color w:val="000000" w:themeColor="text1"/>
                <w:kern w:val="0"/>
                <w:sz w:val="24"/>
                <w:lang w:val="en-US" w:eastAsia="zh-CN"/>
                <w14:textFill>
                  <w14:solidFill>
                    <w14:schemeClr w14:val="tx1"/>
                  </w14:solidFill>
                </w14:textFill>
              </w:rPr>
              <w:t>2.2</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设有</w:t>
            </w:r>
            <w:r>
              <w:rPr>
                <w:rFonts w:hint="eastAsia" w:ascii="Times New Roman" w:hAnsi="Times New Roman" w:cs="Times New Roman"/>
                <w:color w:val="000000" w:themeColor="text1"/>
                <w:kern w:val="0"/>
                <w:sz w:val="24"/>
                <w:lang w:val="en-US" w:eastAsia="zh-CN"/>
                <w14:textFill>
                  <w14:solidFill>
                    <w14:schemeClr w14:val="tx1"/>
                  </w14:solidFill>
                </w14:textFill>
              </w:rPr>
              <w:t>12</w:t>
            </w:r>
            <w:r>
              <w:rPr>
                <w:rFonts w:hint="default" w:ascii="Times New Roman" w:hAnsi="Times New Roman" w:cs="Times New Roman"/>
                <w:color w:val="000000" w:themeColor="text1"/>
                <w:kern w:val="0"/>
                <w:sz w:val="24"/>
                <w14:textFill>
                  <w14:solidFill>
                    <w14:schemeClr w14:val="tx1"/>
                  </w14:solidFill>
                </w14:textFill>
              </w:rPr>
              <w:t>个集气罩，为方形</w:t>
            </w:r>
            <w:r>
              <w:rPr>
                <w:rFonts w:hint="default" w:ascii="Times New Roman" w:hAnsi="Times New Roman" w:cs="Times New Roman"/>
                <w:color w:val="000000" w:themeColor="text1"/>
                <w:sz w:val="24"/>
                <w14:textFill>
                  <w14:solidFill>
                    <w14:schemeClr w14:val="tx1"/>
                  </w14:solidFill>
                </w14:textFill>
              </w:rPr>
              <w:t>）；</w:t>
            </w:r>
          </w:p>
          <w:p w14:paraId="7ADC318D">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Vx：最小控制风速m/s，一般取0.5~1.5m/s，本次评价取值0.5m/s。</w:t>
            </w:r>
          </w:p>
          <w:p w14:paraId="446595C6">
            <w:pPr>
              <w:pStyle w:val="7"/>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lang w:val="en-US" w:eastAsia="zh-CN" w:bidi="ar-SA"/>
                <w14:textFill>
                  <w14:solidFill>
                    <w14:schemeClr w14:val="tx1"/>
                  </w14:solidFill>
                </w14:textFill>
              </w:rPr>
              <w:t>综上所述，</w:t>
            </w:r>
            <w:r>
              <w:rPr>
                <w:rFonts w:hint="default" w:ascii="Times New Roman" w:hAnsi="Times New Roman" w:cs="Times New Roman"/>
                <w:b w:val="0"/>
                <w:bCs w:val="0"/>
                <w:color w:val="000000" w:themeColor="text1"/>
                <w:kern w:val="2"/>
                <w:sz w:val="24"/>
                <w:szCs w:val="24"/>
                <w:lang w:val="en-US" w:eastAsia="zh-CN" w:bidi="ar-SA"/>
                <w14:textFill>
                  <w14:solidFill>
                    <w14:schemeClr w14:val="tx1"/>
                  </w14:solidFill>
                </w14:textFill>
              </w:rPr>
              <w:t>风机风量为</w:t>
            </w:r>
            <w:r>
              <w:rPr>
                <w:rFonts w:hint="eastAsia" w:ascii="Times New Roman" w:hAnsi="Times New Roman" w:cs="Times New Roman"/>
                <w:b w:val="0"/>
                <w:bCs w:val="0"/>
                <w:color w:val="000000" w:themeColor="text1"/>
                <w:kern w:val="2"/>
                <w:sz w:val="24"/>
                <w:szCs w:val="24"/>
                <w:lang w:val="en-US" w:eastAsia="zh-CN" w:bidi="ar-SA"/>
                <w14:textFill>
                  <w14:solidFill>
                    <w14:schemeClr w14:val="tx1"/>
                  </w14:solidFill>
                </w14:textFill>
              </w:rPr>
              <w:t>10000</w:t>
            </w:r>
            <w:r>
              <w:rPr>
                <w:rFonts w:hint="default" w:ascii="Times New Roman" w:hAnsi="Times New Roman" w:cs="Times New Roman"/>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19958.4</w:t>
            </w:r>
            <w:r>
              <w:rPr>
                <w:rFonts w:hint="default" w:ascii="Times New Roman" w:hAnsi="Times New Roman" w:cs="Times New Roman"/>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29958.4</w:t>
            </w:r>
            <w:r>
              <w:rPr>
                <w:rFonts w:hint="default" w:ascii="Times New Roman" w:hAnsi="Times New Roman" w:cs="Times New Roman"/>
                <w:b w:val="0"/>
                <w:bCs w:val="0"/>
                <w:color w:val="000000" w:themeColor="text1"/>
                <w:kern w:val="2"/>
                <w:sz w:val="24"/>
                <w:szCs w:val="24"/>
                <w:lang w:val="en-US" w:eastAsia="zh-CN" w:bidi="ar-SA"/>
                <w14:textFill>
                  <w14:solidFill>
                    <w14:schemeClr w14:val="tx1"/>
                  </w14:solidFill>
                </w14:textFill>
              </w:rPr>
              <w:t>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lang w:val="en-GB"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综合考虑风阻损耗等影响，</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按计算风量的1.2</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倍取值，则</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人工去毛刺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打磨</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喷砂</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抛丸</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抛光</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工序工序风机风量取</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35950.08</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取整为</w:t>
            </w:r>
            <w:r>
              <w:rPr>
                <w:rFonts w:hint="eastAsia" w:cs="Times New Roman"/>
                <w:color w:val="000000" w:themeColor="text1"/>
                <w:sz w:val="24"/>
                <w:lang w:val="en-US" w:eastAsia="zh-CN"/>
                <w14:textFill>
                  <w14:solidFill>
                    <w14:schemeClr w14:val="tx1"/>
                  </w14:solidFill>
                </w14:textFill>
              </w:rPr>
              <w:t>36</w:t>
            </w:r>
            <w:r>
              <w:rPr>
                <w:rFonts w:hint="default" w:ascii="Times New Roman" w:hAnsi="Times New Roman" w:cs="Times New Roman"/>
                <w:color w:val="000000" w:themeColor="text1"/>
                <w:sz w:val="24"/>
                <w14:textFill>
                  <w14:solidFill>
                    <w14:schemeClr w14:val="tx1"/>
                  </w14:solidFill>
                </w14:textFill>
              </w:rPr>
              <w:t>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14:paraId="3245820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color w:val="auto"/>
                <w:kern w:val="0"/>
                <w:sz w:val="24"/>
                <w:highlight w:val="none"/>
                <w:lang w:val="en-US" w:eastAsia="zh-CN"/>
              </w:rPr>
              <w:t>人工去毛刺</w:t>
            </w:r>
            <w:r>
              <w:rPr>
                <w:rFonts w:hint="default" w:ascii="Times New Roman" w:hAnsi="Times New Roman" w:cs="Times New Roman" w:eastAsiaTheme="minorEastAsia"/>
                <w:color w:val="auto"/>
                <w:kern w:val="0"/>
                <w:sz w:val="24"/>
                <w:highlight w:val="none"/>
              </w:rPr>
              <w:t>、</w:t>
            </w:r>
            <w:r>
              <w:rPr>
                <w:rFonts w:hint="eastAsia" w:ascii="Times New Roman" w:hAnsi="Times New Roman" w:cs="Times New Roman" w:eastAsiaTheme="minorEastAsia"/>
                <w:color w:val="auto"/>
                <w:kern w:val="0"/>
                <w:sz w:val="24"/>
                <w:highlight w:val="none"/>
                <w:lang w:val="en-US" w:eastAsia="zh-CN"/>
              </w:rPr>
              <w:t>打磨</w:t>
            </w:r>
            <w:r>
              <w:rPr>
                <w:rFonts w:hint="default" w:ascii="Times New Roman" w:hAnsi="Times New Roman" w:cs="Times New Roman" w:eastAsiaTheme="minorEastAsia"/>
                <w:color w:val="auto"/>
                <w:kern w:val="0"/>
                <w:sz w:val="24"/>
                <w:highlight w:val="none"/>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喷砂</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抛丸</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抛光</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工序</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年运行2560h</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，风机风量</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为35950.08</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/h，</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颗粒物产生量为3.11</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t/a</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。人工去毛刺、打磨、抛光粉尘经集气罩收集+布袋除尘器处理后和</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经设备密闭+集气管道收集</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设备自带布袋除尘器处理</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的喷砂、抛丸粉尘一并</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通过1根</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15m</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高的排气筒DA0</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01</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放，废气收集效率</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总体</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按90%计，处理效率按99%计。</w:t>
            </w:r>
          </w:p>
          <w:p w14:paraId="682286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eastAsiaTheme="minorEastAsia"/>
                <w:b/>
                <w:bCs/>
                <w:color w:val="auto"/>
                <w:kern w:val="0"/>
                <w:sz w:val="24"/>
                <w:highlight w:val="none"/>
                <w:lang w:val="en-US" w:eastAsia="zh-CN"/>
              </w:rPr>
              <w:t>人工去毛刺</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cs="Times New Roman" w:eastAsiaTheme="minorEastAsia"/>
                <w:b/>
                <w:bCs/>
                <w:color w:val="auto"/>
                <w:kern w:val="0"/>
                <w:sz w:val="24"/>
                <w:highlight w:val="none"/>
                <w:lang w:val="en-US" w:eastAsia="zh-CN"/>
              </w:rPr>
              <w:t>打磨</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喷砂</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抛丸</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抛光</w:t>
            </w:r>
            <w:r>
              <w:rPr>
                <w:rFonts w:hint="default" w:ascii="Times New Roman" w:hAnsi="Times New Roman" w:cs="Times New Roman"/>
                <w:b/>
                <w:color w:val="000000" w:themeColor="text1"/>
                <w:sz w:val="24"/>
                <w:lang w:eastAsia="zh-CN"/>
                <w14:textFill>
                  <w14:solidFill>
                    <w14:schemeClr w14:val="tx1"/>
                  </w14:solidFill>
                </w14:textFill>
              </w:rPr>
              <w:t>粉尘</w:t>
            </w:r>
            <w:r>
              <w:rPr>
                <w:rFonts w:hint="default" w:ascii="Times New Roman" w:hAnsi="Times New Roman" w:cs="Times New Roman"/>
                <w:b/>
                <w:color w:val="000000" w:themeColor="text1"/>
                <w:sz w:val="24"/>
                <w14:textFill>
                  <w14:solidFill>
                    <w14:schemeClr w14:val="tx1"/>
                  </w14:solidFill>
                </w14:textFill>
              </w:rPr>
              <w:t>有组织排放</w:t>
            </w:r>
            <w:r>
              <w:rPr>
                <w:rFonts w:hint="default" w:ascii="Times New Roman" w:hAnsi="Times New Roman" w:cs="Times New Roman"/>
                <w:b/>
                <w:bCs/>
                <w:color w:val="000000" w:themeColor="text1"/>
                <w:sz w:val="24"/>
                <w:lang w:val="en-GB"/>
                <w14:textFill>
                  <w14:solidFill>
                    <w14:schemeClr w14:val="tx1"/>
                  </w14:solidFill>
                </w14:textFill>
              </w:rPr>
              <w:t>产生及排放情况</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33"/>
              <w:gridCol w:w="649"/>
              <w:gridCol w:w="704"/>
              <w:gridCol w:w="588"/>
              <w:gridCol w:w="820"/>
              <w:gridCol w:w="1348"/>
              <w:gridCol w:w="704"/>
              <w:gridCol w:w="704"/>
              <w:gridCol w:w="820"/>
              <w:gridCol w:w="856"/>
            </w:tblGrid>
            <w:tr w14:paraId="594F8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1" w:type="pct"/>
                  <w:vMerge w:val="restart"/>
                  <w:vAlign w:val="center"/>
                </w:tcPr>
                <w:p w14:paraId="4ACA73D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污染源</w:t>
                  </w:r>
                </w:p>
              </w:tc>
              <w:tc>
                <w:tcPr>
                  <w:tcW w:w="262" w:type="pct"/>
                  <w:vMerge w:val="restart"/>
                  <w:vAlign w:val="center"/>
                </w:tcPr>
                <w:p w14:paraId="1B68022F">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污染物</w:t>
                  </w:r>
                </w:p>
              </w:tc>
              <w:tc>
                <w:tcPr>
                  <w:tcW w:w="392" w:type="pct"/>
                  <w:vMerge w:val="restart"/>
                  <w:vAlign w:val="center"/>
                </w:tcPr>
                <w:p w14:paraId="7299C5BA">
                  <w:pPr>
                    <w:keepNext w:val="0"/>
                    <w:keepLines w:val="0"/>
                    <w:suppressLineNumbers w:val="0"/>
                    <w:tabs>
                      <w:tab w:val="left" w:pos="2200"/>
                      <w:tab w:val="left" w:pos="3960"/>
                      <w:tab w:val="left" w:pos="5280"/>
                    </w:tabs>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排气量m</w:t>
                  </w:r>
                  <w:r>
                    <w:rPr>
                      <w:rFonts w:hint="default" w:ascii="Times New Roman" w:hAnsi="Times New Roman" w:cs="Times New Roman"/>
                      <w:b/>
                      <w:color w:val="000000" w:themeColor="text1"/>
                      <w:szCs w:val="18"/>
                      <w:vertAlign w:val="superscript"/>
                      <w14:textFill>
                        <w14:solidFill>
                          <w14:schemeClr w14:val="tx1"/>
                        </w14:solidFill>
                      </w14:textFill>
                    </w:rPr>
                    <w:t>3</w:t>
                  </w:r>
                  <w:r>
                    <w:rPr>
                      <w:rFonts w:hint="default" w:ascii="Times New Roman" w:hAnsi="Times New Roman" w:cs="Times New Roman"/>
                      <w:b/>
                      <w:color w:val="000000" w:themeColor="text1"/>
                      <w:szCs w:val="18"/>
                      <w14:textFill>
                        <w14:solidFill>
                          <w14:schemeClr w14:val="tx1"/>
                        </w14:solidFill>
                      </w14:textFill>
                    </w:rPr>
                    <w:t>/h</w:t>
                  </w:r>
                </w:p>
              </w:tc>
              <w:tc>
                <w:tcPr>
                  <w:tcW w:w="1275" w:type="pct"/>
                  <w:gridSpan w:val="3"/>
                  <w:vAlign w:val="center"/>
                </w:tcPr>
                <w:p w14:paraId="4CC608AE">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产生情况</w:t>
                  </w:r>
                </w:p>
              </w:tc>
              <w:tc>
                <w:tcPr>
                  <w:tcW w:w="814" w:type="pct"/>
                  <w:vMerge w:val="restart"/>
                  <w:vAlign w:val="center"/>
                </w:tcPr>
                <w:p w14:paraId="0294E456">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拟采取的污染治理措施</w:t>
                  </w:r>
                </w:p>
              </w:tc>
              <w:tc>
                <w:tcPr>
                  <w:tcW w:w="1345" w:type="pct"/>
                  <w:gridSpan w:val="3"/>
                  <w:vAlign w:val="center"/>
                </w:tcPr>
                <w:p w14:paraId="29596BC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排放情况</w:t>
                  </w:r>
                </w:p>
              </w:tc>
              <w:tc>
                <w:tcPr>
                  <w:tcW w:w="517" w:type="pct"/>
                  <w:vMerge w:val="restart"/>
                  <w:vAlign w:val="center"/>
                </w:tcPr>
                <w:p w14:paraId="5EEA7B19">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排气筒参数</w:t>
                  </w:r>
                </w:p>
              </w:tc>
            </w:tr>
            <w:tr w14:paraId="29C77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1" w:type="pct"/>
                  <w:vMerge w:val="continue"/>
                  <w:vAlign w:val="center"/>
                </w:tcPr>
                <w:p w14:paraId="17950A8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262" w:type="pct"/>
                  <w:vMerge w:val="continue"/>
                  <w:vAlign w:val="center"/>
                </w:tcPr>
                <w:p w14:paraId="3E6F5233">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392" w:type="pct"/>
                  <w:vMerge w:val="continue"/>
                  <w:vAlign w:val="center"/>
                </w:tcPr>
                <w:p w14:paraId="13948C2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425" w:type="pct"/>
                  <w:vAlign w:val="center"/>
                </w:tcPr>
                <w:p w14:paraId="5D38A36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355" w:type="pct"/>
                  <w:vAlign w:val="center"/>
                </w:tcPr>
                <w:p w14:paraId="55099AF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494" w:type="pct"/>
                  <w:vAlign w:val="center"/>
                </w:tcPr>
                <w:p w14:paraId="10FC54D0">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814" w:type="pct"/>
                  <w:vMerge w:val="continue"/>
                  <w:vAlign w:val="center"/>
                </w:tcPr>
                <w:p w14:paraId="11B86134">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425" w:type="pct"/>
                  <w:vAlign w:val="center"/>
                </w:tcPr>
                <w:p w14:paraId="353C0F79">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425" w:type="pct"/>
                  <w:vAlign w:val="center"/>
                </w:tcPr>
                <w:p w14:paraId="7167DF5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494" w:type="pct"/>
                  <w:vAlign w:val="center"/>
                </w:tcPr>
                <w:p w14:paraId="72AA9F9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517" w:type="pct"/>
                  <w:vMerge w:val="continue"/>
                  <w:vAlign w:val="center"/>
                </w:tcPr>
                <w:p w14:paraId="4F23092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r>
            <w:tr w14:paraId="620A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391" w:type="pct"/>
                  <w:vAlign w:val="center"/>
                </w:tcPr>
                <w:p w14:paraId="02EF2CEB">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GB" w:eastAsia="zh-CN"/>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人工去毛刺</w:t>
                  </w:r>
                  <w:r>
                    <w:rPr>
                      <w:rFonts w:hint="default" w:ascii="Times New Roman" w:hAnsi="Times New Roman" w:eastAsia="宋体" w:cs="Times New Roman"/>
                      <w:bCs/>
                      <w:color w:val="000000" w:themeColor="text1"/>
                      <w:szCs w:val="18"/>
                      <w:lang w:val="en-US"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打磨</w:t>
                  </w:r>
                  <w:r>
                    <w:rPr>
                      <w:rFonts w:hint="default" w:ascii="Times New Roman" w:hAnsi="Times New Roman" w:eastAsia="宋体" w:cs="Times New Roman"/>
                      <w:bCs/>
                      <w:color w:val="000000" w:themeColor="text1"/>
                      <w:szCs w:val="18"/>
                      <w:lang w:val="en-US"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喷砂</w:t>
                  </w:r>
                  <w:r>
                    <w:rPr>
                      <w:rFonts w:hint="default" w:ascii="Times New Roman" w:hAnsi="Times New Roman" w:eastAsia="宋体" w:cs="Times New Roman"/>
                      <w:bCs/>
                      <w:color w:val="000000" w:themeColor="text1"/>
                      <w:szCs w:val="18"/>
                      <w:lang w:val="en-US"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抛丸</w:t>
                  </w:r>
                  <w:r>
                    <w:rPr>
                      <w:rFonts w:hint="default" w:ascii="Times New Roman" w:hAnsi="Times New Roman" w:eastAsia="宋体" w:cs="Times New Roman"/>
                      <w:bCs/>
                      <w:color w:val="000000" w:themeColor="text1"/>
                      <w:szCs w:val="18"/>
                      <w:lang w:val="en-US"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抛光</w:t>
                  </w:r>
                </w:p>
              </w:tc>
              <w:tc>
                <w:tcPr>
                  <w:tcW w:w="262" w:type="pct"/>
                  <w:vAlign w:val="center"/>
                </w:tcPr>
                <w:p w14:paraId="754BCCA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18"/>
                      <w:lang w:eastAsia="zh-CN"/>
                      <w14:textFill>
                        <w14:solidFill>
                          <w14:schemeClr w14:val="tx1"/>
                        </w14:solidFill>
                      </w14:textFill>
                    </w:rPr>
                  </w:pPr>
                  <w:r>
                    <w:rPr>
                      <w:rFonts w:hint="default" w:ascii="Times New Roman" w:hAnsi="Times New Roman" w:cs="Times New Roman"/>
                      <w:bCs/>
                      <w:color w:val="000000" w:themeColor="text1"/>
                      <w:szCs w:val="18"/>
                      <w:lang w:eastAsia="zh-CN"/>
                      <w14:textFill>
                        <w14:solidFill>
                          <w14:schemeClr w14:val="tx1"/>
                        </w14:solidFill>
                      </w14:textFill>
                    </w:rPr>
                    <w:t>颗粒物</w:t>
                  </w:r>
                </w:p>
              </w:tc>
              <w:tc>
                <w:tcPr>
                  <w:tcW w:w="392" w:type="pct"/>
                  <w:vAlign w:val="center"/>
                </w:tcPr>
                <w:p w14:paraId="4DC02E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18"/>
                      <w:lang w:val="en-US" w:eastAsia="zh-CN"/>
                      <w14:textFill>
                        <w14:solidFill>
                          <w14:schemeClr w14:val="tx1"/>
                        </w14:solidFill>
                      </w14:textFill>
                    </w:rPr>
                  </w:pPr>
                  <w:r>
                    <w:rPr>
                      <w:rFonts w:hint="eastAsia" w:ascii="Times New Roman" w:hAnsi="Times New Roman" w:cs="Times New Roman"/>
                      <w:color w:val="000000" w:themeColor="text1"/>
                      <w:szCs w:val="18"/>
                      <w:lang w:val="en-US" w:eastAsia="zh-CN"/>
                      <w14:textFill>
                        <w14:solidFill>
                          <w14:schemeClr w14:val="tx1"/>
                        </w14:solidFill>
                      </w14:textFill>
                    </w:rPr>
                    <w:t>36</w:t>
                  </w:r>
                  <w:r>
                    <w:rPr>
                      <w:rFonts w:hint="default" w:ascii="Times New Roman" w:hAnsi="Times New Roman" w:eastAsia="宋体" w:cs="Times New Roman"/>
                      <w:color w:val="000000" w:themeColor="text1"/>
                      <w:szCs w:val="18"/>
                      <w:lang w:val="en-US" w:eastAsia="zh-CN"/>
                      <w14:textFill>
                        <w14:solidFill>
                          <w14:schemeClr w14:val="tx1"/>
                        </w14:solidFill>
                      </w14:textFill>
                    </w:rPr>
                    <w:t>000</w:t>
                  </w:r>
                </w:p>
              </w:tc>
              <w:tc>
                <w:tcPr>
                  <w:tcW w:w="425" w:type="pct"/>
                  <w:vAlign w:val="center"/>
                </w:tcPr>
                <w:p w14:paraId="7C50D458">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US" w:eastAsia="zh-CN"/>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1.093</w:t>
                  </w:r>
                </w:p>
              </w:tc>
              <w:tc>
                <w:tcPr>
                  <w:tcW w:w="355" w:type="pct"/>
                  <w:vAlign w:val="center"/>
                </w:tcPr>
                <w:p w14:paraId="4AE730CF">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US" w:eastAsia="zh-CN"/>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2.799</w:t>
                  </w:r>
                </w:p>
              </w:tc>
              <w:tc>
                <w:tcPr>
                  <w:tcW w:w="494" w:type="pct"/>
                  <w:vAlign w:val="center"/>
                </w:tcPr>
                <w:p w14:paraId="2EC735A7">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US" w:eastAsia="zh-CN"/>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30.371</w:t>
                  </w:r>
                </w:p>
              </w:tc>
              <w:tc>
                <w:tcPr>
                  <w:tcW w:w="814" w:type="pct"/>
                  <w:vAlign w:val="center"/>
                </w:tcPr>
                <w:p w14:paraId="386372EE">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US" w:eastAsia="zh-CN"/>
                      <w14:textFill>
                        <w14:solidFill>
                          <w14:schemeClr w14:val="tx1"/>
                        </w14:solidFill>
                      </w14:textFill>
                    </w:rPr>
                  </w:pPr>
                  <w:r>
                    <w:rPr>
                      <w:rFonts w:hint="eastAsia" w:ascii="Times New Roman" w:hAnsi="Times New Roman" w:eastAsia="宋体" w:cs="Times New Roman"/>
                      <w:color w:val="000000"/>
                      <w:szCs w:val="21"/>
                      <w:lang w:val="en-US" w:eastAsia="zh-CN"/>
                    </w:rPr>
                    <w:t>人工去毛刺、打磨、抛光粉尘</w:t>
                  </w:r>
                  <w:r>
                    <w:rPr>
                      <w:rFonts w:hint="eastAsia" w:cs="Times New Roman"/>
                      <w:color w:val="000000"/>
                      <w:szCs w:val="21"/>
                      <w:lang w:val="en-US" w:eastAsia="zh-CN"/>
                    </w:rPr>
                    <w:t>经</w:t>
                  </w:r>
                  <w:r>
                    <w:rPr>
                      <w:rFonts w:hint="eastAsia" w:ascii="Times New Roman" w:hAnsi="Times New Roman" w:eastAsia="宋体" w:cs="Times New Roman"/>
                      <w:color w:val="000000"/>
                      <w:szCs w:val="21"/>
                      <w:lang w:val="en-US" w:eastAsia="zh-CN"/>
                    </w:rPr>
                    <w:t>布袋除尘器处理；喷砂、抛丸粉尘</w:t>
                  </w:r>
                  <w:r>
                    <w:rPr>
                      <w:rFonts w:hint="default" w:ascii="Times New Roman" w:hAnsi="Times New Roman" w:eastAsia="宋体" w:cs="Times New Roman"/>
                      <w:color w:val="000000"/>
                      <w:szCs w:val="21"/>
                      <w:lang w:val="en-US" w:eastAsia="zh-CN"/>
                    </w:rPr>
                    <w:t>经设备自带布袋除尘器处理</w:t>
                  </w:r>
                </w:p>
              </w:tc>
              <w:tc>
                <w:tcPr>
                  <w:tcW w:w="425" w:type="pct"/>
                  <w:vAlign w:val="center"/>
                </w:tcPr>
                <w:p w14:paraId="35687DAC">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US" w:eastAsia="zh-CN"/>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0.011</w:t>
                  </w:r>
                </w:p>
              </w:tc>
              <w:tc>
                <w:tcPr>
                  <w:tcW w:w="425" w:type="pct"/>
                  <w:vAlign w:val="center"/>
                </w:tcPr>
                <w:p w14:paraId="362D01AF">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US" w:eastAsia="zh-CN"/>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0.028</w:t>
                  </w:r>
                </w:p>
              </w:tc>
              <w:tc>
                <w:tcPr>
                  <w:tcW w:w="494" w:type="pct"/>
                  <w:vAlign w:val="center"/>
                </w:tcPr>
                <w:p w14:paraId="1185DBB8">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Cs w:val="18"/>
                      <w:lang w:val="en-US" w:eastAsia="zh-CN"/>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0.304</w:t>
                  </w:r>
                </w:p>
              </w:tc>
              <w:tc>
                <w:tcPr>
                  <w:tcW w:w="517" w:type="pct"/>
                  <w:vAlign w:val="center"/>
                </w:tcPr>
                <w:p w14:paraId="434DAE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18"/>
                      <w:lang w:val="en-US" w:eastAsia="zh-CN"/>
                      <w14:textFill>
                        <w14:solidFill>
                          <w14:schemeClr w14:val="tx1"/>
                        </w14:solidFill>
                      </w14:textFill>
                    </w:rPr>
                  </w:pPr>
                  <w:r>
                    <w:rPr>
                      <w:rFonts w:hint="default" w:ascii="Times New Roman" w:hAnsi="Times New Roman" w:eastAsia="宋体" w:cs="Times New Roman"/>
                      <w:color w:val="000000" w:themeColor="text1"/>
                      <w:szCs w:val="18"/>
                      <w:lang w:val="en-US" w:eastAsia="zh-CN"/>
                      <w14:textFill>
                        <w14:solidFill>
                          <w14:schemeClr w14:val="tx1"/>
                        </w14:solidFill>
                      </w14:textFill>
                    </w:rPr>
                    <w:t>DA00</w:t>
                  </w:r>
                  <w:r>
                    <w:rPr>
                      <w:rFonts w:hint="eastAsia" w:ascii="Times New Roman" w:hAnsi="Times New Roman" w:eastAsia="宋体" w:cs="Times New Roman"/>
                      <w:color w:val="000000" w:themeColor="text1"/>
                      <w:szCs w:val="18"/>
                      <w:lang w:val="en-US" w:eastAsia="zh-CN"/>
                      <w14:textFill>
                        <w14:solidFill>
                          <w14:schemeClr w14:val="tx1"/>
                        </w14:solidFill>
                      </w14:textFill>
                    </w:rPr>
                    <w:t>1</w:t>
                  </w:r>
                </w:p>
                <w:p w14:paraId="4E4C622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18"/>
                      <w:lang w:val="en-US" w:eastAsia="zh-CN"/>
                      <w14:textFill>
                        <w14:solidFill>
                          <w14:schemeClr w14:val="tx1"/>
                        </w14:solidFill>
                      </w14:textFill>
                    </w:rPr>
                  </w:pPr>
                  <w:r>
                    <w:rPr>
                      <w:rFonts w:hint="default" w:ascii="Times New Roman" w:hAnsi="Times New Roman" w:eastAsia="宋体" w:cs="Times New Roman"/>
                      <w:color w:val="000000" w:themeColor="text1"/>
                      <w:szCs w:val="18"/>
                      <w:lang w:val="en-US" w:eastAsia="zh-CN"/>
                      <w14:textFill>
                        <w14:solidFill>
                          <w14:schemeClr w14:val="tx1"/>
                        </w14:solidFill>
                      </w14:textFill>
                    </w:rPr>
                    <w:t>H:15m</w:t>
                  </w:r>
                </w:p>
                <w:p w14:paraId="2B7E66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18"/>
                      <w:lang w:val="en-US" w:eastAsia="zh-CN"/>
                      <w14:textFill>
                        <w14:solidFill>
                          <w14:schemeClr w14:val="tx1"/>
                        </w14:solidFill>
                      </w14:textFill>
                    </w:rPr>
                  </w:pPr>
                  <w:r>
                    <w:rPr>
                      <w:rFonts w:hint="default" w:ascii="Times New Roman" w:hAnsi="Times New Roman" w:eastAsia="宋体" w:cs="Times New Roman"/>
                      <w:color w:val="000000" w:themeColor="text1"/>
                      <w:szCs w:val="18"/>
                      <w:lang w:val="en-US" w:eastAsia="zh-CN"/>
                      <w14:textFill>
                        <w14:solidFill>
                          <w14:schemeClr w14:val="tx1"/>
                        </w14:solidFill>
                      </w14:textFill>
                    </w:rPr>
                    <w:t>ф:</w:t>
                  </w:r>
                  <w:r>
                    <w:rPr>
                      <w:rFonts w:hint="eastAsia" w:ascii="Times New Roman" w:hAnsi="Times New Roman" w:eastAsia="宋体" w:cs="Times New Roman"/>
                      <w:color w:val="000000" w:themeColor="text1"/>
                      <w:szCs w:val="18"/>
                      <w:lang w:val="en-US" w:eastAsia="zh-CN"/>
                      <w14:textFill>
                        <w14:solidFill>
                          <w14:schemeClr w14:val="tx1"/>
                        </w14:solidFill>
                      </w14:textFill>
                    </w:rPr>
                    <w:t>1</w:t>
                  </w:r>
                  <w:r>
                    <w:rPr>
                      <w:rFonts w:hint="default" w:ascii="Times New Roman" w:hAnsi="Times New Roman" w:eastAsia="宋体" w:cs="Times New Roman"/>
                      <w:color w:val="000000" w:themeColor="text1"/>
                      <w:szCs w:val="18"/>
                      <w:lang w:val="en-US" w:eastAsia="zh-CN"/>
                      <w14:textFill>
                        <w14:solidFill>
                          <w14:schemeClr w14:val="tx1"/>
                        </w14:solidFill>
                      </w14:textFill>
                    </w:rPr>
                    <w:t>m</w:t>
                  </w:r>
                </w:p>
              </w:tc>
            </w:tr>
          </w:tbl>
          <w:p w14:paraId="3D0D4A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lang w:val="zh-CN"/>
                <w14:textFill>
                  <w14:solidFill>
                    <w14:schemeClr w14:val="tx1"/>
                  </w14:solidFill>
                </w14:textFill>
              </w:rPr>
              <w:t>表</w:t>
            </w:r>
            <w:r>
              <w:rPr>
                <w:rFonts w:hint="default" w:ascii="Times New Roman" w:hAnsi="Times New Roman" w:cs="Times New Roman"/>
                <w:b/>
                <w:bCs/>
                <w:color w:val="000000" w:themeColor="text1"/>
                <w:sz w:val="24"/>
                <w14:textFill>
                  <w14:solidFill>
                    <w14:schemeClr w14:val="tx1"/>
                  </w14:solidFill>
                </w14:textFill>
              </w:rPr>
              <w:t>4-</w:t>
            </w:r>
            <w:r>
              <w:rPr>
                <w:rFonts w:hint="eastAsia" w:cs="Times New Roman"/>
                <w:b/>
                <w:bCs/>
                <w:color w:val="000000" w:themeColor="text1"/>
                <w:sz w:val="24"/>
                <w:lang w:val="en-US" w:eastAsia="zh-CN"/>
                <w14:textFill>
                  <w14:solidFill>
                    <w14:schemeClr w14:val="tx1"/>
                  </w14:solidFill>
                </w14:textFill>
              </w:rPr>
              <w:t xml:space="preserve">3  </w:t>
            </w:r>
            <w:r>
              <w:rPr>
                <w:rFonts w:hint="eastAsia" w:ascii="Times New Roman" w:hAnsi="Times New Roman" w:cs="Times New Roman" w:eastAsiaTheme="minorEastAsia"/>
                <w:b/>
                <w:bCs/>
                <w:color w:val="auto"/>
                <w:kern w:val="0"/>
                <w:sz w:val="24"/>
                <w:highlight w:val="none"/>
                <w:lang w:val="en-US" w:eastAsia="zh-CN"/>
              </w:rPr>
              <w:t>人工去毛刺</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cs="Times New Roman" w:eastAsiaTheme="minorEastAsia"/>
                <w:b/>
                <w:bCs/>
                <w:color w:val="auto"/>
                <w:kern w:val="0"/>
                <w:sz w:val="24"/>
                <w:highlight w:val="none"/>
                <w:lang w:val="en-US" w:eastAsia="zh-CN"/>
              </w:rPr>
              <w:t>打磨</w:t>
            </w:r>
            <w:r>
              <w:rPr>
                <w:rFonts w:hint="default" w:ascii="Times New Roman" w:hAnsi="Times New Roman" w:cs="Times New Roman" w:eastAsiaTheme="minorEastAsia"/>
                <w:b/>
                <w:bCs/>
                <w:color w:val="auto"/>
                <w:kern w:val="0"/>
                <w:sz w:val="24"/>
                <w:highlight w:val="none"/>
              </w:rPr>
              <w:t>、</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喷砂</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抛丸</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抛光</w:t>
            </w:r>
            <w:r>
              <w:rPr>
                <w:rFonts w:hint="default" w:ascii="Times New Roman" w:hAnsi="Times New Roman" w:cs="Times New Roman"/>
                <w:b/>
                <w:color w:val="000000" w:themeColor="text1"/>
                <w:sz w:val="24"/>
                <w:lang w:eastAsia="zh-CN"/>
                <w14:textFill>
                  <w14:solidFill>
                    <w14:schemeClr w14:val="tx1"/>
                  </w14:solidFill>
                </w14:textFill>
              </w:rPr>
              <w:t>粉尘</w:t>
            </w:r>
            <w:r>
              <w:rPr>
                <w:rFonts w:hint="default" w:ascii="Times New Roman" w:hAnsi="Times New Roman" w:cs="Times New Roman"/>
                <w:b/>
                <w:bCs/>
                <w:color w:val="000000" w:themeColor="text1"/>
                <w:sz w:val="24"/>
                <w14:textFill>
                  <w14:solidFill>
                    <w14:schemeClr w14:val="tx1"/>
                  </w14:solidFill>
                </w14:textFill>
              </w:rPr>
              <w:t>无组织</w:t>
            </w:r>
            <w:r>
              <w:rPr>
                <w:rFonts w:hint="default" w:ascii="Times New Roman" w:hAnsi="Times New Roman" w:cs="Times New Roman"/>
                <w:b/>
                <w:bCs/>
                <w:color w:val="000000" w:themeColor="text1"/>
                <w:sz w:val="24"/>
                <w:lang w:val="zh-CN"/>
                <w14:textFill>
                  <w14:solidFill>
                    <w14:schemeClr w14:val="tx1"/>
                  </w14:solidFill>
                </w14:textFill>
              </w:rPr>
              <w:t>排放情况一览表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8"/>
              <w:gridCol w:w="1230"/>
              <w:gridCol w:w="1273"/>
              <w:gridCol w:w="1205"/>
              <w:gridCol w:w="1281"/>
              <w:gridCol w:w="1225"/>
            </w:tblGrid>
            <w:tr w14:paraId="3ADC8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43" w:type="pct"/>
                  <w:vMerge w:val="restart"/>
                  <w:vAlign w:val="center"/>
                </w:tcPr>
                <w:p w14:paraId="349B500B">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743" w:type="pct"/>
                  <w:vMerge w:val="restart"/>
                  <w:vAlign w:val="center"/>
                </w:tcPr>
                <w:p w14:paraId="559DCC81">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7" w:type="pct"/>
                  <w:gridSpan w:val="2"/>
                  <w:vAlign w:val="center"/>
                </w:tcPr>
                <w:p w14:paraId="76FBF64F">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778F349C">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69D50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243" w:type="pct"/>
                  <w:vMerge w:val="continue"/>
                  <w:vAlign w:val="center"/>
                </w:tcPr>
                <w:p w14:paraId="38C40B5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743" w:type="pct"/>
                  <w:vMerge w:val="continue"/>
                  <w:vAlign w:val="center"/>
                </w:tcPr>
                <w:p w14:paraId="3FDEE861">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769" w:type="pct"/>
                  <w:vAlign w:val="center"/>
                </w:tcPr>
                <w:p w14:paraId="6E70CFB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8" w:type="pct"/>
                  <w:vAlign w:val="center"/>
                </w:tcPr>
                <w:p w14:paraId="14CD223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4" w:type="pct"/>
                  <w:vAlign w:val="center"/>
                </w:tcPr>
                <w:p w14:paraId="680A441C">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40" w:type="pct"/>
                  <w:vAlign w:val="center"/>
                </w:tcPr>
                <w:p w14:paraId="4B64EA93">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0A0A4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43" w:type="pct"/>
                  <w:vAlign w:val="center"/>
                </w:tcPr>
                <w:p w14:paraId="60EB522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人工去毛刺</w:t>
                  </w:r>
                  <w:r>
                    <w:rPr>
                      <w:rFonts w:hint="default" w:ascii="Times New Roman" w:hAnsi="Times New Roman" w:eastAsia="宋体" w:cs="Times New Roman"/>
                      <w:bCs/>
                      <w:color w:val="000000" w:themeColor="text1"/>
                      <w:szCs w:val="18"/>
                      <w:lang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打磨</w:t>
                  </w:r>
                  <w:r>
                    <w:rPr>
                      <w:rFonts w:hint="default" w:ascii="Times New Roman" w:hAnsi="Times New Roman" w:eastAsia="宋体" w:cs="Times New Roman"/>
                      <w:bCs/>
                      <w:color w:val="000000" w:themeColor="text1"/>
                      <w:szCs w:val="18"/>
                      <w:lang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喷砂</w:t>
                  </w:r>
                  <w:r>
                    <w:rPr>
                      <w:rFonts w:hint="default" w:ascii="Times New Roman" w:hAnsi="Times New Roman" w:eastAsia="宋体" w:cs="Times New Roman"/>
                      <w:bCs/>
                      <w:color w:val="000000" w:themeColor="text1"/>
                      <w:szCs w:val="18"/>
                      <w:lang w:val="en-US"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抛丸</w:t>
                  </w:r>
                  <w:r>
                    <w:rPr>
                      <w:rFonts w:hint="default" w:ascii="Times New Roman" w:hAnsi="Times New Roman" w:eastAsia="宋体" w:cs="Times New Roman"/>
                      <w:bCs/>
                      <w:color w:val="000000" w:themeColor="text1"/>
                      <w:szCs w:val="18"/>
                      <w:lang w:val="en-US" w:eastAsia="zh-CN"/>
                      <w14:textFill>
                        <w14:solidFill>
                          <w14:schemeClr w14:val="tx1"/>
                        </w14:solidFill>
                      </w14:textFill>
                    </w:rPr>
                    <w:t>、</w:t>
                  </w:r>
                  <w:r>
                    <w:rPr>
                      <w:rFonts w:hint="eastAsia" w:ascii="Times New Roman" w:hAnsi="Times New Roman" w:eastAsia="宋体" w:cs="Times New Roman"/>
                      <w:bCs/>
                      <w:color w:val="000000" w:themeColor="text1"/>
                      <w:szCs w:val="18"/>
                      <w:lang w:val="en-US" w:eastAsia="zh-CN"/>
                      <w14:textFill>
                        <w14:solidFill>
                          <w14:schemeClr w14:val="tx1"/>
                        </w14:solidFill>
                      </w14:textFill>
                    </w:rPr>
                    <w:t>抛光</w:t>
                  </w:r>
                </w:p>
              </w:tc>
              <w:tc>
                <w:tcPr>
                  <w:tcW w:w="743" w:type="pct"/>
                  <w:vAlign w:val="center"/>
                </w:tcPr>
                <w:p w14:paraId="2408E0E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18"/>
                      <w:lang w:eastAsia="zh-CN"/>
                      <w14:textFill>
                        <w14:solidFill>
                          <w14:schemeClr w14:val="tx1"/>
                        </w14:solidFill>
                      </w14:textFill>
                    </w:rPr>
                    <w:t>颗粒物</w:t>
                  </w:r>
                </w:p>
              </w:tc>
              <w:tc>
                <w:tcPr>
                  <w:tcW w:w="769" w:type="pct"/>
                  <w:vAlign w:val="center"/>
                </w:tcPr>
                <w:p w14:paraId="67F5679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eastAsia="宋体" w:cs="Times New Roman"/>
                      <w:color w:val="000000" w:themeColor="text1"/>
                      <w:szCs w:val="21"/>
                      <w:lang w:val="en-US" w:eastAsia="zh-CN"/>
                      <w14:textFill>
                        <w14:solidFill>
                          <w14:schemeClr w14:val="tx1"/>
                        </w14:solidFill>
                      </w14:textFill>
                    </w:rPr>
                    <w:t>0.121</w:t>
                  </w:r>
                </w:p>
              </w:tc>
              <w:tc>
                <w:tcPr>
                  <w:tcW w:w="728" w:type="pct"/>
                  <w:vAlign w:val="center"/>
                </w:tcPr>
                <w:p w14:paraId="1BFD3D3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eastAsia="宋体" w:cs="Times New Roman"/>
                      <w:color w:val="000000" w:themeColor="text1"/>
                      <w:szCs w:val="21"/>
                      <w:lang w:val="en-US" w:eastAsia="zh-CN"/>
                      <w14:textFill>
                        <w14:solidFill>
                          <w14:schemeClr w14:val="tx1"/>
                        </w14:solidFill>
                      </w14:textFill>
                    </w:rPr>
                    <w:t>0.311</w:t>
                  </w:r>
                </w:p>
              </w:tc>
              <w:tc>
                <w:tcPr>
                  <w:tcW w:w="774" w:type="pct"/>
                  <w:shd w:val="clear" w:color="auto" w:fill="auto"/>
                  <w:vAlign w:val="center"/>
                </w:tcPr>
                <w:p w14:paraId="4E11B2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s="Times New Roman"/>
                      <w:color w:val="000000" w:themeColor="text1"/>
                      <w:szCs w:val="21"/>
                      <w:lang w:val="en-US" w:eastAsia="zh-CN"/>
                      <w14:textFill>
                        <w14:solidFill>
                          <w14:schemeClr w14:val="tx1"/>
                        </w14:solidFill>
                      </w14:textFill>
                    </w:rPr>
                    <w:t>0.121</w:t>
                  </w:r>
                </w:p>
              </w:tc>
              <w:tc>
                <w:tcPr>
                  <w:tcW w:w="740" w:type="pct"/>
                  <w:shd w:val="clear" w:color="auto" w:fill="auto"/>
                  <w:vAlign w:val="center"/>
                </w:tcPr>
                <w:p w14:paraId="2CD125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s="Times New Roman"/>
                      <w:color w:val="000000" w:themeColor="text1"/>
                      <w:szCs w:val="21"/>
                      <w:lang w:val="en-US" w:eastAsia="zh-CN"/>
                      <w14:textFill>
                        <w14:solidFill>
                          <w14:schemeClr w14:val="tx1"/>
                        </w14:solidFill>
                      </w14:textFill>
                    </w:rPr>
                    <w:t>0.311</w:t>
                  </w:r>
                </w:p>
              </w:tc>
            </w:tr>
          </w:tbl>
          <w:p w14:paraId="051A755D">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w:t>
            </w:r>
            <w:r>
              <w:rPr>
                <w:rFonts w:hint="default" w:ascii="Times New Roman" w:hAnsi="Times New Roman" w:eastAsia="宋体" w:cs="Times New Roman"/>
                <w:color w:val="000000" w:themeColor="text1"/>
                <w:sz w:val="24"/>
                <w:lang w:val="en-US" w:eastAsia="zh-CN"/>
                <w14:textFill>
                  <w14:solidFill>
                    <w14:schemeClr w14:val="tx1"/>
                  </w14:solidFill>
                </w14:textFill>
              </w:rPr>
              <w:t>固化、</w:t>
            </w:r>
            <w:r>
              <w:rPr>
                <w:rFonts w:hint="eastAsia" w:ascii="Times New Roman" w:hAnsi="Times New Roman" w:eastAsia="宋体" w:cs="Times New Roman"/>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喷粉固化天然气燃烧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废气</w:t>
            </w:r>
          </w:p>
          <w:p w14:paraId="4BC83DB4">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kern w:val="0"/>
                <w:sz w:val="24"/>
                <w:lang w:val="en-US" w:eastAsia="zh-CN" w:bidi="ar"/>
                <w14:textFill>
                  <w14:solidFill>
                    <w14:schemeClr w14:val="tx1"/>
                  </w14:solidFill>
                </w14:textFill>
              </w:rPr>
              <w:t>1）</w:t>
            </w:r>
            <w:r>
              <w:rPr>
                <w:rFonts w:hint="eastAsia" w:ascii="Times New Roman" w:hAnsi="Times New Roman" w:cs="Times New Roman"/>
                <w:color w:val="000000" w:themeColor="text1"/>
                <w:sz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color w:val="000000" w:themeColor="text1"/>
                <w:sz w:val="24"/>
                <w:lang w:val="en-US" w:eastAsia="zh-CN"/>
                <w14:textFill>
                  <w14:solidFill>
                    <w14:schemeClr w14:val="tx1"/>
                  </w14:solidFill>
                </w14:textFill>
              </w:rPr>
              <w:t>废气</w:t>
            </w:r>
          </w:p>
          <w:p w14:paraId="010C778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项目喷漆烘干</w:t>
            </w:r>
            <w:r>
              <w:rPr>
                <w:rFonts w:hint="default" w:ascii="Times New Roman" w:hAnsi="Times New Roman" w:cs="Times New Roman"/>
                <w:color w:val="000000" w:themeColor="text1"/>
                <w:sz w:val="24"/>
                <w14:textFill>
                  <w14:solidFill>
                    <w14:schemeClr w14:val="tx1"/>
                  </w14:solidFill>
                </w14:textFill>
              </w:rPr>
              <w:t>中</w:t>
            </w:r>
            <w:r>
              <w:rPr>
                <w:rFonts w:hint="default" w:ascii="Times New Roman" w:hAnsi="Times New Roman" w:eastAsia="宋体" w:cs="Times New Roman"/>
                <w:color w:val="000000" w:themeColor="text1"/>
                <w:sz w:val="24"/>
                <w14:textFill>
                  <w14:solidFill>
                    <w14:schemeClr w14:val="tx1"/>
                  </w14:solidFill>
                </w14:textFill>
              </w:rPr>
              <w:t>会产生有机废气，以非甲烷总烃计，</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w:t>
            </w:r>
            <w:r>
              <w:rPr>
                <w:rFonts w:hint="default" w:ascii="Times New Roman" w:hAnsi="Times New Roman" w:eastAsia="宋体" w:cs="Times New Roman"/>
                <w:color w:val="000000" w:themeColor="text1"/>
                <w:sz w:val="24"/>
                <w14:textFill>
                  <w14:solidFill>
                    <w14:schemeClr w14:val="tx1"/>
                  </w14:solidFill>
                </w14:textFill>
              </w:rPr>
              <w:t>位于</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喷漆烘干通道</w:t>
            </w:r>
            <w:r>
              <w:rPr>
                <w:rFonts w:hint="default" w:ascii="Times New Roman" w:hAnsi="Times New Roman" w:eastAsia="宋体" w:cs="Times New Roman"/>
                <w:color w:val="000000" w:themeColor="text1"/>
                <w:sz w:val="24"/>
                <w14:textFill>
                  <w14:solidFill>
                    <w14:schemeClr w14:val="tx1"/>
                  </w14:solidFill>
                </w14:textFill>
              </w:rPr>
              <w:t>内进行。</w:t>
            </w:r>
            <w:r>
              <w:rPr>
                <w:rFonts w:hint="default" w:ascii="Times New Roman" w:hAnsi="Times New Roman" w:cs="Times New Roman"/>
                <w:color w:val="000000" w:themeColor="text1"/>
                <w:sz w:val="24"/>
                <w14:textFill>
                  <w14:solidFill>
                    <w14:schemeClr w14:val="tx1"/>
                  </w14:solidFill>
                </w14:textFill>
              </w:rPr>
              <w:t>根据物料平衡，</w:t>
            </w:r>
            <w:r>
              <w:rPr>
                <w:rFonts w:hint="default" w:ascii="Times New Roman" w:hAnsi="Times New Roman" w:cs="Times New Roman"/>
                <w:color w:val="000000" w:themeColor="text1"/>
                <w:sz w:val="24"/>
                <w:lang w:val="en-US" w:eastAsia="zh-CN"/>
                <w14:textFill>
                  <w14:solidFill>
                    <w14:schemeClr w14:val="tx1"/>
                  </w14:solidFill>
                </w14:textFill>
              </w:rPr>
              <w:t>调配后</w:t>
            </w:r>
            <w:r>
              <w:rPr>
                <w:rFonts w:hint="default" w:ascii="Times New Roman" w:hAnsi="Times New Roman" w:cs="Times New Roman"/>
                <w:color w:val="000000" w:themeColor="text1"/>
                <w:sz w:val="24"/>
                <w14:textFill>
                  <w14:solidFill>
                    <w14:schemeClr w14:val="tx1"/>
                  </w14:solidFill>
                </w14:textFill>
              </w:rPr>
              <w:t>水性环氧底漆中固体份含量为</w:t>
            </w:r>
            <w:r>
              <w:rPr>
                <w:rFonts w:hint="eastAsia" w:cs="Times New Roman"/>
                <w:color w:val="000000" w:themeColor="text1"/>
                <w:sz w:val="24"/>
                <w:lang w:val="en-US" w:eastAsia="zh-CN"/>
                <w14:textFill>
                  <w14:solidFill>
                    <w14:schemeClr w14:val="tx1"/>
                  </w14:solidFill>
                </w14:textFill>
              </w:rPr>
              <w:t>3.3282</w:t>
            </w:r>
            <w:r>
              <w:rPr>
                <w:rFonts w:hint="default" w:ascii="Times New Roman" w:hAnsi="Times New Roman" w:cs="Times New Roman"/>
                <w:color w:val="000000" w:themeColor="text1"/>
                <w:sz w:val="24"/>
                <w14:textFill>
                  <w14:solidFill>
                    <w14:schemeClr w14:val="tx1"/>
                  </w14:solidFill>
                </w14:textFill>
              </w:rPr>
              <w:t>t/a，挥发份含量为</w:t>
            </w:r>
            <w:r>
              <w:rPr>
                <w:rFonts w:hint="default" w:ascii="Times New Roman" w:hAnsi="Times New Roman" w:cs="Times New Roman"/>
                <w:color w:val="000000" w:themeColor="text1"/>
                <w:sz w:val="24"/>
                <w:lang w:val="en-US" w:eastAsia="zh-CN"/>
                <w14:textFill>
                  <w14:solidFill>
                    <w14:schemeClr w14:val="tx1"/>
                  </w14:solidFill>
                </w14:textFill>
              </w:rPr>
              <w:t>0.</w:t>
            </w:r>
            <w:r>
              <w:rPr>
                <w:rFonts w:hint="eastAsia" w:cs="Times New Roman"/>
                <w:color w:val="000000" w:themeColor="text1"/>
                <w:sz w:val="24"/>
                <w:lang w:val="en-US" w:eastAsia="zh-CN"/>
                <w14:textFill>
                  <w14:solidFill>
                    <w14:schemeClr w14:val="tx1"/>
                  </w14:solidFill>
                </w14:textFill>
              </w:rPr>
              <w:t>4294</w:t>
            </w:r>
            <w:r>
              <w:rPr>
                <w:rFonts w:hint="default" w:ascii="Times New Roman" w:hAnsi="Times New Roman" w:cs="Times New Roman"/>
                <w:color w:val="000000" w:themeColor="text1"/>
                <w:sz w:val="24"/>
                <w14:textFill>
                  <w14:solidFill>
                    <w14:schemeClr w14:val="tx1"/>
                  </w14:solidFill>
                </w14:textFill>
              </w:rPr>
              <w:t>t/a，水份含量为</w:t>
            </w:r>
            <w:r>
              <w:rPr>
                <w:rFonts w:hint="eastAsia" w:cs="Times New Roman"/>
                <w:color w:val="000000" w:themeColor="text1"/>
                <w:sz w:val="24"/>
                <w:lang w:val="en-US" w:eastAsia="zh-CN"/>
                <w14:textFill>
                  <w14:solidFill>
                    <w14:schemeClr w14:val="tx1"/>
                  </w14:solidFill>
                </w14:textFill>
              </w:rPr>
              <w:t>1.6104</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w:t>
            </w:r>
          </w:p>
          <w:p w14:paraId="4B5F9608">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lang w:val="en-US" w:eastAsia="zh-CN"/>
                <w14:textFill>
                  <w14:solidFill>
                    <w14:schemeClr w14:val="tx1"/>
                  </w14:solidFill>
                </w14:textFill>
              </w:rPr>
              <w:t>涂料挥发的有机废气中调漆工段占10%，喷漆工段占50%，</w:t>
            </w:r>
            <w:r>
              <w:rPr>
                <w:rFonts w:hint="eastAsia" w:cs="Times New Roman" w:eastAsiaTheme="minorEastAsia"/>
                <w:color w:val="000000" w:themeColor="text1"/>
                <w:sz w:val="24"/>
                <w:lang w:val="en-US" w:eastAsia="zh-CN"/>
                <w14:textFill>
                  <w14:solidFill>
                    <w14:schemeClr w14:val="tx1"/>
                  </w14:solidFill>
                </w14:textFill>
              </w:rPr>
              <w:t>烘干</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工段占40%。则调漆工段挥发的有机废气量为</w:t>
            </w:r>
            <w:r>
              <w:rPr>
                <w:rFonts w:hint="eastAsia" w:cs="Times New Roman" w:eastAsiaTheme="minorEastAsia"/>
                <w:color w:val="000000" w:themeColor="text1"/>
                <w:sz w:val="24"/>
                <w:lang w:val="en-US" w:eastAsia="zh-CN"/>
                <w14:textFill>
                  <w14:solidFill>
                    <w14:schemeClr w14:val="tx1"/>
                  </w14:solidFill>
                </w14:textFill>
              </w:rPr>
              <w:t>0.0428</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t/a、喷漆工段挥发的有机废气量为0.2</w:t>
            </w:r>
            <w:r>
              <w:rPr>
                <w:rFonts w:hint="eastAsia" w:cs="Times New Roman" w:eastAsiaTheme="minorEastAsia"/>
                <w:color w:val="000000" w:themeColor="text1"/>
                <w:sz w:val="24"/>
                <w:lang w:val="en-US" w:eastAsia="zh-CN"/>
                <w14:textFill>
                  <w14:solidFill>
                    <w14:schemeClr w14:val="tx1"/>
                  </w14:solidFill>
                </w14:textFill>
              </w:rPr>
              <w:t>147</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t/a、</w:t>
            </w:r>
            <w:r>
              <w:rPr>
                <w:rFonts w:hint="eastAsia" w:cs="Times New Roman" w:eastAsiaTheme="minorEastAsia"/>
                <w:color w:val="000000" w:themeColor="text1"/>
                <w:sz w:val="24"/>
                <w:lang w:val="en-US" w:eastAsia="zh-CN"/>
                <w14:textFill>
                  <w14:solidFill>
                    <w14:schemeClr w14:val="tx1"/>
                  </w14:solidFill>
                </w14:textFill>
              </w:rPr>
              <w:t>烘干</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工段挥发的有机废气量为0.</w:t>
            </w:r>
            <w:r>
              <w:rPr>
                <w:rFonts w:hint="eastAsia" w:cs="Times New Roman" w:eastAsiaTheme="minorEastAsia"/>
                <w:color w:val="000000" w:themeColor="text1"/>
                <w:sz w:val="24"/>
                <w:lang w:val="en-US" w:eastAsia="zh-CN"/>
                <w14:textFill>
                  <w14:solidFill>
                    <w14:schemeClr w14:val="tx1"/>
                  </w14:solidFill>
                </w14:textFill>
              </w:rPr>
              <w:t>1718</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t/a。</w:t>
            </w:r>
            <w:r>
              <w:rPr>
                <w:rFonts w:hint="eastAsia" w:ascii="Times New Roman" w:hAnsi="Times New Roman" w:cs="Times New Roman"/>
                <w:color w:val="000000" w:themeColor="text1"/>
                <w:sz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lang w:val="en-US" w:eastAsia="zh-CN"/>
                <w14:textFill>
                  <w14:solidFill>
                    <w14:schemeClr w14:val="tx1"/>
                  </w14:solidFill>
                </w14:textFill>
              </w:rPr>
              <w:t>漆烘干</w:t>
            </w:r>
            <w:r>
              <w:rPr>
                <w:rFonts w:hint="default" w:ascii="Times New Roman" w:hAnsi="Times New Roman" w:cs="Times New Roman"/>
                <w:bCs/>
                <w:color w:val="000000" w:themeColor="text1"/>
                <w:sz w:val="24"/>
                <w:szCs w:val="21"/>
                <w14:textFill>
                  <w14:solidFill>
                    <w14:schemeClr w14:val="tx1"/>
                  </w14:solidFill>
                </w14:textFill>
              </w:rPr>
              <w:t>工序</w:t>
            </w:r>
            <w:r>
              <w:rPr>
                <w:rFonts w:hint="default" w:ascii="Times New Roman" w:hAnsi="Times New Roman" w:cs="Times New Roman"/>
                <w:color w:val="000000" w:themeColor="text1"/>
                <w:sz w:val="24"/>
                <w14:textFill>
                  <w14:solidFill>
                    <w14:schemeClr w14:val="tx1"/>
                  </w14:solidFill>
                </w14:textFill>
              </w:rPr>
              <w:t>生产工况为每天工作约</w:t>
            </w:r>
            <w:r>
              <w:rPr>
                <w:rFonts w:hint="eastAsia" w:ascii="Times New Roman" w:hAnsi="Times New Roman" w:cs="Times New Roman"/>
                <w:color w:val="000000" w:themeColor="text1"/>
                <w:sz w:val="24"/>
                <w:lang w:val="en-US" w:eastAsia="zh-CN"/>
                <w14:textFill>
                  <w14:solidFill>
                    <w14:schemeClr w14:val="tx1"/>
                  </w14:solidFill>
                </w14:textFill>
              </w:rPr>
              <w:t>16</w:t>
            </w:r>
            <w:r>
              <w:rPr>
                <w:rFonts w:hint="default" w:ascii="Times New Roman" w:hAnsi="Times New Roman" w:cs="Times New Roman"/>
                <w:color w:val="000000" w:themeColor="text1"/>
                <w:sz w:val="24"/>
                <w14:textFill>
                  <w14:solidFill>
                    <w14:schemeClr w14:val="tx1"/>
                  </w14:solidFill>
                </w14:textFill>
              </w:rPr>
              <w:t>小时，年工作3</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0天。</w:t>
            </w:r>
          </w:p>
          <w:p w14:paraId="158C41E6">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2）喷粉</w:t>
            </w:r>
            <w:r>
              <w:rPr>
                <w:rFonts w:hint="default" w:ascii="Times New Roman" w:hAnsi="Times New Roman" w:eastAsia="宋体" w:cs="Times New Roman"/>
                <w:color w:val="000000" w:themeColor="text1"/>
                <w:sz w:val="24"/>
                <w:lang w:val="en-US" w:eastAsia="zh-CN"/>
                <w14:textFill>
                  <w14:solidFill>
                    <w14:schemeClr w14:val="tx1"/>
                  </w14:solidFill>
                </w14:textFill>
              </w:rPr>
              <w:t>固化废气</w:t>
            </w:r>
          </w:p>
          <w:p w14:paraId="55DEDE2F">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项目固化采用</w:t>
            </w:r>
            <w:r>
              <w:rPr>
                <w:rFonts w:hint="eastAsia" w:ascii="Times New Roman" w:hAnsi="Times New Roman" w:cs="Times New Roman"/>
                <w:color w:val="000000" w:themeColor="text1"/>
                <w:kern w:val="0"/>
                <w:sz w:val="24"/>
                <w:lang w:val="en-US" w:eastAsia="zh-CN" w:bidi="ar"/>
                <w14:textFill>
                  <w14:solidFill>
                    <w14:schemeClr w14:val="tx1"/>
                  </w14:solidFill>
                </w14:textFill>
              </w:rPr>
              <w:t>天然气加热</w:t>
            </w:r>
            <w:r>
              <w:rPr>
                <w:rFonts w:hint="default" w:ascii="Times New Roman" w:hAnsi="Times New Roman" w:cs="Times New Roman"/>
                <w:color w:val="000000" w:themeColor="text1"/>
                <w:kern w:val="0"/>
                <w:sz w:val="24"/>
                <w:lang w:bidi="ar"/>
                <w14:textFill>
                  <w14:solidFill>
                    <w14:schemeClr w14:val="tx1"/>
                  </w14:solidFill>
                </w14:textFill>
              </w:rPr>
              <w:t>，固化温度为160～220℃。固化过程中，塑粉在高温下成为熔融状态，牢牢地附着在工件表面。由于塑粉的分解温度在300℃以上，塑粉在此工程中不会分解。固化阶段树脂塑粉熔融状态有有机废气散发出来，以非甲烷总烃计（NMHC）。</w:t>
            </w:r>
            <w:r>
              <w:rPr>
                <w:rFonts w:hint="eastAsia"/>
                <w:color w:val="000000" w:themeColor="text1"/>
                <w:sz w:val="24"/>
                <w:szCs w:val="24"/>
                <w:lang w:val="en-US" w:eastAsia="zh-CN"/>
                <w14:textFill>
                  <w14:solidFill>
                    <w14:schemeClr w14:val="tx1"/>
                  </w14:solidFill>
                </w14:textFill>
              </w:rPr>
              <w:t>根据</w:t>
            </w:r>
            <w:r>
              <w:rPr>
                <w:rFonts w:hint="eastAsia"/>
                <w:color w:val="000000" w:themeColor="text1"/>
                <w:sz w:val="24"/>
                <w:szCs w:val="24"/>
                <w14:textFill>
                  <w14:solidFill>
                    <w14:schemeClr w14:val="tx1"/>
                  </w14:solidFill>
                </w14:textFill>
              </w:rPr>
              <w:t>《污染源源强核算技术指南</w:t>
            </w:r>
            <w:r>
              <w:rPr>
                <w:rFonts w:hint="default"/>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汽车制造》</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HJ 1097-2020）附录E，本项目产品</w:t>
            </w:r>
            <w:r>
              <w:rPr>
                <w:rFonts w:hint="default" w:ascii="Times New Roman" w:hAnsi="Times New Roman" w:cs="Times New Roman"/>
                <w:sz w:val="24"/>
                <w:szCs w:val="24"/>
              </w:rPr>
              <w:t>汽车零部件</w:t>
            </w:r>
            <w:r>
              <w:rPr>
                <w:rFonts w:hint="eastAsia"/>
                <w:color w:val="000000" w:themeColor="text1"/>
                <w:sz w:val="24"/>
                <w:szCs w:val="24"/>
                <w:lang w:val="en-US" w:eastAsia="zh-CN"/>
                <w14:textFill>
                  <w14:solidFill>
                    <w14:schemeClr w14:val="tx1"/>
                  </w14:solidFill>
                </w14:textFill>
              </w:rPr>
              <w:t>属于粉末喷涂-静电喷涂-零部件喷涂，粉末涂料附着率为65%；本项目产品侧围加强版属于粉末喷涂-静电喷涂-零部件喷涂，粉末涂料附着率为65%；</w:t>
            </w:r>
            <w:r>
              <w:rPr>
                <w:rFonts w:hint="default" w:ascii="Times New Roman" w:hAnsi="Times New Roman" w:cs="Times New Roman"/>
                <w:sz w:val="24"/>
                <w:szCs w:val="24"/>
              </w:rPr>
              <w:t>通讯五金部件</w:t>
            </w:r>
            <w:r>
              <w:rPr>
                <w:rFonts w:hint="eastAsia" w:cs="Times New Roman"/>
                <w:sz w:val="24"/>
                <w:szCs w:val="24"/>
                <w:lang w:eastAsia="zh-CN"/>
              </w:rPr>
              <w:t>、</w:t>
            </w:r>
            <w:r>
              <w:rPr>
                <w:rFonts w:hint="eastAsia" w:cs="Times New Roman"/>
                <w:sz w:val="24"/>
                <w:szCs w:val="24"/>
                <w:lang w:val="en-US" w:eastAsia="zh-CN"/>
              </w:rPr>
              <w:t>光电设备配件</w:t>
            </w:r>
            <w:r>
              <w:rPr>
                <w:rFonts w:hint="eastAsia" w:ascii="Times New Roman" w:hAnsi="Times New Roman" w:cs="Times New Roman"/>
                <w:sz w:val="24"/>
                <w:szCs w:val="24"/>
                <w:lang w:val="en-US" w:eastAsia="zh-CN"/>
              </w:rPr>
              <w:t>喷涂工艺和汽车零部件喷涂工艺一致，故</w:t>
            </w:r>
            <w:r>
              <w:rPr>
                <w:rFonts w:hint="eastAsia"/>
                <w:color w:val="000000" w:themeColor="text1"/>
                <w:sz w:val="24"/>
                <w:szCs w:val="24"/>
                <w:lang w:val="en-US" w:eastAsia="zh-CN"/>
                <w14:textFill>
                  <w14:solidFill>
                    <w14:schemeClr w14:val="tx1"/>
                  </w14:solidFill>
                </w14:textFill>
              </w:rPr>
              <w:t>粉末涂料附着率参照</w:t>
            </w:r>
            <w:r>
              <w:rPr>
                <w:rFonts w:hint="eastAsia" w:ascii="Times New Roman" w:hAnsi="Times New Roman" w:cs="Times New Roman"/>
                <w:sz w:val="24"/>
                <w:szCs w:val="24"/>
                <w:lang w:val="en-US" w:eastAsia="zh-CN"/>
              </w:rPr>
              <w:t>汽车零部件，以65%计。项目塑粉年用量为155.292t/a，</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根据物料平衡可知，</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喷粉</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固化</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工件附着量</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为</w:t>
            </w:r>
            <w:r>
              <w:rPr>
                <w:rFonts w:hint="eastAsia" w:cs="Times New Roman"/>
                <w:bCs/>
                <w:color w:val="000000" w:themeColor="text1"/>
                <w:sz w:val="24"/>
                <w:szCs w:val="24"/>
                <w:lang w:val="en-US" w:eastAsia="zh-CN"/>
                <w14:textFill>
                  <w14:solidFill>
                    <w14:schemeClr w14:val="tx1"/>
                  </w14:solidFill>
                </w14:textFill>
              </w:rPr>
              <w:t>100.94</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t/a</w:t>
            </w:r>
            <w:r>
              <w:rPr>
                <w:rFonts w:hint="default" w:ascii="Times New Roman" w:hAnsi="Times New Roman" w:cs="Times New Roman"/>
                <w:bCs/>
                <w:color w:val="000000" w:themeColor="text1"/>
                <w:sz w:val="24"/>
                <w:szCs w:val="24"/>
                <w14:textFill>
                  <w14:solidFill>
                    <w14:schemeClr w14:val="tx1"/>
                  </w14:solidFill>
                </w14:textFill>
              </w:rPr>
              <w:t>。</w:t>
            </w:r>
            <w:r>
              <w:rPr>
                <w:rFonts w:hint="default" w:ascii="Times New Roman" w:hAnsi="Times New Roman" w:cs="Times New Roman"/>
                <w:bCs/>
                <w:color w:val="000000" w:themeColor="text1"/>
                <w:sz w:val="24"/>
                <w:szCs w:val="21"/>
                <w14:textFill>
                  <w14:solidFill>
                    <w14:schemeClr w14:val="tx1"/>
                  </w14:solidFill>
                </w14:textFill>
              </w:rPr>
              <w:t>参照</w:t>
            </w:r>
            <w:r>
              <w:rPr>
                <w:rFonts w:hint="default" w:ascii="Times New Roman" w:hAnsi="Times New Roman" w:cs="Times New Roman"/>
                <w:bCs/>
                <w:color w:val="000000" w:themeColor="text1"/>
                <w:sz w:val="24"/>
                <w:szCs w:val="21"/>
                <w:lang w:val="en-GB"/>
                <w14:textFill>
                  <w14:solidFill>
                    <w14:schemeClr w14:val="tx1"/>
                  </w14:solidFill>
                </w14:textFill>
              </w:rPr>
              <w:t>《排放源统计调查产排污核算方法和系数手册》机械行业中系数手册“</w:t>
            </w:r>
            <w:r>
              <w:rPr>
                <w:rFonts w:hint="default" w:ascii="Times New Roman" w:hAnsi="Times New Roman" w:cs="Times New Roman"/>
                <w:bCs/>
                <w:color w:val="000000" w:themeColor="text1"/>
                <w:sz w:val="24"/>
                <w:szCs w:val="21"/>
                <w14:textFill>
                  <w14:solidFill>
                    <w14:schemeClr w14:val="tx1"/>
                  </w14:solidFill>
                </w14:textFill>
              </w:rPr>
              <w:t>14涂装”-</w:t>
            </w:r>
            <w:r>
              <w:rPr>
                <w:rFonts w:hint="default" w:ascii="Times New Roman" w:hAnsi="Times New Roman" w:cs="Times New Roman"/>
                <w:bCs/>
                <w:color w:val="000000" w:themeColor="text1"/>
                <w:sz w:val="24"/>
                <w:szCs w:val="21"/>
                <w:lang w:val="en-GB"/>
                <w14:textFill>
                  <w14:solidFill>
                    <w14:schemeClr w14:val="tx1"/>
                  </w14:solidFill>
                </w14:textFill>
              </w:rPr>
              <w:t>喷塑后烘干</w:t>
            </w:r>
            <w:r>
              <w:rPr>
                <w:rFonts w:hint="default" w:ascii="Times New Roman" w:hAnsi="Times New Roman" w:cs="Times New Roman"/>
                <w:bCs/>
                <w:color w:val="000000" w:themeColor="text1"/>
                <w:sz w:val="24"/>
                <w:szCs w:val="21"/>
                <w14:textFill>
                  <w14:solidFill>
                    <w14:schemeClr w14:val="tx1"/>
                  </w14:solidFill>
                </w14:textFill>
              </w:rPr>
              <w:t>工艺挥发性有机物</w:t>
            </w:r>
            <w:r>
              <w:rPr>
                <w:rFonts w:hint="default" w:ascii="Times New Roman" w:hAnsi="Times New Roman" w:cs="Times New Roman"/>
                <w:bCs/>
                <w:color w:val="000000" w:themeColor="text1"/>
                <w:sz w:val="24"/>
                <w:szCs w:val="21"/>
                <w:lang w:val="en-GB"/>
                <w14:textFill>
                  <w14:solidFill>
                    <w14:schemeClr w14:val="tx1"/>
                  </w14:solidFill>
                </w14:textFill>
              </w:rPr>
              <w:t>产污系数：</w:t>
            </w:r>
            <w:r>
              <w:rPr>
                <w:rFonts w:hint="default" w:ascii="Times New Roman" w:hAnsi="Times New Roman" w:cs="Times New Roman"/>
                <w:bCs/>
                <w:color w:val="000000" w:themeColor="text1"/>
                <w:sz w:val="24"/>
                <w:szCs w:val="21"/>
                <w14:textFill>
                  <w14:solidFill>
                    <w14:schemeClr w14:val="tx1"/>
                  </w14:solidFill>
                </w14:textFill>
              </w:rPr>
              <w:t>1.2</w:t>
            </w:r>
            <w:r>
              <w:rPr>
                <w:rFonts w:hint="default" w:ascii="Times New Roman" w:hAnsi="Times New Roman" w:cs="Times New Roman"/>
                <w:bCs/>
                <w:color w:val="000000" w:themeColor="text1"/>
                <w:sz w:val="24"/>
                <w:szCs w:val="21"/>
                <w:lang w:val="en-GB"/>
                <w14:textFill>
                  <w14:solidFill>
                    <w14:schemeClr w14:val="tx1"/>
                  </w14:solidFill>
                </w14:textFill>
              </w:rPr>
              <w:t>kg/t-原料。</w:t>
            </w:r>
            <w:r>
              <w:rPr>
                <w:rFonts w:hint="default" w:ascii="Times New Roman" w:hAnsi="Times New Roman" w:cs="Times New Roman"/>
                <w:bCs/>
                <w:color w:val="000000" w:themeColor="text1"/>
                <w:sz w:val="24"/>
                <w:szCs w:val="21"/>
                <w14:textFill>
                  <w14:solidFill>
                    <w14:schemeClr w14:val="tx1"/>
                  </w14:solidFill>
                </w14:textFill>
              </w:rPr>
              <w:t>因此喷粉固化工序非甲烷总烃产生</w:t>
            </w:r>
            <w:r>
              <w:rPr>
                <w:rFonts w:hint="default" w:ascii="Times New Roman" w:hAnsi="Times New Roman" w:cs="Times New Roman"/>
                <w:bCs/>
                <w:color w:val="000000" w:themeColor="text1"/>
                <w:sz w:val="24"/>
                <w:szCs w:val="21"/>
                <w:lang w:val="en-US" w:eastAsia="zh-CN"/>
                <w14:textFill>
                  <w14:solidFill>
                    <w14:schemeClr w14:val="tx1"/>
                  </w14:solidFill>
                </w14:textFill>
              </w:rPr>
              <w:t>总</w:t>
            </w:r>
            <w:r>
              <w:rPr>
                <w:rFonts w:hint="default" w:ascii="Times New Roman" w:hAnsi="Times New Roman" w:cs="Times New Roman"/>
                <w:bCs/>
                <w:color w:val="000000" w:themeColor="text1"/>
                <w:sz w:val="24"/>
                <w:szCs w:val="21"/>
                <w14:textFill>
                  <w14:solidFill>
                    <w14:schemeClr w14:val="tx1"/>
                  </w14:solidFill>
                </w14:textFill>
              </w:rPr>
              <w:t>量为</w:t>
            </w:r>
            <w:r>
              <w:rPr>
                <w:rFonts w:hint="eastAsia" w:cs="Times New Roman"/>
                <w:bCs/>
                <w:color w:val="000000" w:themeColor="text1"/>
                <w:sz w:val="24"/>
                <w:szCs w:val="24"/>
                <w:lang w:val="en-US" w:eastAsia="zh-CN"/>
                <w14:textFill>
                  <w14:solidFill>
                    <w14:schemeClr w14:val="tx1"/>
                  </w14:solidFill>
                </w14:textFill>
              </w:rPr>
              <w:t>100.94</w:t>
            </w:r>
            <w:r>
              <w:rPr>
                <w:rFonts w:hint="default" w:ascii="Times New Roman" w:hAnsi="Times New Roman" w:cs="Times New Roman"/>
                <w:color w:val="000000" w:themeColor="text1"/>
                <w:sz w:val="24"/>
                <w14:textFill>
                  <w14:solidFill>
                    <w14:schemeClr w14:val="tx1"/>
                  </w14:solidFill>
                </w14:textFill>
              </w:rPr>
              <w:t>×1.2</w:t>
            </w:r>
            <w:r>
              <w:rPr>
                <w:rFonts w:hint="default" w:ascii="Times New Roman" w:hAnsi="Times New Roman" w:cs="Times New Roman"/>
                <w:bCs/>
                <w:color w:val="000000" w:themeColor="text1"/>
                <w:sz w:val="24"/>
                <w:szCs w:val="21"/>
                <w:lang w:val="en-GB"/>
                <w14:textFill>
                  <w14:solidFill>
                    <w14:schemeClr w14:val="tx1"/>
                  </w14:solidFill>
                </w14:textFill>
              </w:rPr>
              <w:t>kg/t</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bCs/>
                <w:color w:val="000000" w:themeColor="text1"/>
                <w:sz w:val="24"/>
                <w:szCs w:val="21"/>
                <w:lang w:val="en-US" w:eastAsia="zh-CN"/>
                <w14:textFill>
                  <w14:solidFill>
                    <w14:schemeClr w14:val="tx1"/>
                  </w14:solidFill>
                </w14:textFill>
              </w:rPr>
              <w:t>0.121</w:t>
            </w:r>
            <w:r>
              <w:rPr>
                <w:rFonts w:hint="default" w:ascii="Times New Roman" w:hAnsi="Times New Roman" w:cs="Times New Roman"/>
                <w:bCs/>
                <w:color w:val="000000" w:themeColor="text1"/>
                <w:sz w:val="24"/>
                <w:szCs w:val="21"/>
                <w14:textFill>
                  <w14:solidFill>
                    <w14:schemeClr w14:val="tx1"/>
                  </w14:solidFill>
                </w14:textFill>
              </w:rPr>
              <w:t>t/a</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bCs/>
                <w:color w:val="000000" w:themeColor="text1"/>
                <w:sz w:val="24"/>
                <w:szCs w:val="21"/>
                <w14:textFill>
                  <w14:solidFill>
                    <w14:schemeClr w14:val="tx1"/>
                  </w14:solidFill>
                </w14:textFill>
              </w:rPr>
              <w:t>喷粉固化工序</w:t>
            </w:r>
            <w:r>
              <w:rPr>
                <w:rFonts w:hint="default" w:ascii="Times New Roman" w:hAnsi="Times New Roman" w:cs="Times New Roman"/>
                <w:color w:val="000000" w:themeColor="text1"/>
                <w:sz w:val="24"/>
                <w14:textFill>
                  <w14:solidFill>
                    <w14:schemeClr w14:val="tx1"/>
                  </w14:solidFill>
                </w14:textFill>
              </w:rPr>
              <w:t>生产工况为每天工作约</w:t>
            </w:r>
            <w:r>
              <w:rPr>
                <w:rFonts w:hint="eastAsia" w:ascii="Times New Roman" w:hAnsi="Times New Roman" w:cs="Times New Roman"/>
                <w:color w:val="000000" w:themeColor="text1"/>
                <w:sz w:val="24"/>
                <w:lang w:val="en-US" w:eastAsia="zh-CN"/>
                <w14:textFill>
                  <w14:solidFill>
                    <w14:schemeClr w14:val="tx1"/>
                  </w14:solidFill>
                </w14:textFill>
              </w:rPr>
              <w:t>16</w:t>
            </w:r>
            <w:r>
              <w:rPr>
                <w:rFonts w:hint="default" w:ascii="Times New Roman" w:hAnsi="Times New Roman" w:cs="Times New Roman"/>
                <w:color w:val="000000" w:themeColor="text1"/>
                <w:sz w:val="24"/>
                <w14:textFill>
                  <w14:solidFill>
                    <w14:schemeClr w14:val="tx1"/>
                  </w14:solidFill>
                </w14:textFill>
              </w:rPr>
              <w:t>小时，年工作3</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0天。</w:t>
            </w:r>
          </w:p>
          <w:p w14:paraId="03ECE1FE">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3）前处理烘干天然气燃烧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喷粉固化天然气燃烧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废气</w:t>
            </w:r>
          </w:p>
          <w:p w14:paraId="240E9B8C">
            <w:pPr>
              <w:keepNext w:val="0"/>
              <w:keepLines w:val="0"/>
              <w:widowControl/>
              <w:suppressLineNumbers w:val="0"/>
              <w:spacing w:before="0" w:beforeAutospacing="0" w:after="0" w:afterAutospacing="0" w:line="360" w:lineRule="auto"/>
              <w:ind w:left="0" w:right="0" w:firstLine="480" w:firstLineChars="200"/>
              <w:jc w:val="left"/>
              <w:rPr>
                <w:rFonts w:hint="default" w:eastAsiaTheme="minorEastAsia"/>
                <w:bCs/>
                <w:color w:val="auto"/>
                <w:kern w:val="0"/>
                <w:sz w:val="24"/>
              </w:rPr>
            </w:pPr>
            <w:r>
              <w:rPr>
                <w:rFonts w:hint="default" w:eastAsiaTheme="minorEastAsia"/>
                <w:color w:val="auto"/>
                <w:kern w:val="0"/>
                <w:sz w:val="24"/>
              </w:rPr>
              <w:t>项目</w:t>
            </w:r>
            <w:r>
              <w:rPr>
                <w:rFonts w:hint="eastAsia" w:ascii="Times New Roman" w:hAnsi="Times New Roman" w:eastAsia="宋体" w:cs="Times New Roman"/>
                <w:color w:val="000000" w:themeColor="text1"/>
                <w:sz w:val="24"/>
                <w:lang w:val="en-US" w:eastAsia="zh-CN"/>
                <w14:textFill>
                  <w14:solidFill>
                    <w14:schemeClr w14:val="tx1"/>
                  </w14:solidFill>
                </w14:textFill>
              </w:rPr>
              <w:t>前处理烘干</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eastAsiaTheme="minorEastAsia"/>
                <w:color w:val="auto"/>
                <w:kern w:val="0"/>
                <w:sz w:val="24"/>
              </w:rPr>
              <w:t>喷漆烘干</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喷粉固化</w:t>
            </w:r>
            <w:r>
              <w:rPr>
                <w:rFonts w:hint="default" w:eastAsiaTheme="minorEastAsia"/>
                <w:color w:val="auto"/>
                <w:kern w:val="0"/>
                <w:sz w:val="24"/>
              </w:rPr>
              <w:t>采用天然气加热烘干，</w:t>
            </w:r>
            <w:r>
              <w:rPr>
                <w:rFonts w:hint="default"/>
                <w:color w:val="auto"/>
                <w:sz w:val="24"/>
              </w:rPr>
              <w:t>天然气采用燃烧机燃烧后</w:t>
            </w:r>
            <w:r>
              <w:rPr>
                <w:rFonts w:hint="eastAsia"/>
                <w:color w:val="auto"/>
                <w:sz w:val="24"/>
                <w:lang w:val="en-US" w:eastAsia="zh-CN"/>
              </w:rPr>
              <w:t>直接</w:t>
            </w:r>
            <w:r>
              <w:rPr>
                <w:rFonts w:hint="default"/>
                <w:color w:val="auto"/>
                <w:sz w:val="24"/>
              </w:rPr>
              <w:t>加热空气后进入烘干通道</w:t>
            </w:r>
            <w:r>
              <w:rPr>
                <w:rFonts w:hint="default" w:eastAsiaTheme="minorEastAsia"/>
                <w:color w:val="auto"/>
                <w:kern w:val="0"/>
                <w:sz w:val="24"/>
              </w:rPr>
              <w:t>，</w:t>
            </w:r>
            <w:r>
              <w:rPr>
                <w:rFonts w:hint="default"/>
                <w:color w:val="auto"/>
                <w:kern w:val="0"/>
                <w:sz w:val="24"/>
              </w:rPr>
              <w:t>主要污染物为天然气燃烧产生的</w:t>
            </w:r>
            <w:r>
              <w:rPr>
                <w:rFonts w:hint="default"/>
                <w:color w:val="auto"/>
                <w:kern w:val="0"/>
                <w:sz w:val="24"/>
                <w:lang w:val="zh-CN"/>
              </w:rPr>
              <w:t>烟尘、SO</w:t>
            </w:r>
            <w:r>
              <w:rPr>
                <w:rFonts w:hint="default"/>
                <w:color w:val="auto"/>
                <w:kern w:val="0"/>
                <w:sz w:val="24"/>
                <w:vertAlign w:val="subscript"/>
                <w:lang w:val="zh-CN"/>
              </w:rPr>
              <w:t>2</w:t>
            </w:r>
            <w:r>
              <w:rPr>
                <w:rFonts w:hint="default"/>
                <w:color w:val="auto"/>
                <w:kern w:val="0"/>
                <w:sz w:val="24"/>
                <w:lang w:val="zh-CN"/>
              </w:rPr>
              <w:t>、NOx。本项目</w:t>
            </w:r>
            <w:r>
              <w:rPr>
                <w:rFonts w:hint="default"/>
                <w:color w:val="auto"/>
                <w:kern w:val="0"/>
                <w:sz w:val="24"/>
              </w:rPr>
              <w:t>天然气用量为</w:t>
            </w:r>
            <w:r>
              <w:rPr>
                <w:rFonts w:hint="eastAsia"/>
                <w:color w:val="auto"/>
                <w:kern w:val="0"/>
                <w:sz w:val="24"/>
                <w:lang w:val="en-US" w:eastAsia="zh-CN"/>
              </w:rPr>
              <w:t>12</w:t>
            </w:r>
            <w:r>
              <w:rPr>
                <w:rFonts w:hint="default"/>
                <w:color w:val="auto"/>
                <w:kern w:val="0"/>
                <w:sz w:val="24"/>
              </w:rPr>
              <w:t>万m</w:t>
            </w:r>
            <w:r>
              <w:rPr>
                <w:rFonts w:hint="default"/>
                <w:color w:val="auto"/>
                <w:kern w:val="0"/>
                <w:sz w:val="24"/>
                <w:vertAlign w:val="superscript"/>
              </w:rPr>
              <w:t>3</w:t>
            </w:r>
            <w:r>
              <w:rPr>
                <w:rFonts w:hint="default"/>
                <w:color w:val="auto"/>
                <w:kern w:val="0"/>
                <w:sz w:val="24"/>
              </w:rPr>
              <w:t>/a，</w:t>
            </w:r>
            <w:r>
              <w:rPr>
                <w:rFonts w:hint="default"/>
                <w:bCs/>
                <w:color w:val="auto"/>
                <w:sz w:val="24"/>
                <w:szCs w:val="21"/>
              </w:rPr>
              <w:t>参照</w:t>
            </w:r>
            <w:r>
              <w:rPr>
                <w:rFonts w:hint="default" w:eastAsiaTheme="minorEastAsia"/>
                <w:bCs/>
                <w:color w:val="auto"/>
                <w:sz w:val="24"/>
                <w:szCs w:val="21"/>
                <w:lang w:val="en-GB"/>
              </w:rPr>
              <w:t>《排放源统计调查产排污核算方法和系数手册》机械行业中系数手册“</w:t>
            </w:r>
            <w:r>
              <w:rPr>
                <w:rFonts w:hint="default" w:eastAsiaTheme="minorEastAsia"/>
                <w:bCs/>
                <w:color w:val="auto"/>
                <w:sz w:val="24"/>
                <w:szCs w:val="21"/>
              </w:rPr>
              <w:t>14涂装”-天然气工业炉窑产污系数</w:t>
            </w:r>
            <w:r>
              <w:rPr>
                <w:rFonts w:hint="default"/>
                <w:iCs/>
                <w:color w:val="auto"/>
                <w:sz w:val="24"/>
              </w:rPr>
              <w:t>，天然气燃烧时，颗粒物产污系数为2.86kg/万</w:t>
            </w:r>
            <w:r>
              <w:rPr>
                <w:rFonts w:hint="default"/>
                <w:color w:val="auto"/>
                <w:sz w:val="24"/>
              </w:rPr>
              <w:t>m</w:t>
            </w:r>
            <w:r>
              <w:rPr>
                <w:rFonts w:hint="default"/>
                <w:color w:val="auto"/>
                <w:sz w:val="24"/>
                <w:vertAlign w:val="superscript"/>
              </w:rPr>
              <w:t>3</w:t>
            </w:r>
            <w:r>
              <w:rPr>
                <w:rFonts w:hint="default"/>
                <w:color w:val="auto"/>
                <w:sz w:val="24"/>
              </w:rPr>
              <w:t>燃料，二氧化硫产污系数为0.02S</w:t>
            </w:r>
            <w:r>
              <w:rPr>
                <w:rFonts w:hint="default"/>
                <w:iCs/>
                <w:color w:val="auto"/>
                <w:sz w:val="24"/>
              </w:rPr>
              <w:t>kg/万</w:t>
            </w:r>
            <w:r>
              <w:rPr>
                <w:rFonts w:hint="default"/>
                <w:color w:val="auto"/>
                <w:sz w:val="24"/>
              </w:rPr>
              <w:t>m</w:t>
            </w:r>
            <w:r>
              <w:rPr>
                <w:rFonts w:hint="default"/>
                <w:color w:val="auto"/>
                <w:sz w:val="24"/>
                <w:vertAlign w:val="superscript"/>
              </w:rPr>
              <w:t>3</w:t>
            </w:r>
            <w:r>
              <w:rPr>
                <w:rFonts w:hint="default"/>
                <w:color w:val="auto"/>
                <w:sz w:val="24"/>
              </w:rPr>
              <w:t>燃料（S取值200），氮氧化物产污系数为18.7</w:t>
            </w:r>
            <w:r>
              <w:rPr>
                <w:rFonts w:hint="default"/>
                <w:iCs/>
                <w:color w:val="auto"/>
                <w:sz w:val="24"/>
              </w:rPr>
              <w:t>kg/万</w:t>
            </w:r>
            <w:r>
              <w:rPr>
                <w:rFonts w:hint="default"/>
                <w:color w:val="auto"/>
                <w:sz w:val="24"/>
              </w:rPr>
              <w:t>m</w:t>
            </w:r>
            <w:r>
              <w:rPr>
                <w:rFonts w:hint="default"/>
                <w:color w:val="auto"/>
                <w:sz w:val="24"/>
                <w:vertAlign w:val="superscript"/>
              </w:rPr>
              <w:t>3</w:t>
            </w:r>
            <w:r>
              <w:rPr>
                <w:rFonts w:hint="default"/>
                <w:color w:val="auto"/>
                <w:sz w:val="24"/>
              </w:rPr>
              <w:t>燃料（低氮燃烧）。因此本项目天然气燃烧废气颗粒物产生量为0.143t/a、SO</w:t>
            </w:r>
            <w:r>
              <w:rPr>
                <w:rFonts w:hint="default"/>
                <w:color w:val="auto"/>
                <w:sz w:val="24"/>
                <w:vertAlign w:val="subscript"/>
              </w:rPr>
              <w:t>2</w:t>
            </w:r>
            <w:r>
              <w:rPr>
                <w:rFonts w:hint="default"/>
                <w:color w:val="auto"/>
                <w:sz w:val="24"/>
              </w:rPr>
              <w:t>产生量为0.1t/a，NOx产生量为0.935t/a，天然气燃烧</w:t>
            </w:r>
            <w:r>
              <w:rPr>
                <w:rFonts w:hint="default" w:eastAsiaTheme="minorEastAsia"/>
                <w:bCs/>
                <w:color w:val="auto"/>
                <w:kern w:val="0"/>
                <w:sz w:val="24"/>
              </w:rPr>
              <w:t>工序生产工况为每天工作</w:t>
            </w:r>
            <w:r>
              <w:rPr>
                <w:rFonts w:hint="eastAsia" w:eastAsiaTheme="minorEastAsia"/>
                <w:bCs/>
                <w:color w:val="auto"/>
                <w:kern w:val="0"/>
                <w:sz w:val="24"/>
                <w:lang w:val="en-US" w:eastAsia="zh-CN"/>
              </w:rPr>
              <w:t>16</w:t>
            </w:r>
            <w:r>
              <w:rPr>
                <w:rFonts w:hint="default" w:eastAsiaTheme="minorEastAsia"/>
                <w:bCs/>
                <w:color w:val="auto"/>
                <w:kern w:val="0"/>
                <w:sz w:val="24"/>
              </w:rPr>
              <w:t>小时，年工作3</w:t>
            </w:r>
            <w:r>
              <w:rPr>
                <w:rFonts w:hint="eastAsia" w:eastAsiaTheme="minorEastAsia"/>
                <w:bCs/>
                <w:color w:val="auto"/>
                <w:kern w:val="0"/>
                <w:sz w:val="24"/>
                <w:lang w:val="en-US" w:eastAsia="zh-CN"/>
              </w:rPr>
              <w:t>20</w:t>
            </w:r>
            <w:r>
              <w:rPr>
                <w:rFonts w:hint="default" w:eastAsiaTheme="minorEastAsia"/>
                <w:bCs/>
                <w:color w:val="auto"/>
                <w:kern w:val="0"/>
                <w:sz w:val="24"/>
              </w:rPr>
              <w:t>天。</w:t>
            </w:r>
          </w:p>
          <w:p w14:paraId="23D633A6">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ascii="Times New Roman" w:hAnsi="Times New Roman" w:cs="Times New Roman"/>
                <w:b/>
                <w:color w:val="000000" w:themeColor="text1"/>
                <w:kern w:val="0"/>
                <w:sz w:val="24"/>
                <w:lang w:val="en-US" w:eastAsia="zh-CN"/>
                <w14:textFill>
                  <w14:solidFill>
                    <w14:schemeClr w14:val="tx1"/>
                  </w14:solidFill>
                </w14:textFill>
              </w:rPr>
              <w:t>4</w:t>
            </w:r>
            <w:r>
              <w:rPr>
                <w:rFonts w:hint="default" w:ascii="Times New Roman" w:hAnsi="Times New Roman" w:cs="Times New Roman"/>
                <w:b/>
                <w:color w:val="000000" w:themeColor="text1"/>
                <w:kern w:val="0"/>
                <w:sz w:val="24"/>
                <w14:textFill>
                  <w14:solidFill>
                    <w14:schemeClr w14:val="tx1"/>
                  </w14:solidFill>
                </w14:textFill>
              </w:rPr>
              <w:t xml:space="preserve"> 项目</w:t>
            </w:r>
            <w:r>
              <w:rPr>
                <w:rFonts w:hint="eastAsia" w:ascii="Times New Roman" w:hAnsi="Times New Roman" w:cs="Times New Roman"/>
                <w:b/>
                <w:bCs/>
                <w:color w:val="000000" w:themeColor="text1"/>
                <w:sz w:val="24"/>
                <w:lang w:val="en-US" w:eastAsia="zh-CN"/>
                <w14:textFill>
                  <w14:solidFill>
                    <w14:schemeClr w14:val="tx1"/>
                  </w14:solidFill>
                </w14:textFill>
              </w:rPr>
              <w:t>喷</w:t>
            </w:r>
            <w:r>
              <w:rPr>
                <w:rFonts w:hint="eastAsia" w:ascii="Times New Roman" w:hAnsi="Times New Roman" w:eastAsia="宋体" w:cs="Times New Roman"/>
                <w:b/>
                <w:bCs/>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喷粉</w:t>
            </w:r>
            <w:r>
              <w:rPr>
                <w:rFonts w:hint="default" w:ascii="Times New Roman" w:hAnsi="Times New Roman" w:eastAsia="宋体" w:cs="Times New Roman"/>
                <w:b/>
                <w:bCs/>
                <w:color w:val="000000" w:themeColor="text1"/>
                <w:sz w:val="24"/>
                <w:lang w:val="en-US" w:eastAsia="zh-CN"/>
                <w14:textFill>
                  <w14:solidFill>
                    <w14:schemeClr w14:val="tx1"/>
                  </w14:solidFill>
                </w14:textFill>
              </w:rPr>
              <w:t>固化、</w:t>
            </w:r>
            <w:r>
              <w:rPr>
                <w:rFonts w:hint="eastAsia" w:ascii="Times New Roman" w:hAnsi="Times New Roman" w:eastAsia="宋体" w:cs="Times New Roman"/>
                <w:b/>
                <w:bCs/>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喷粉固化天然气燃烧</w:t>
            </w:r>
            <w:r>
              <w:rPr>
                <w:rFonts w:hint="default" w:ascii="Times New Roman" w:hAnsi="Times New Roman" w:eastAsia="宋体" w:cs="Times New Roman"/>
                <w:b/>
                <w:bCs/>
                <w:color w:val="000000" w:themeColor="text1"/>
                <w:sz w:val="24"/>
                <w:lang w:val="en-US" w:eastAsia="zh-CN"/>
                <w14:textFill>
                  <w14:solidFill>
                    <w14:schemeClr w14:val="tx1"/>
                  </w14:solidFill>
                </w14:textFill>
              </w:rPr>
              <w:t>废气</w:t>
            </w:r>
            <w:r>
              <w:rPr>
                <w:rFonts w:hint="default" w:ascii="Times New Roman" w:hAnsi="Times New Roman" w:cs="Times New Roman"/>
                <w:b/>
                <w:color w:val="000000" w:themeColor="text1"/>
                <w:kern w:val="0"/>
                <w:sz w:val="24"/>
                <w14:textFill>
                  <w14:solidFill>
                    <w14:schemeClr w14:val="tx1"/>
                  </w14:solidFill>
                </w14:textFill>
              </w:rPr>
              <w:t>工序废气产生情况一览表</w:t>
            </w:r>
          </w:p>
          <w:tbl>
            <w:tblPr>
              <w:tblStyle w:val="6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561"/>
              <w:gridCol w:w="586"/>
              <w:gridCol w:w="1438"/>
              <w:gridCol w:w="1056"/>
              <w:gridCol w:w="1829"/>
              <w:gridCol w:w="1025"/>
              <w:gridCol w:w="772"/>
            </w:tblGrid>
            <w:tr w14:paraId="68B29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98" w:hRule="atLeast"/>
                <w:jc w:val="center"/>
              </w:trPr>
              <w:tc>
                <w:tcPr>
                  <w:tcW w:w="944" w:type="pct"/>
                  <w:vAlign w:val="center"/>
                </w:tcPr>
                <w:p w14:paraId="5B95C8DD">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工段</w:t>
                  </w:r>
                </w:p>
              </w:tc>
              <w:tc>
                <w:tcPr>
                  <w:tcW w:w="354" w:type="pct"/>
                  <w:vAlign w:val="center"/>
                </w:tcPr>
                <w:p w14:paraId="1C479C61">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原料名称</w:t>
                  </w:r>
                </w:p>
              </w:tc>
              <w:tc>
                <w:tcPr>
                  <w:tcW w:w="869" w:type="pct"/>
                  <w:shd w:val="clear" w:color="auto" w:fill="auto"/>
                  <w:vAlign w:val="center"/>
                </w:tcPr>
                <w:p w14:paraId="024703C4">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用量</w:t>
                  </w:r>
                </w:p>
              </w:tc>
              <w:tc>
                <w:tcPr>
                  <w:tcW w:w="638" w:type="pct"/>
                  <w:shd w:val="clear" w:color="auto" w:fill="auto"/>
                  <w:vAlign w:val="center"/>
                </w:tcPr>
                <w:p w14:paraId="79683776">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产污</w:t>
                  </w:r>
                </w:p>
                <w:p w14:paraId="2E24B217">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因子</w:t>
                  </w:r>
                </w:p>
              </w:tc>
              <w:tc>
                <w:tcPr>
                  <w:tcW w:w="1106" w:type="pct"/>
                  <w:vAlign w:val="center"/>
                </w:tcPr>
                <w:p w14:paraId="50D0EF73">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产污系数</w:t>
                  </w:r>
                </w:p>
              </w:tc>
              <w:tc>
                <w:tcPr>
                  <w:tcW w:w="619" w:type="pct"/>
                  <w:vAlign w:val="center"/>
                </w:tcPr>
                <w:p w14:paraId="7A7EF979">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产生量t/a</w:t>
                  </w:r>
                </w:p>
              </w:tc>
              <w:tc>
                <w:tcPr>
                  <w:tcW w:w="466" w:type="pct"/>
                  <w:vAlign w:val="center"/>
                </w:tcPr>
                <w:p w14:paraId="44FAE867">
                  <w:pPr>
                    <w:keepNext w:val="0"/>
                    <w:keepLines w:val="0"/>
                    <w:suppressLineNumbers w:val="0"/>
                    <w:spacing w:before="0" w:beforeAutospacing="0" w:after="0" w:afterAutospacing="0"/>
                    <w:ind w:left="0" w:right="0"/>
                    <w:jc w:val="center"/>
                    <w:rPr>
                      <w:rFonts w:hint="default"/>
                      <w:color w:val="auto"/>
                      <w:szCs w:val="21"/>
                    </w:rPr>
                  </w:pPr>
                  <w:r>
                    <w:rPr>
                      <w:rFonts w:hint="default"/>
                      <w:b/>
                      <w:bCs/>
                      <w:color w:val="auto"/>
                      <w:szCs w:val="21"/>
                    </w:rPr>
                    <w:t>工况</w:t>
                  </w:r>
                </w:p>
              </w:tc>
            </w:tr>
            <w:tr w14:paraId="683CF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944" w:type="pct"/>
                  <w:shd w:val="clear" w:color="auto" w:fill="auto"/>
                  <w:vAlign w:val="center"/>
                </w:tcPr>
                <w:p w14:paraId="25EE5D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喷漆烘干</w:t>
                  </w:r>
                </w:p>
              </w:tc>
              <w:tc>
                <w:tcPr>
                  <w:tcW w:w="354" w:type="pct"/>
                  <w:shd w:val="clear" w:color="auto" w:fill="auto"/>
                  <w:vAlign w:val="center"/>
                </w:tcPr>
                <w:p w14:paraId="7E6A0004">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水性</w:t>
                  </w:r>
                </w:p>
                <w:p w14:paraId="4484DF52">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底漆</w:t>
                  </w:r>
                </w:p>
              </w:tc>
              <w:tc>
                <w:tcPr>
                  <w:tcW w:w="869" w:type="pct"/>
                  <w:shd w:val="clear" w:color="auto" w:fill="auto"/>
                  <w:vAlign w:val="center"/>
                </w:tcPr>
                <w:p w14:paraId="38782A0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5.368</w:t>
                  </w:r>
                  <w:r>
                    <w:rPr>
                      <w:rFonts w:hint="eastAsia" w:ascii="Times New Roman" w:hAnsi="Times New Roman" w:eastAsia="宋体" w:cs="Times New Roman"/>
                      <w:color w:val="000000" w:themeColor="text1"/>
                      <w:szCs w:val="21"/>
                      <w:lang w:val="en-US" w:eastAsia="zh-CN"/>
                      <w14:textFill>
                        <w14:solidFill>
                          <w14:schemeClr w14:val="tx1"/>
                        </w14:solidFill>
                      </w14:textFill>
                    </w:rPr>
                    <w:t>t/a</w:t>
                  </w:r>
                </w:p>
              </w:tc>
              <w:tc>
                <w:tcPr>
                  <w:tcW w:w="638" w:type="pct"/>
                  <w:shd w:val="clear" w:color="auto" w:fill="auto"/>
                  <w:vAlign w:val="center"/>
                </w:tcPr>
                <w:p w14:paraId="4C2A3F3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w:t>
                  </w:r>
                </w:p>
                <w:p w14:paraId="337540E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总烃</w:t>
                  </w:r>
                </w:p>
              </w:tc>
              <w:tc>
                <w:tcPr>
                  <w:tcW w:w="1106" w:type="pct"/>
                  <w:shd w:val="clear" w:color="auto" w:fill="auto"/>
                  <w:vAlign w:val="center"/>
                </w:tcPr>
                <w:p w14:paraId="45D0DE0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挥发份</w:t>
                  </w:r>
                  <w:r>
                    <w:rPr>
                      <w:rFonts w:hint="eastAsia" w:ascii="Times New Roman" w:hAnsi="Times New Roman" w:eastAsia="宋体" w:cs="Times New Roman"/>
                      <w:color w:val="000000" w:themeColor="text1"/>
                      <w:szCs w:val="21"/>
                      <w:lang w:val="en-US" w:eastAsia="zh-CN"/>
                      <w14:textFill>
                        <w14:solidFill>
                          <w14:schemeClr w14:val="tx1"/>
                        </w14:solidFill>
                      </w14:textFill>
                    </w:rPr>
                    <w:t>8</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eastAsia="宋体" w:cs="Times New Roman"/>
                      <w:color w:val="000000" w:themeColor="text1"/>
                      <w:szCs w:val="21"/>
                      <w:lang w:val="en-US" w:eastAsia="zh-CN"/>
                      <w14:textFill>
                        <w14:solidFill>
                          <w14:schemeClr w14:val="tx1"/>
                        </w14:solidFill>
                      </w14:textFill>
                    </w:rPr>
                    <w:t>喷漆</w:t>
                  </w:r>
                  <w:r>
                    <w:rPr>
                      <w:rFonts w:hint="eastAsia" w:ascii="Times New Roman" w:hAnsi="Times New Roman" w:eastAsia="宋体" w:cs="Times New Roman"/>
                      <w:color w:val="000000" w:themeColor="text1"/>
                      <w:szCs w:val="21"/>
                      <w:lang w:val="en-US" w:eastAsia="zh-CN"/>
                      <w14:textFill>
                        <w14:solidFill>
                          <w14:schemeClr w14:val="tx1"/>
                        </w14:solidFill>
                      </w14:textFill>
                    </w:rPr>
                    <w:t>烘干</w:t>
                  </w:r>
                  <w:r>
                    <w:rPr>
                      <w:rFonts w:hint="default" w:ascii="Times New Roman" w:hAnsi="Times New Roman" w:eastAsia="宋体" w:cs="Times New Roman"/>
                      <w:color w:val="000000" w:themeColor="text1"/>
                      <w:szCs w:val="21"/>
                      <w:lang w:val="en-US" w:eastAsia="zh-CN"/>
                      <w14:textFill>
                        <w14:solidFill>
                          <w14:schemeClr w14:val="tx1"/>
                        </w14:solidFill>
                      </w14:textFill>
                    </w:rPr>
                    <w:t>工段占</w:t>
                  </w:r>
                  <w:r>
                    <w:rPr>
                      <w:rFonts w:hint="eastAsia" w:ascii="Times New Roman" w:hAnsi="Times New Roman" w:eastAsia="宋体" w:cs="Times New Roman"/>
                      <w:color w:val="000000" w:themeColor="text1"/>
                      <w:szCs w:val="21"/>
                      <w:lang w:val="en-US" w:eastAsia="zh-CN"/>
                      <w14:textFill>
                        <w14:solidFill>
                          <w14:schemeClr w14:val="tx1"/>
                        </w14:solidFill>
                      </w14:textFill>
                    </w:rPr>
                    <w:t>40</w:t>
                  </w:r>
                  <w:r>
                    <w:rPr>
                      <w:rFonts w:hint="default" w:ascii="Times New Roman" w:hAnsi="Times New Roman" w:eastAsia="宋体" w:cs="Times New Roman"/>
                      <w:color w:val="000000" w:themeColor="text1"/>
                      <w:szCs w:val="21"/>
                      <w:lang w:val="en-US" w:eastAsia="zh-CN"/>
                      <w14:textFill>
                        <w14:solidFill>
                          <w14:schemeClr w14:val="tx1"/>
                        </w14:solidFill>
                      </w14:textFill>
                    </w:rPr>
                    <w:t>%</w:t>
                  </w:r>
                </w:p>
              </w:tc>
              <w:tc>
                <w:tcPr>
                  <w:tcW w:w="619" w:type="pct"/>
                  <w:shd w:val="clear" w:color="auto" w:fill="auto"/>
                  <w:vAlign w:val="center"/>
                </w:tcPr>
                <w:p w14:paraId="78E23A7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w:t>
                  </w:r>
                  <w:r>
                    <w:rPr>
                      <w:rFonts w:hint="eastAsia" w:ascii="Times New Roman" w:hAnsi="Times New Roman" w:eastAsia="宋体" w:cs="Times New Roman"/>
                      <w:color w:val="000000" w:themeColor="text1"/>
                      <w:szCs w:val="21"/>
                      <w:lang w:val="en-US" w:eastAsia="zh-CN"/>
                      <w14:textFill>
                        <w14:solidFill>
                          <w14:schemeClr w14:val="tx1"/>
                        </w14:solidFill>
                      </w14:textFill>
                    </w:rPr>
                    <w:t>1718</w:t>
                  </w:r>
                </w:p>
              </w:tc>
              <w:tc>
                <w:tcPr>
                  <w:tcW w:w="466" w:type="pct"/>
                  <w:vMerge w:val="restart"/>
                  <w:vAlign w:val="center"/>
                </w:tcPr>
                <w:p w14:paraId="55D50566">
                  <w:pPr>
                    <w:keepNext w:val="0"/>
                    <w:keepLines w:val="0"/>
                    <w:suppressLineNumbers w:val="0"/>
                    <w:spacing w:before="0" w:beforeAutospacing="0" w:after="0" w:afterAutospacing="0"/>
                    <w:ind w:left="0" w:right="0"/>
                    <w:jc w:val="center"/>
                    <w:rPr>
                      <w:rFonts w:hint="default"/>
                      <w:color w:val="auto"/>
                      <w:szCs w:val="21"/>
                    </w:rPr>
                  </w:pPr>
                  <w:r>
                    <w:rPr>
                      <w:rFonts w:hint="eastAsia"/>
                      <w:color w:val="auto"/>
                      <w:kern w:val="0"/>
                      <w:szCs w:val="21"/>
                      <w:lang w:val="en-US" w:eastAsia="zh-CN" w:bidi="ar"/>
                    </w:rPr>
                    <w:t>5120</w:t>
                  </w:r>
                  <w:r>
                    <w:rPr>
                      <w:rFonts w:hint="default"/>
                      <w:color w:val="auto"/>
                      <w:szCs w:val="21"/>
                    </w:rPr>
                    <w:t>h/a</w:t>
                  </w:r>
                </w:p>
              </w:tc>
            </w:tr>
            <w:tr w14:paraId="102D3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944" w:type="pct"/>
                  <w:shd w:val="clear" w:color="auto" w:fill="auto"/>
                  <w:vAlign w:val="center"/>
                </w:tcPr>
                <w:p w14:paraId="06933C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p>
              </w:tc>
              <w:tc>
                <w:tcPr>
                  <w:tcW w:w="354" w:type="pct"/>
                  <w:shd w:val="clear" w:color="auto" w:fill="auto"/>
                  <w:vAlign w:val="center"/>
                </w:tcPr>
                <w:p w14:paraId="597C8B31">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塑粉</w:t>
                  </w:r>
                </w:p>
              </w:tc>
              <w:tc>
                <w:tcPr>
                  <w:tcW w:w="869" w:type="pct"/>
                  <w:shd w:val="clear" w:color="auto" w:fill="auto"/>
                  <w:vAlign w:val="center"/>
                </w:tcPr>
                <w:p w14:paraId="19F4CC5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100.94t/a</w:t>
                  </w:r>
                </w:p>
              </w:tc>
              <w:tc>
                <w:tcPr>
                  <w:tcW w:w="638" w:type="pct"/>
                  <w:shd w:val="clear" w:color="auto" w:fill="auto"/>
                  <w:vAlign w:val="center"/>
                </w:tcPr>
                <w:p w14:paraId="5F50E56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非甲烷</w:t>
                  </w:r>
                </w:p>
                <w:p w14:paraId="3D7D5D2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总烃</w:t>
                  </w:r>
                </w:p>
              </w:tc>
              <w:tc>
                <w:tcPr>
                  <w:tcW w:w="1106" w:type="pct"/>
                  <w:shd w:val="clear" w:color="auto" w:fill="auto"/>
                  <w:vAlign w:val="center"/>
                </w:tcPr>
                <w:p w14:paraId="0D6CB9D5">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1.2</w:t>
                  </w:r>
                  <w:r>
                    <w:rPr>
                      <w:rFonts w:hint="default" w:ascii="Times New Roman" w:hAnsi="Times New Roman" w:cs="Times New Roman"/>
                      <w:color w:val="000000" w:themeColor="text1"/>
                      <w:szCs w:val="21"/>
                      <w:lang w:val="en-GB"/>
                      <w14:textFill>
                        <w14:solidFill>
                          <w14:schemeClr w14:val="tx1"/>
                        </w14:solidFill>
                      </w14:textFill>
                    </w:rPr>
                    <w:t>kg/t-原料</w:t>
                  </w:r>
                </w:p>
              </w:tc>
              <w:tc>
                <w:tcPr>
                  <w:tcW w:w="619" w:type="pct"/>
                  <w:shd w:val="clear" w:color="auto" w:fill="auto"/>
                  <w:vAlign w:val="center"/>
                </w:tcPr>
                <w:p w14:paraId="1F21C71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0.121</w:t>
                  </w:r>
                </w:p>
              </w:tc>
              <w:tc>
                <w:tcPr>
                  <w:tcW w:w="466" w:type="pct"/>
                  <w:vMerge w:val="continue"/>
                  <w:vAlign w:val="center"/>
                </w:tcPr>
                <w:p w14:paraId="5D6F4169">
                  <w:pPr>
                    <w:keepNext w:val="0"/>
                    <w:keepLines w:val="0"/>
                    <w:suppressLineNumbers w:val="0"/>
                    <w:spacing w:before="0" w:beforeAutospacing="0" w:after="0" w:afterAutospacing="0"/>
                    <w:ind w:left="0" w:right="0"/>
                    <w:jc w:val="center"/>
                    <w:rPr>
                      <w:rFonts w:hint="default"/>
                      <w:color w:val="auto"/>
                      <w:kern w:val="0"/>
                      <w:szCs w:val="21"/>
                      <w:lang w:bidi="ar"/>
                    </w:rPr>
                  </w:pPr>
                </w:p>
              </w:tc>
            </w:tr>
            <w:tr w14:paraId="08671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77" w:hRule="atLeast"/>
                <w:jc w:val="center"/>
              </w:trPr>
              <w:tc>
                <w:tcPr>
                  <w:tcW w:w="944" w:type="pct"/>
                  <w:vMerge w:val="restart"/>
                  <w:shd w:val="clear" w:color="auto" w:fill="auto"/>
                  <w:vAlign w:val="center"/>
                </w:tcPr>
                <w:p w14:paraId="60355C51">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p>
              </w:tc>
              <w:tc>
                <w:tcPr>
                  <w:tcW w:w="354" w:type="pct"/>
                  <w:vMerge w:val="restart"/>
                  <w:shd w:val="clear" w:color="auto" w:fill="auto"/>
                  <w:vAlign w:val="center"/>
                </w:tcPr>
                <w:p w14:paraId="7A23801D">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天然气</w:t>
                  </w:r>
                </w:p>
              </w:tc>
              <w:tc>
                <w:tcPr>
                  <w:tcW w:w="869" w:type="pct"/>
                  <w:vMerge w:val="restart"/>
                  <w:shd w:val="clear" w:color="auto" w:fill="auto"/>
                  <w:vAlign w:val="center"/>
                </w:tcPr>
                <w:p w14:paraId="3EF6DFEE">
                  <w:pPr>
                    <w:keepNext w:val="0"/>
                    <w:keepLines w:val="0"/>
                    <w:suppressLineNumbers w:val="0"/>
                    <w:spacing w:before="0" w:beforeAutospacing="0" w:after="0" w:afterAutospacing="0"/>
                    <w:ind w:left="0" w:right="0"/>
                    <w:jc w:val="center"/>
                    <w:rPr>
                      <w:rFonts w:hint="default"/>
                      <w:color w:val="auto"/>
                      <w:szCs w:val="21"/>
                    </w:rPr>
                  </w:pPr>
                  <w:r>
                    <w:rPr>
                      <w:rFonts w:hint="eastAsia"/>
                      <w:color w:val="auto"/>
                      <w:kern w:val="0"/>
                      <w:szCs w:val="21"/>
                      <w:lang w:val="en-US" w:eastAsia="zh-CN"/>
                    </w:rPr>
                    <w:t>12</w:t>
                  </w:r>
                  <w:r>
                    <w:rPr>
                      <w:rFonts w:hint="default"/>
                      <w:color w:val="auto"/>
                      <w:kern w:val="0"/>
                      <w:szCs w:val="21"/>
                    </w:rPr>
                    <w:t>万m</w:t>
                  </w:r>
                  <w:r>
                    <w:rPr>
                      <w:rFonts w:hint="default"/>
                      <w:color w:val="auto"/>
                      <w:kern w:val="0"/>
                      <w:szCs w:val="21"/>
                      <w:vertAlign w:val="superscript"/>
                    </w:rPr>
                    <w:t>3</w:t>
                  </w:r>
                  <w:r>
                    <w:rPr>
                      <w:rFonts w:hint="default"/>
                      <w:color w:val="auto"/>
                      <w:kern w:val="0"/>
                      <w:szCs w:val="21"/>
                    </w:rPr>
                    <w:t>/a</w:t>
                  </w:r>
                </w:p>
              </w:tc>
              <w:tc>
                <w:tcPr>
                  <w:tcW w:w="638" w:type="pct"/>
                  <w:shd w:val="clear" w:color="auto" w:fill="auto"/>
                  <w:vAlign w:val="center"/>
                </w:tcPr>
                <w:p w14:paraId="1FF98FFE">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颗粒物</w:t>
                  </w:r>
                </w:p>
              </w:tc>
              <w:tc>
                <w:tcPr>
                  <w:tcW w:w="1106" w:type="pct"/>
                  <w:shd w:val="clear" w:color="auto" w:fill="auto"/>
                  <w:vAlign w:val="center"/>
                </w:tcPr>
                <w:p w14:paraId="4415D7A5">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2.86kg/万m</w:t>
                  </w:r>
                  <w:r>
                    <w:rPr>
                      <w:rFonts w:hint="default"/>
                      <w:color w:val="auto"/>
                      <w:szCs w:val="21"/>
                      <w:vertAlign w:val="superscript"/>
                    </w:rPr>
                    <w:t>3</w:t>
                  </w:r>
                  <w:r>
                    <w:rPr>
                      <w:rFonts w:hint="default"/>
                      <w:color w:val="auto"/>
                      <w:szCs w:val="21"/>
                    </w:rPr>
                    <w:t>-燃料</w:t>
                  </w:r>
                </w:p>
              </w:tc>
              <w:tc>
                <w:tcPr>
                  <w:tcW w:w="619" w:type="pct"/>
                  <w:shd w:val="clear" w:color="auto" w:fill="auto"/>
                  <w:vAlign w:val="center"/>
                </w:tcPr>
                <w:p w14:paraId="14FE9CA7">
                  <w:pPr>
                    <w:keepNext w:val="0"/>
                    <w:keepLines w:val="0"/>
                    <w:widowControl/>
                    <w:suppressLineNumbers w:val="0"/>
                    <w:spacing w:before="0" w:beforeAutospacing="0" w:after="0" w:afterAutospacing="0"/>
                    <w:ind w:left="0" w:right="0"/>
                    <w:jc w:val="center"/>
                    <w:textAlignment w:val="center"/>
                    <w:rPr>
                      <w:rFonts w:hint="default" w:eastAsia="宋体"/>
                      <w:color w:val="auto"/>
                      <w:szCs w:val="21"/>
                      <w:lang w:val="en-US" w:eastAsia="zh-CN"/>
                    </w:rPr>
                  </w:pPr>
                  <w:r>
                    <w:rPr>
                      <w:rFonts w:hint="eastAsia"/>
                      <w:color w:val="auto"/>
                      <w:szCs w:val="21"/>
                      <w:lang w:val="en-US" w:eastAsia="zh-CN"/>
                    </w:rPr>
                    <w:t>0.034</w:t>
                  </w:r>
                </w:p>
              </w:tc>
              <w:tc>
                <w:tcPr>
                  <w:tcW w:w="466" w:type="pct"/>
                  <w:vMerge w:val="continue"/>
                  <w:vAlign w:val="center"/>
                </w:tcPr>
                <w:p w14:paraId="697D565D">
                  <w:pPr>
                    <w:keepNext w:val="0"/>
                    <w:keepLines w:val="0"/>
                    <w:suppressLineNumbers w:val="0"/>
                    <w:spacing w:before="0" w:beforeAutospacing="0" w:after="0" w:afterAutospacing="0"/>
                    <w:ind w:left="0" w:right="0"/>
                    <w:jc w:val="center"/>
                    <w:rPr>
                      <w:rFonts w:hint="default"/>
                      <w:color w:val="auto"/>
                      <w:szCs w:val="21"/>
                    </w:rPr>
                  </w:pPr>
                </w:p>
              </w:tc>
            </w:tr>
            <w:tr w14:paraId="40399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944" w:type="pct"/>
                  <w:vMerge w:val="continue"/>
                  <w:shd w:val="clear" w:color="auto" w:fill="auto"/>
                  <w:vAlign w:val="center"/>
                </w:tcPr>
                <w:p w14:paraId="7587E0AE">
                  <w:pPr>
                    <w:keepNext w:val="0"/>
                    <w:keepLines w:val="0"/>
                    <w:suppressLineNumbers w:val="0"/>
                    <w:spacing w:before="0" w:beforeAutospacing="0" w:after="0" w:afterAutospacing="0"/>
                    <w:ind w:left="0" w:right="0"/>
                    <w:jc w:val="center"/>
                    <w:rPr>
                      <w:rFonts w:hint="default"/>
                      <w:color w:val="auto"/>
                      <w:szCs w:val="21"/>
                    </w:rPr>
                  </w:pPr>
                </w:p>
              </w:tc>
              <w:tc>
                <w:tcPr>
                  <w:tcW w:w="354" w:type="pct"/>
                  <w:vMerge w:val="continue"/>
                  <w:shd w:val="clear" w:color="auto" w:fill="auto"/>
                  <w:vAlign w:val="center"/>
                </w:tcPr>
                <w:p w14:paraId="78C364CD">
                  <w:pPr>
                    <w:keepNext w:val="0"/>
                    <w:keepLines w:val="0"/>
                    <w:suppressLineNumbers w:val="0"/>
                    <w:spacing w:before="0" w:beforeAutospacing="0" w:after="0" w:afterAutospacing="0"/>
                    <w:ind w:left="0" w:right="0"/>
                    <w:jc w:val="center"/>
                    <w:rPr>
                      <w:rFonts w:hint="default"/>
                      <w:color w:val="auto"/>
                      <w:szCs w:val="21"/>
                    </w:rPr>
                  </w:pPr>
                </w:p>
              </w:tc>
              <w:tc>
                <w:tcPr>
                  <w:tcW w:w="869" w:type="pct"/>
                  <w:vMerge w:val="continue"/>
                  <w:shd w:val="clear" w:color="auto" w:fill="auto"/>
                  <w:vAlign w:val="center"/>
                </w:tcPr>
                <w:p w14:paraId="7AFEF465">
                  <w:pPr>
                    <w:keepNext w:val="0"/>
                    <w:keepLines w:val="0"/>
                    <w:suppressLineNumbers w:val="0"/>
                    <w:spacing w:before="0" w:beforeAutospacing="0" w:after="0" w:afterAutospacing="0"/>
                    <w:ind w:left="0" w:right="0"/>
                    <w:jc w:val="center"/>
                    <w:rPr>
                      <w:rFonts w:hint="default"/>
                      <w:color w:val="auto"/>
                      <w:szCs w:val="21"/>
                    </w:rPr>
                  </w:pPr>
                </w:p>
              </w:tc>
              <w:tc>
                <w:tcPr>
                  <w:tcW w:w="638" w:type="pct"/>
                  <w:shd w:val="clear" w:color="auto" w:fill="auto"/>
                  <w:vAlign w:val="center"/>
                </w:tcPr>
                <w:p w14:paraId="21F2C48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SO</w:t>
                  </w:r>
                  <w:r>
                    <w:rPr>
                      <w:rFonts w:hint="default"/>
                      <w:color w:val="auto"/>
                      <w:szCs w:val="21"/>
                      <w:vertAlign w:val="subscript"/>
                    </w:rPr>
                    <w:t>2</w:t>
                  </w:r>
                </w:p>
              </w:tc>
              <w:tc>
                <w:tcPr>
                  <w:tcW w:w="1106" w:type="pct"/>
                  <w:shd w:val="clear" w:color="auto" w:fill="auto"/>
                  <w:vAlign w:val="center"/>
                </w:tcPr>
                <w:p w14:paraId="79691513">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0.02S</w:t>
                  </w:r>
                  <w:r>
                    <w:rPr>
                      <w:rFonts w:hint="default"/>
                      <w:iCs/>
                      <w:color w:val="auto"/>
                      <w:szCs w:val="21"/>
                    </w:rPr>
                    <w:t>kg/万</w:t>
                  </w:r>
                  <w:r>
                    <w:rPr>
                      <w:rFonts w:hint="default"/>
                      <w:color w:val="auto"/>
                      <w:szCs w:val="21"/>
                    </w:rPr>
                    <w:t>m</w:t>
                  </w:r>
                  <w:r>
                    <w:rPr>
                      <w:rFonts w:hint="default"/>
                      <w:color w:val="auto"/>
                      <w:szCs w:val="21"/>
                      <w:vertAlign w:val="superscript"/>
                    </w:rPr>
                    <w:t>3</w:t>
                  </w:r>
                  <w:r>
                    <w:rPr>
                      <w:rFonts w:hint="default"/>
                      <w:color w:val="auto"/>
                      <w:szCs w:val="21"/>
                    </w:rPr>
                    <w:t>燃料</w:t>
                  </w:r>
                </w:p>
              </w:tc>
              <w:tc>
                <w:tcPr>
                  <w:tcW w:w="619" w:type="pct"/>
                  <w:shd w:val="clear" w:color="auto" w:fill="auto"/>
                  <w:vAlign w:val="center"/>
                </w:tcPr>
                <w:p w14:paraId="4F5A6B0B">
                  <w:pPr>
                    <w:keepNext w:val="0"/>
                    <w:keepLines w:val="0"/>
                    <w:widowControl/>
                    <w:suppressLineNumbers w:val="0"/>
                    <w:spacing w:before="0" w:beforeAutospacing="0" w:after="0" w:afterAutospacing="0"/>
                    <w:ind w:left="0" w:right="0"/>
                    <w:jc w:val="center"/>
                    <w:textAlignment w:val="center"/>
                    <w:rPr>
                      <w:rFonts w:hint="default" w:eastAsia="宋体"/>
                      <w:color w:val="auto"/>
                      <w:szCs w:val="21"/>
                      <w:lang w:val="en-US" w:eastAsia="zh-CN"/>
                    </w:rPr>
                  </w:pPr>
                  <w:r>
                    <w:rPr>
                      <w:rFonts w:hint="eastAsia"/>
                      <w:color w:val="auto"/>
                      <w:szCs w:val="21"/>
                      <w:lang w:val="en-US" w:eastAsia="zh-CN"/>
                    </w:rPr>
                    <w:t>0.024</w:t>
                  </w:r>
                </w:p>
              </w:tc>
              <w:tc>
                <w:tcPr>
                  <w:tcW w:w="466" w:type="pct"/>
                  <w:vMerge w:val="continue"/>
                  <w:vAlign w:val="center"/>
                </w:tcPr>
                <w:p w14:paraId="7BE5F6CA">
                  <w:pPr>
                    <w:keepNext w:val="0"/>
                    <w:keepLines w:val="0"/>
                    <w:suppressLineNumbers w:val="0"/>
                    <w:spacing w:before="0" w:beforeAutospacing="0" w:after="0" w:afterAutospacing="0"/>
                    <w:ind w:left="0" w:right="0"/>
                    <w:jc w:val="center"/>
                    <w:rPr>
                      <w:rFonts w:hint="default"/>
                      <w:color w:val="auto"/>
                      <w:szCs w:val="21"/>
                    </w:rPr>
                  </w:pPr>
                </w:p>
              </w:tc>
            </w:tr>
            <w:tr w14:paraId="047CA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944" w:type="pct"/>
                  <w:vMerge w:val="continue"/>
                  <w:shd w:val="clear" w:color="auto" w:fill="auto"/>
                  <w:vAlign w:val="center"/>
                </w:tcPr>
                <w:p w14:paraId="7B82630D">
                  <w:pPr>
                    <w:keepNext w:val="0"/>
                    <w:keepLines w:val="0"/>
                    <w:suppressLineNumbers w:val="0"/>
                    <w:spacing w:before="0" w:beforeAutospacing="0" w:after="0" w:afterAutospacing="0"/>
                    <w:ind w:left="0" w:right="0"/>
                    <w:jc w:val="center"/>
                    <w:rPr>
                      <w:rFonts w:hint="default"/>
                      <w:color w:val="auto"/>
                      <w:szCs w:val="21"/>
                    </w:rPr>
                  </w:pPr>
                </w:p>
              </w:tc>
              <w:tc>
                <w:tcPr>
                  <w:tcW w:w="354" w:type="pct"/>
                  <w:vMerge w:val="continue"/>
                  <w:shd w:val="clear" w:color="auto" w:fill="auto"/>
                  <w:vAlign w:val="center"/>
                </w:tcPr>
                <w:p w14:paraId="541EDA6A">
                  <w:pPr>
                    <w:keepNext w:val="0"/>
                    <w:keepLines w:val="0"/>
                    <w:suppressLineNumbers w:val="0"/>
                    <w:spacing w:before="0" w:beforeAutospacing="0" w:after="0" w:afterAutospacing="0"/>
                    <w:ind w:left="0" w:right="0"/>
                    <w:jc w:val="center"/>
                    <w:rPr>
                      <w:rFonts w:hint="default"/>
                      <w:color w:val="auto"/>
                      <w:szCs w:val="21"/>
                    </w:rPr>
                  </w:pPr>
                </w:p>
              </w:tc>
              <w:tc>
                <w:tcPr>
                  <w:tcW w:w="869" w:type="pct"/>
                  <w:vMerge w:val="continue"/>
                  <w:shd w:val="clear" w:color="auto" w:fill="auto"/>
                  <w:vAlign w:val="center"/>
                </w:tcPr>
                <w:p w14:paraId="3EADF58A">
                  <w:pPr>
                    <w:keepNext w:val="0"/>
                    <w:keepLines w:val="0"/>
                    <w:suppressLineNumbers w:val="0"/>
                    <w:spacing w:before="0" w:beforeAutospacing="0" w:after="0" w:afterAutospacing="0"/>
                    <w:ind w:left="0" w:right="0"/>
                    <w:jc w:val="center"/>
                    <w:rPr>
                      <w:rFonts w:hint="default"/>
                      <w:color w:val="auto"/>
                      <w:szCs w:val="21"/>
                    </w:rPr>
                  </w:pPr>
                </w:p>
              </w:tc>
              <w:tc>
                <w:tcPr>
                  <w:tcW w:w="638" w:type="pct"/>
                  <w:shd w:val="clear" w:color="auto" w:fill="auto"/>
                  <w:vAlign w:val="center"/>
                </w:tcPr>
                <w:p w14:paraId="32B19197">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NOx</w:t>
                  </w:r>
                </w:p>
              </w:tc>
              <w:tc>
                <w:tcPr>
                  <w:tcW w:w="1106" w:type="pct"/>
                  <w:shd w:val="clear" w:color="auto" w:fill="auto"/>
                  <w:vAlign w:val="center"/>
                </w:tcPr>
                <w:p w14:paraId="612B1B41">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18.17</w:t>
                  </w:r>
                  <w:r>
                    <w:rPr>
                      <w:rFonts w:hint="default"/>
                      <w:iCs/>
                      <w:color w:val="auto"/>
                      <w:szCs w:val="21"/>
                    </w:rPr>
                    <w:t>kg/万</w:t>
                  </w:r>
                  <w:r>
                    <w:rPr>
                      <w:rFonts w:hint="default"/>
                      <w:color w:val="auto"/>
                      <w:szCs w:val="21"/>
                    </w:rPr>
                    <w:t>m</w:t>
                  </w:r>
                  <w:r>
                    <w:rPr>
                      <w:rFonts w:hint="default"/>
                      <w:color w:val="auto"/>
                      <w:szCs w:val="21"/>
                      <w:vertAlign w:val="superscript"/>
                    </w:rPr>
                    <w:t>3</w:t>
                  </w:r>
                  <w:r>
                    <w:rPr>
                      <w:rFonts w:hint="default"/>
                      <w:color w:val="auto"/>
                      <w:szCs w:val="21"/>
                    </w:rPr>
                    <w:t>燃料</w:t>
                  </w:r>
                </w:p>
              </w:tc>
              <w:tc>
                <w:tcPr>
                  <w:tcW w:w="619" w:type="pct"/>
                  <w:shd w:val="clear" w:color="auto" w:fill="auto"/>
                  <w:vAlign w:val="center"/>
                </w:tcPr>
                <w:p w14:paraId="4DC17ECE">
                  <w:pPr>
                    <w:keepNext w:val="0"/>
                    <w:keepLines w:val="0"/>
                    <w:widowControl/>
                    <w:suppressLineNumbers w:val="0"/>
                    <w:spacing w:before="0" w:beforeAutospacing="0" w:after="0" w:afterAutospacing="0"/>
                    <w:ind w:left="0" w:right="0"/>
                    <w:jc w:val="center"/>
                    <w:textAlignment w:val="center"/>
                    <w:rPr>
                      <w:rFonts w:hint="default" w:eastAsia="宋体"/>
                      <w:color w:val="auto"/>
                      <w:szCs w:val="21"/>
                      <w:lang w:val="en-US" w:eastAsia="zh-CN"/>
                    </w:rPr>
                  </w:pPr>
                  <w:r>
                    <w:rPr>
                      <w:rFonts w:hint="eastAsia"/>
                      <w:color w:val="auto"/>
                      <w:szCs w:val="21"/>
                      <w:lang w:val="en-US" w:eastAsia="zh-CN"/>
                    </w:rPr>
                    <w:t>0.224</w:t>
                  </w:r>
                </w:p>
              </w:tc>
              <w:tc>
                <w:tcPr>
                  <w:tcW w:w="466" w:type="pct"/>
                  <w:vMerge w:val="continue"/>
                  <w:vAlign w:val="center"/>
                </w:tcPr>
                <w:p w14:paraId="5F42106A">
                  <w:pPr>
                    <w:keepNext w:val="0"/>
                    <w:keepLines w:val="0"/>
                    <w:suppressLineNumbers w:val="0"/>
                    <w:spacing w:before="0" w:beforeAutospacing="0" w:after="0" w:afterAutospacing="0"/>
                    <w:ind w:left="0" w:right="0"/>
                    <w:jc w:val="center"/>
                    <w:rPr>
                      <w:rFonts w:hint="default"/>
                      <w:color w:val="auto"/>
                      <w:szCs w:val="21"/>
                    </w:rPr>
                  </w:pPr>
                </w:p>
              </w:tc>
            </w:tr>
          </w:tbl>
          <w:p w14:paraId="32674C98">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风量核算：</w:t>
            </w:r>
          </w:p>
          <w:p w14:paraId="21D02148">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项目设有1</w:t>
            </w:r>
            <w:r>
              <w:rPr>
                <w:rFonts w:hint="default" w:ascii="Times New Roman" w:hAnsi="Times New Roman" w:eastAsia="宋体" w:cs="Times New Roman"/>
                <w:color w:val="000000" w:themeColor="text1"/>
                <w:kern w:val="0"/>
                <w:sz w:val="24"/>
                <w14:textFill>
                  <w14:solidFill>
                    <w14:schemeClr w14:val="tx1"/>
                  </w14:solidFill>
                </w14:textFill>
              </w:rPr>
              <w:t>个</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前处理烘干通道</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1个喷漆烘干通道</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2个喷粉粉末固化通道</w:t>
            </w:r>
            <w:r>
              <w:rPr>
                <w:rFonts w:hint="default" w:ascii="Times New Roman" w:hAnsi="Times New Roman" w:eastAsia="宋体"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尺寸</w:t>
            </w:r>
            <w:r>
              <w:rPr>
                <w:rFonts w:hint="eastAsia" w:ascii="Times New Roman" w:hAnsi="Times New Roman" w:cs="Times New Roman"/>
                <w:color w:val="000000" w:themeColor="text1"/>
                <w:kern w:val="0"/>
                <w:sz w:val="24"/>
                <w:lang w:val="en-US" w:eastAsia="zh-CN"/>
                <w14:textFill>
                  <w14:solidFill>
                    <w14:schemeClr w14:val="tx1"/>
                  </w14:solidFill>
                </w14:textFill>
              </w:rPr>
              <w:t>分</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别</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为L</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10m×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H</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2.5m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、L</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8m×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H</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2.5m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、L</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8m×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H</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2.5m</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拟在这</w:t>
            </w:r>
            <w:r>
              <w:rPr>
                <w:rFonts w:hint="eastAsia" w:ascii="Times New Roman" w:hAnsi="Times New Roman" w:cs="Times New Roman"/>
                <w:color w:val="000000" w:themeColor="text1"/>
                <w:kern w:val="0"/>
                <w:sz w:val="24"/>
                <w:lang w:val="en-US" w:eastAsia="zh-CN"/>
                <w14:textFill>
                  <w14:solidFill>
                    <w14:schemeClr w14:val="tx1"/>
                  </w14:solidFill>
                </w14:textFill>
              </w:rPr>
              <w:t>4</w:t>
            </w:r>
            <w:r>
              <w:rPr>
                <w:rFonts w:hint="default" w:ascii="Times New Roman" w:hAnsi="Times New Roman" w:cs="Times New Roman"/>
                <w:color w:val="000000" w:themeColor="text1"/>
                <w:kern w:val="0"/>
                <w:sz w:val="24"/>
                <w14:textFill>
                  <w14:solidFill>
                    <w14:schemeClr w14:val="tx1"/>
                  </w14:solidFill>
                </w14:textFill>
              </w:rPr>
              <w:t>个</w:t>
            </w:r>
            <w:r>
              <w:rPr>
                <w:rFonts w:hint="eastAsia" w:ascii="Times New Roman" w:hAnsi="Times New Roman" w:cs="Times New Roman"/>
                <w:color w:val="000000" w:themeColor="text1"/>
                <w:kern w:val="0"/>
                <w:sz w:val="24"/>
                <w:lang w:val="en-US" w:eastAsia="zh-CN"/>
                <w14:textFill>
                  <w14:solidFill>
                    <w14:schemeClr w14:val="tx1"/>
                  </w14:solidFill>
                </w14:textFill>
              </w:rPr>
              <w:t>烘干通道</w:t>
            </w:r>
            <w:r>
              <w:rPr>
                <w:rFonts w:hint="default" w:ascii="Times New Roman" w:hAnsi="Times New Roman" w:cs="Times New Roman"/>
                <w:color w:val="000000" w:themeColor="text1"/>
                <w:kern w:val="0"/>
                <w:sz w:val="24"/>
                <w14:textFill>
                  <w14:solidFill>
                    <w14:schemeClr w14:val="tx1"/>
                  </w14:solidFill>
                </w14:textFill>
              </w:rPr>
              <w:t>进出口上方设置集气罩进行收集，</w:t>
            </w:r>
            <w:r>
              <w:rPr>
                <w:rFonts w:hint="default" w:ascii="Times New Roman" w:hAnsi="Times New Roman" w:cs="Times New Roman"/>
                <w:color w:val="000000" w:themeColor="text1"/>
                <w:sz w:val="24"/>
                <w14:textFill>
                  <w14:solidFill>
                    <w14:schemeClr w14:val="tx1"/>
                  </w14:solidFill>
                </w14:textFill>
              </w:rPr>
              <w:t>集气罩平均长</w:t>
            </w:r>
            <w:r>
              <w:rPr>
                <w:rFonts w:hint="eastAsia" w:ascii="Times New Roman" w:hAnsi="Times New Roman" w:cs="Times New Roman"/>
                <w:color w:val="000000" w:themeColor="text1"/>
                <w:sz w:val="24"/>
                <w:lang w:val="en-US" w:eastAsia="zh-CN"/>
                <w14:textFill>
                  <w14:solidFill>
                    <w14:schemeClr w14:val="tx1"/>
                  </w14:solidFill>
                </w14:textFill>
              </w:rPr>
              <w:t>2.5</w:t>
            </w:r>
            <w:r>
              <w:rPr>
                <w:rFonts w:hint="default" w:ascii="Times New Roman" w:hAnsi="Times New Roman" w:cs="Times New Roman"/>
                <w:color w:val="000000" w:themeColor="text1"/>
                <w:sz w:val="24"/>
                <w14:textFill>
                  <w14:solidFill>
                    <w14:schemeClr w14:val="tx1"/>
                  </w14:solidFill>
                </w14:textFill>
              </w:rPr>
              <w:t>m，宽2m；</w:t>
            </w:r>
          </w:p>
          <w:p w14:paraId="344DEF5C">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根据外部集气罩风量依据公式如下：</w:t>
            </w:r>
          </w:p>
          <w:p w14:paraId="30428A63">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 = K(a+b)×h×Vx×3600=1.4×</w:t>
            </w:r>
            <w:r>
              <w:rPr>
                <w:rFonts w:hint="eastAsia"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14:textFill>
                  <w14:solidFill>
                    <w14:schemeClr w14:val="tx1"/>
                  </w14:solidFill>
                </w14:textFill>
              </w:rPr>
              <w:t>×0.3×0.5×3600×</w:t>
            </w:r>
            <w:r>
              <w:rPr>
                <w:rFonts w:hint="eastAsia"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27216</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1BFB3725">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Q：集气罩排风量（m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6BAD04DB">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K：安全系数（1.4）；</w:t>
            </w:r>
          </w:p>
          <w:p w14:paraId="7A0EF096">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h：污染物产生点至罩口的距离，m，本项目取0.3m；</w:t>
            </w:r>
          </w:p>
          <w:p w14:paraId="25EEE636">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a+b：集气罩周长，m，</w:t>
            </w:r>
            <w:r>
              <w:rPr>
                <w:rFonts w:hint="default" w:ascii="Times New Roman" w:hAnsi="Times New Roman" w:cs="Times New Roman"/>
                <w:color w:val="000000" w:themeColor="text1"/>
                <w:kern w:val="0"/>
                <w:sz w:val="24"/>
                <w14:textFill>
                  <w14:solidFill>
                    <w14:schemeClr w14:val="tx1"/>
                  </w14:solidFill>
                </w14:textFill>
              </w:rPr>
              <w:t>本项目拟设置集气罩总周长为</w:t>
            </w:r>
            <w:r>
              <w:rPr>
                <w:rFonts w:hint="eastAsia" w:ascii="Times New Roman" w:hAnsi="Times New Roman" w:cs="Times New Roman"/>
                <w:color w:val="000000" w:themeColor="text1"/>
                <w:kern w:val="0"/>
                <w:sz w:val="24"/>
                <w:lang w:val="en-US" w:eastAsia="zh-CN"/>
                <w14:textFill>
                  <w14:solidFill>
                    <w14:schemeClr w14:val="tx1"/>
                  </w14:solidFill>
                </w14:textFill>
              </w:rPr>
              <w:t>36</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设有</w:t>
            </w:r>
            <w:r>
              <w:rPr>
                <w:rFonts w:hint="eastAsia" w:ascii="Times New Roman" w:hAnsi="Times New Roman" w:cs="Times New Roman"/>
                <w:color w:val="000000" w:themeColor="text1"/>
                <w:kern w:val="0"/>
                <w:sz w:val="24"/>
                <w:lang w:val="en-US" w:eastAsia="zh-CN"/>
                <w14:textFill>
                  <w14:solidFill>
                    <w14:schemeClr w14:val="tx1"/>
                  </w14:solidFill>
                </w14:textFill>
              </w:rPr>
              <w:t>4</w:t>
            </w:r>
            <w:r>
              <w:rPr>
                <w:rFonts w:hint="default" w:ascii="Times New Roman" w:hAnsi="Times New Roman" w:cs="Times New Roman"/>
                <w:color w:val="000000" w:themeColor="text1"/>
                <w:kern w:val="0"/>
                <w:sz w:val="24"/>
                <w14:textFill>
                  <w14:solidFill>
                    <w14:schemeClr w14:val="tx1"/>
                  </w14:solidFill>
                </w14:textFill>
              </w:rPr>
              <w:t>个集气罩，为方形</w:t>
            </w:r>
            <w:r>
              <w:rPr>
                <w:rFonts w:hint="default" w:ascii="Times New Roman" w:hAnsi="Times New Roman" w:cs="Times New Roman"/>
                <w:color w:val="000000" w:themeColor="text1"/>
                <w:sz w:val="24"/>
                <w14:textFill>
                  <w14:solidFill>
                    <w14:schemeClr w14:val="tx1"/>
                  </w14:solidFill>
                </w14:textFill>
              </w:rPr>
              <w:t>）；</w:t>
            </w:r>
          </w:p>
          <w:p w14:paraId="08095383">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Vx：最小控制风速m/s，一般取0.5~1.5m/s，本次评价取值0.5m/s。</w:t>
            </w:r>
          </w:p>
          <w:p w14:paraId="69F0C13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w:t>
            </w:r>
            <w:r>
              <w:rPr>
                <w:rFonts w:hint="eastAsia" w:ascii="Times New Roman" w:hAnsi="Times New Roman" w:cs="Times New Roman"/>
                <w:color w:val="000000" w:themeColor="text1"/>
                <w:sz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w:t>
            </w:r>
            <w:r>
              <w:rPr>
                <w:rFonts w:hint="default" w:ascii="Times New Roman" w:hAnsi="Times New Roman" w:eastAsia="宋体" w:cs="Times New Roman"/>
                <w:color w:val="000000" w:themeColor="text1"/>
                <w:sz w:val="24"/>
                <w:lang w:val="en-US" w:eastAsia="zh-CN"/>
                <w14:textFill>
                  <w14:solidFill>
                    <w14:schemeClr w14:val="tx1"/>
                  </w14:solidFill>
                </w14:textFill>
              </w:rPr>
              <w:t>固化、</w:t>
            </w:r>
            <w:r>
              <w:rPr>
                <w:rFonts w:hint="eastAsia" w:ascii="Times New Roman" w:hAnsi="Times New Roman" w:eastAsia="宋体" w:cs="Times New Roman"/>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喷粉固化天然气燃烧</w:t>
            </w:r>
            <w:r>
              <w:rPr>
                <w:rFonts w:hint="default" w:ascii="Times New Roman" w:hAnsi="Times New Roman" w:cs="Times New Roman"/>
                <w:color w:val="000000" w:themeColor="text1"/>
                <w:sz w:val="24"/>
                <w14:textFill>
                  <w14:solidFill>
                    <w14:schemeClr w14:val="tx1"/>
                  </w14:solidFill>
                </w14:textFill>
              </w:rPr>
              <w:t>工序的风机风量为</w:t>
            </w:r>
            <w:r>
              <w:rPr>
                <w:rFonts w:hint="eastAsia" w:ascii="Times New Roman" w:hAnsi="Times New Roman" w:cs="Times New Roman"/>
                <w:color w:val="000000" w:themeColor="text1"/>
                <w:sz w:val="24"/>
                <w:lang w:val="en-US" w:eastAsia="zh-CN"/>
                <w14:textFill>
                  <w14:solidFill>
                    <w14:schemeClr w14:val="tx1"/>
                  </w14:solidFill>
                </w14:textFill>
              </w:rPr>
              <w:t>27216</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综合考虑风阻损耗等影响，按计算风量的1.2倍取值，则项目固化工序的总风机风量为</w:t>
            </w:r>
            <w:r>
              <w:rPr>
                <w:rFonts w:hint="eastAsia" w:ascii="Times New Roman" w:hAnsi="Times New Roman" w:cs="Times New Roman"/>
                <w:color w:val="000000" w:themeColor="text1"/>
                <w:sz w:val="24"/>
                <w:lang w:val="en-US" w:eastAsia="zh-CN"/>
                <w14:textFill>
                  <w14:solidFill>
                    <w14:schemeClr w14:val="tx1"/>
                  </w14:solidFill>
                </w14:textFill>
              </w:rPr>
              <w:t>32659.2</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/h，取整为</w:t>
            </w:r>
            <w:r>
              <w:rPr>
                <w:rFonts w:hint="eastAsia" w:ascii="Times New Roman" w:hAnsi="Times New Roman" w:cs="Times New Roman"/>
                <w:color w:val="000000" w:themeColor="text1"/>
                <w:sz w:val="24"/>
                <w:lang w:val="en-US" w:eastAsia="zh-CN"/>
                <w14:textFill>
                  <w14:solidFill>
                    <w14:schemeClr w14:val="tx1"/>
                  </w14:solidFill>
                </w14:textFill>
              </w:rPr>
              <w:t>33</w:t>
            </w:r>
            <w:r>
              <w:rPr>
                <w:rFonts w:hint="default" w:ascii="Times New Roman" w:hAnsi="Times New Roman" w:cs="Times New Roman"/>
                <w:color w:val="000000" w:themeColor="text1"/>
                <w:sz w:val="24"/>
                <w14:textFill>
                  <w14:solidFill>
                    <w14:schemeClr w14:val="tx1"/>
                  </w14:solidFill>
                </w14:textFill>
              </w:rPr>
              <w:t>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6C97594A">
            <w:pPr>
              <w:pStyle w:val="23"/>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w:t>
            </w:r>
            <w:r>
              <w:rPr>
                <w:rFonts w:hint="eastAsia" w:ascii="Times New Roman" w:hAnsi="Times New Roman" w:cs="Times New Roman"/>
                <w:color w:val="000000" w:themeColor="text1"/>
                <w:sz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w:t>
            </w:r>
            <w:r>
              <w:rPr>
                <w:rFonts w:hint="default" w:ascii="Times New Roman" w:hAnsi="Times New Roman" w:eastAsia="宋体" w:cs="Times New Roman"/>
                <w:color w:val="000000" w:themeColor="text1"/>
                <w:sz w:val="24"/>
                <w:lang w:val="en-US" w:eastAsia="zh-CN"/>
                <w14:textFill>
                  <w14:solidFill>
                    <w14:schemeClr w14:val="tx1"/>
                  </w14:solidFill>
                </w14:textFill>
              </w:rPr>
              <w:t>固化、</w:t>
            </w:r>
            <w:r>
              <w:rPr>
                <w:rFonts w:hint="eastAsia" w:ascii="Times New Roman" w:hAnsi="Times New Roman" w:eastAsia="宋体" w:cs="Times New Roman"/>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喷粉固化天然气燃烧</w:t>
            </w:r>
            <w:r>
              <w:rPr>
                <w:rFonts w:hint="default" w:ascii="Times New Roman" w:hAnsi="Times New Roman" w:cs="Times New Roman"/>
                <w:color w:val="000000" w:themeColor="text1"/>
                <w:kern w:val="0"/>
                <w:sz w:val="24"/>
                <w14:textFill>
                  <w14:solidFill>
                    <w14:schemeClr w14:val="tx1"/>
                  </w14:solidFill>
                </w14:textFill>
              </w:rPr>
              <w:t>工序年运行</w:t>
            </w:r>
            <w:r>
              <w:rPr>
                <w:rFonts w:hint="eastAsia" w:ascii="Times New Roman" w:hAnsi="Times New Roman" w:cs="Times New Roman"/>
                <w:color w:val="000000" w:themeColor="text1"/>
                <w:kern w:val="0"/>
                <w:sz w:val="24"/>
                <w:lang w:val="en-US" w:eastAsia="zh-CN"/>
                <w14:textFill>
                  <w14:solidFill>
                    <w14:schemeClr w14:val="tx1"/>
                  </w14:solidFill>
                </w14:textFill>
              </w:rPr>
              <w:t>5120</w:t>
            </w:r>
            <w:r>
              <w:rPr>
                <w:rFonts w:hint="default" w:ascii="Times New Roman" w:hAnsi="Times New Roman" w:cs="Times New Roman"/>
                <w:color w:val="000000" w:themeColor="text1"/>
                <w:kern w:val="0"/>
                <w:sz w:val="24"/>
                <w14:textFill>
                  <w14:solidFill>
                    <w14:schemeClr w14:val="tx1"/>
                  </w14:solidFill>
                </w14:textFill>
              </w:rPr>
              <w:t>h，</w:t>
            </w:r>
            <w:r>
              <w:rPr>
                <w:rFonts w:hint="eastAsia" w:ascii="Times New Roman" w:hAnsi="Times New Roman" w:cs="Times New Roman"/>
                <w:color w:val="000000" w:themeColor="text1"/>
                <w:sz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w:t>
            </w:r>
            <w:r>
              <w:rPr>
                <w:rFonts w:hint="default" w:ascii="Times New Roman" w:hAnsi="Times New Roman" w:eastAsia="宋体" w:cs="Times New Roman"/>
                <w:color w:val="000000" w:themeColor="text1"/>
                <w:sz w:val="24"/>
                <w:lang w:val="en-US" w:eastAsia="zh-CN"/>
                <w14:textFill>
                  <w14:solidFill>
                    <w14:schemeClr w14:val="tx1"/>
                  </w14:solidFill>
                </w14:textFill>
              </w:rPr>
              <w:t>固化、</w:t>
            </w:r>
            <w:r>
              <w:rPr>
                <w:rFonts w:hint="eastAsia" w:ascii="Times New Roman" w:hAnsi="Times New Roman" w:eastAsia="宋体" w:cs="Times New Roman"/>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喷粉固化天然</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气燃烧</w:t>
            </w:r>
            <w:r>
              <w:rPr>
                <w:rFonts w:hint="default" w:ascii="Times New Roman" w:hAnsi="Times New Roman" w:cs="Times New Roman"/>
                <w:color w:val="000000" w:themeColor="text1"/>
                <w:sz w:val="24"/>
                <w:szCs w:val="24"/>
                <w14:textFill>
                  <w14:solidFill>
                    <w14:schemeClr w14:val="tx1"/>
                  </w14:solidFill>
                </w14:textFill>
              </w:rPr>
              <w:t>工序风机风量为</w:t>
            </w:r>
            <w:r>
              <w:rPr>
                <w:rFonts w:hint="eastAsia" w:ascii="Times New Roman" w:hAnsi="Times New Roman" w:cs="Times New Roman"/>
                <w:color w:val="000000" w:themeColor="text1"/>
                <w:sz w:val="24"/>
                <w:szCs w:val="24"/>
                <w:lang w:val="en-US" w:eastAsia="zh-CN"/>
                <w14:textFill>
                  <w14:solidFill>
                    <w14:schemeClr w14:val="tx1"/>
                  </w14:solidFill>
                </w14:textFill>
              </w:rPr>
              <w:t>33</w:t>
            </w:r>
            <w:r>
              <w:rPr>
                <w:rFonts w:hint="default" w:ascii="Times New Roman" w:hAnsi="Times New Roman" w:cs="Times New Roman"/>
                <w:color w:val="000000" w:themeColor="text1"/>
                <w:sz w:val="24"/>
                <w:szCs w:val="24"/>
                <w14:textFill>
                  <w14:solidFill>
                    <w14:schemeClr w14:val="tx1"/>
                  </w14:solidFill>
                </w14:textFill>
              </w:rPr>
              <w:t>000m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/h，</w:t>
            </w:r>
            <w:r>
              <w:rPr>
                <w:rFonts w:hint="eastAsia" w:ascii="Times New Roman" w:hAnsi="Times New Roman" w:cs="Times New Roman"/>
                <w:color w:val="000000" w:themeColor="text1"/>
                <w:sz w:val="24"/>
                <w:szCs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漆烘干</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喷粉</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固化</w:t>
            </w:r>
            <w:r>
              <w:rPr>
                <w:rFonts w:hint="default" w:ascii="Times New Roman" w:hAnsi="Times New Roman" w:cs="Times New Roman"/>
                <w:color w:val="000000" w:themeColor="text1"/>
                <w:kern w:val="0"/>
                <w:sz w:val="24"/>
                <w:szCs w:val="24"/>
                <w14:textFill>
                  <w14:solidFill>
                    <w14:schemeClr w14:val="tx1"/>
                  </w14:solidFill>
                </w14:textFill>
              </w:rPr>
              <w:t>工序非甲烷总烃产</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生总量为0.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1718+0.121=0.2928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14:textFill>
                  <w14:solidFill>
                    <w14:schemeClr w14:val="tx1"/>
                  </w14:solidFill>
                </w14:textFill>
              </w:rPr>
              <w:t>颗粒物产生总量为</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0.034</w:t>
            </w:r>
            <w:r>
              <w:rPr>
                <w:rFonts w:hint="default" w:ascii="Times New Roman" w:hAnsi="Times New Roman" w:eastAsia="宋体" w:cs="Times New Roman"/>
                <w:color w:val="000000" w:themeColor="text1"/>
                <w:kern w:val="0"/>
                <w:sz w:val="24"/>
                <w:szCs w:val="24"/>
                <w14:textFill>
                  <w14:solidFill>
                    <w14:schemeClr w14:val="tx1"/>
                  </w14:solidFill>
                </w14:textFill>
              </w:rPr>
              <w:t>t/a，SO</w:t>
            </w:r>
            <w:r>
              <w:rPr>
                <w:rFonts w:hint="default" w:ascii="Times New Roman" w:hAnsi="Times New Roman" w:eastAsia="宋体" w:cs="Times New Roman"/>
                <w:color w:val="000000" w:themeColor="text1"/>
                <w:kern w:val="0"/>
                <w:sz w:val="24"/>
                <w:szCs w:val="24"/>
                <w:vertAlign w:val="subscript"/>
                <w14:textFill>
                  <w14:solidFill>
                    <w14:schemeClr w14:val="tx1"/>
                  </w14:solidFill>
                </w14:textFill>
              </w:rPr>
              <w:t>2</w:t>
            </w:r>
            <w:r>
              <w:rPr>
                <w:rFonts w:hint="default" w:ascii="Times New Roman" w:hAnsi="Times New Roman" w:eastAsia="宋体" w:cs="Times New Roman"/>
                <w:color w:val="000000" w:themeColor="text1"/>
                <w:kern w:val="0"/>
                <w:sz w:val="24"/>
                <w:szCs w:val="24"/>
                <w14:textFill>
                  <w14:solidFill>
                    <w14:schemeClr w14:val="tx1"/>
                  </w14:solidFill>
                </w14:textFill>
              </w:rPr>
              <w:t>产生总量为</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0.024</w:t>
            </w:r>
            <w:r>
              <w:rPr>
                <w:rFonts w:hint="default" w:ascii="Times New Roman" w:hAnsi="Times New Roman" w:eastAsia="宋体" w:cs="Times New Roman"/>
                <w:color w:val="000000" w:themeColor="text1"/>
                <w:kern w:val="0"/>
                <w:sz w:val="24"/>
                <w:szCs w:val="24"/>
                <w14:textFill>
                  <w14:solidFill>
                    <w14:schemeClr w14:val="tx1"/>
                  </w14:solidFill>
                </w14:textFill>
              </w:rPr>
              <w:t>t/a，NOx产生总量为</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0.224</w:t>
            </w:r>
            <w:r>
              <w:rPr>
                <w:rFonts w:hint="default" w:ascii="Times New Roman" w:hAnsi="Times New Roman" w:eastAsia="宋体" w:cs="Times New Roman"/>
                <w:color w:val="000000" w:themeColor="text1"/>
                <w:kern w:val="0"/>
                <w:sz w:val="24"/>
                <w:szCs w:val="24"/>
                <w14:textFill>
                  <w14:solidFill>
                    <w14:schemeClr w14:val="tx1"/>
                  </w14:solidFill>
                </w14:textFill>
              </w:rPr>
              <w:t>t/a。</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天然气燃烧设置低氮燃烧，</w:t>
            </w:r>
            <w:r>
              <w:rPr>
                <w:rFonts w:hint="eastAsia" w:ascii="Times New Roman" w:hAnsi="Times New Roman" w:cs="Times New Roman"/>
                <w:color w:val="000000" w:themeColor="text1"/>
                <w:sz w:val="24"/>
                <w:lang w:val="en-US" w:eastAsia="zh-CN"/>
                <w14:textFill>
                  <w14:solidFill>
                    <w14:schemeClr w14:val="tx1"/>
                  </w14:solidFill>
                </w14:textFill>
              </w:rPr>
              <w:t>喷</w:t>
            </w:r>
            <w:r>
              <w:rPr>
                <w:rFonts w:hint="eastAsia" w:ascii="Times New Roman" w:hAnsi="Times New Roman" w:eastAsia="宋体" w:cs="Times New Roman"/>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w:t>
            </w:r>
            <w:r>
              <w:rPr>
                <w:rFonts w:hint="default" w:ascii="Times New Roman" w:hAnsi="Times New Roman" w:eastAsia="宋体" w:cs="Times New Roman"/>
                <w:color w:val="000000" w:themeColor="text1"/>
                <w:sz w:val="24"/>
                <w:lang w:val="en-US" w:eastAsia="zh-CN"/>
                <w14:textFill>
                  <w14:solidFill>
                    <w14:schemeClr w14:val="tx1"/>
                  </w14:solidFill>
                </w14:textFill>
              </w:rPr>
              <w:t>固化、</w:t>
            </w:r>
            <w:r>
              <w:rPr>
                <w:rFonts w:hint="eastAsia" w:ascii="Times New Roman" w:hAnsi="Times New Roman" w:eastAsia="宋体" w:cs="Times New Roman"/>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喷粉固化天然气燃烧</w:t>
            </w:r>
            <w:r>
              <w:rPr>
                <w:rFonts w:hint="default" w:ascii="Times New Roman" w:hAnsi="Times New Roman" w:cs="Times New Roman"/>
                <w:color w:val="000000" w:themeColor="text1"/>
                <w:kern w:val="0"/>
                <w:sz w:val="24"/>
                <w14:textFill>
                  <w14:solidFill>
                    <w14:schemeClr w14:val="tx1"/>
                  </w14:solidFill>
                </w14:textFill>
              </w:rPr>
              <w:t>废气经</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前处理烘干通道</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喷漆烘干通道</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喷粉粉末固化通道</w:t>
            </w:r>
            <w:r>
              <w:rPr>
                <w:rFonts w:hint="default" w:ascii="Times New Roman" w:hAnsi="Times New Roman" w:cs="Times New Roman"/>
                <w:color w:val="000000" w:themeColor="text1"/>
                <w:kern w:val="0"/>
                <w:sz w:val="24"/>
                <w14:textFill>
                  <w14:solidFill>
                    <w14:schemeClr w14:val="tx1"/>
                  </w14:solidFill>
                </w14:textFill>
              </w:rPr>
              <w:t>密闭+进出口处上方设置集气罩收集+过滤棉+两级活性炭吸附装置处理后通过一根</w:t>
            </w:r>
            <w:r>
              <w:rPr>
                <w:rFonts w:hint="default" w:ascii="Times New Roman" w:hAnsi="Times New Roman" w:cs="Times New Roman"/>
                <w:color w:val="000000" w:themeColor="text1"/>
                <w:kern w:val="0"/>
                <w:sz w:val="24"/>
                <w:lang w:eastAsia="zh-CN"/>
                <w14:textFill>
                  <w14:solidFill>
                    <w14:schemeClr w14:val="tx1"/>
                  </w14:solidFill>
                </w14:textFill>
              </w:rPr>
              <w:t>15m</w:t>
            </w:r>
            <w:r>
              <w:rPr>
                <w:rFonts w:hint="default" w:ascii="Times New Roman" w:hAnsi="Times New Roman" w:cs="Times New Roman"/>
                <w:color w:val="000000" w:themeColor="text1"/>
                <w:kern w:val="0"/>
                <w:sz w:val="24"/>
                <w14:textFill>
                  <w14:solidFill>
                    <w14:schemeClr w14:val="tx1"/>
                  </w14:solidFill>
                </w14:textFill>
              </w:rPr>
              <w:t>高的排气筒（DA00</w:t>
            </w:r>
            <w:r>
              <w:rPr>
                <w:rFonts w:hint="eastAsia" w:ascii="Times New Roman" w:hAnsi="Times New Roman" w:cs="Times New Roman"/>
                <w:color w:val="000000" w:themeColor="text1"/>
                <w:kern w:val="0"/>
                <w:sz w:val="24"/>
                <w:lang w:val="en-US" w:eastAsia="zh-CN"/>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）排放。收集效率按90%计，过滤棉处理效率按9</w:t>
            </w:r>
            <w:r>
              <w:rPr>
                <w:rFonts w:hint="eastAsia" w:ascii="Times New Roman" w:hAnsi="Times New Roman" w:cs="Times New Roman"/>
                <w:color w:val="000000" w:themeColor="text1"/>
                <w:kern w:val="0"/>
                <w:sz w:val="24"/>
                <w:lang w:val="en-US" w:eastAsia="zh-CN"/>
                <w14:textFill>
                  <w14:solidFill>
                    <w14:schemeClr w14:val="tx1"/>
                  </w14:solidFill>
                </w14:textFill>
              </w:rPr>
              <w:t>5</w:t>
            </w:r>
            <w:r>
              <w:rPr>
                <w:rFonts w:hint="default" w:ascii="Times New Roman" w:hAnsi="Times New Roman" w:cs="Times New Roman"/>
                <w:color w:val="000000" w:themeColor="text1"/>
                <w:kern w:val="0"/>
                <w:sz w:val="24"/>
                <w14:textFill>
                  <w14:solidFill>
                    <w14:schemeClr w14:val="tx1"/>
                  </w14:solidFill>
                </w14:textFill>
              </w:rPr>
              <w:t>%计</w:t>
            </w:r>
            <w:r>
              <w:rPr>
                <w:rFonts w:hint="eastAsia"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两级活性炭吸附装置处理效率按90%计，</w:t>
            </w:r>
            <w:r>
              <w:rPr>
                <w:rFonts w:hint="default" w:eastAsiaTheme="minorEastAsia"/>
                <w:color w:val="auto"/>
                <w:szCs w:val="24"/>
              </w:rPr>
              <w:t>天然气燃烧</w:t>
            </w:r>
            <w:r>
              <w:rPr>
                <w:rFonts w:hint="default"/>
                <w:color w:val="auto"/>
                <w:kern w:val="2"/>
                <w:szCs w:val="24"/>
              </w:rPr>
              <w:t>采用低氮燃烧技术，低氮燃烧法对氮氧化物治理技术效率为50%</w:t>
            </w:r>
            <w:r>
              <w:rPr>
                <w:rFonts w:hint="default"/>
                <w:color w:val="auto"/>
              </w:rPr>
              <w:t>。</w:t>
            </w:r>
          </w:p>
          <w:p w14:paraId="2403E74B">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ascii="Times New Roman" w:hAnsi="Times New Roman" w:cs="Times New Roman"/>
                <w:b/>
                <w:color w:val="000000" w:themeColor="text1"/>
                <w:kern w:val="0"/>
                <w:sz w:val="24"/>
                <w:lang w:val="en-US" w:eastAsia="zh-CN"/>
                <w14:textFill>
                  <w14:solidFill>
                    <w14:schemeClr w14:val="tx1"/>
                  </w14:solidFill>
                </w14:textFill>
              </w:rPr>
              <w:t>5</w:t>
            </w:r>
            <w:r>
              <w:rPr>
                <w:rFonts w:hint="default" w:ascii="Times New Roman" w:hAnsi="Times New Roman" w:cs="Times New Roman"/>
                <w:b/>
                <w:color w:val="000000" w:themeColor="text1"/>
                <w:kern w:val="0"/>
                <w:sz w:val="24"/>
                <w14:textFill>
                  <w14:solidFill>
                    <w14:schemeClr w14:val="tx1"/>
                  </w14:solidFill>
                </w14:textFill>
              </w:rPr>
              <w:t xml:space="preserve">  项目</w:t>
            </w:r>
            <w:r>
              <w:rPr>
                <w:rFonts w:hint="eastAsia" w:ascii="Times New Roman" w:hAnsi="Times New Roman" w:cs="Times New Roman"/>
                <w:b/>
                <w:bCs/>
                <w:color w:val="000000" w:themeColor="text1"/>
                <w:sz w:val="24"/>
                <w:lang w:val="en-US" w:eastAsia="zh-CN"/>
                <w14:textFill>
                  <w14:solidFill>
                    <w14:schemeClr w14:val="tx1"/>
                  </w14:solidFill>
                </w14:textFill>
              </w:rPr>
              <w:t>喷</w:t>
            </w:r>
            <w:r>
              <w:rPr>
                <w:rFonts w:hint="eastAsia" w:ascii="Times New Roman" w:hAnsi="Times New Roman" w:eastAsia="宋体" w:cs="Times New Roman"/>
                <w:b/>
                <w:bCs/>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喷粉</w:t>
            </w:r>
            <w:r>
              <w:rPr>
                <w:rFonts w:hint="default" w:ascii="Times New Roman" w:hAnsi="Times New Roman" w:eastAsia="宋体" w:cs="Times New Roman"/>
                <w:b/>
                <w:bCs/>
                <w:color w:val="000000" w:themeColor="text1"/>
                <w:sz w:val="24"/>
                <w:lang w:val="en-US" w:eastAsia="zh-CN"/>
                <w14:textFill>
                  <w14:solidFill>
                    <w14:schemeClr w14:val="tx1"/>
                  </w14:solidFill>
                </w14:textFill>
              </w:rPr>
              <w:t>固化、</w:t>
            </w:r>
            <w:r>
              <w:rPr>
                <w:rFonts w:hint="eastAsia" w:ascii="Times New Roman" w:hAnsi="Times New Roman" w:eastAsia="宋体" w:cs="Times New Roman"/>
                <w:b/>
                <w:bCs/>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喷粉固化天然气燃烧</w:t>
            </w:r>
            <w:r>
              <w:rPr>
                <w:rFonts w:hint="default" w:ascii="Times New Roman" w:hAnsi="Times New Roman" w:cs="Times New Roman"/>
                <w:b/>
                <w:color w:val="000000" w:themeColor="text1"/>
                <w:kern w:val="0"/>
                <w:sz w:val="24"/>
                <w14:textFill>
                  <w14:solidFill>
                    <w14:schemeClr w14:val="tx1"/>
                  </w14:solidFill>
                </w14:textFill>
              </w:rPr>
              <w:t>工序有组织排放</w:t>
            </w:r>
            <w:r>
              <w:rPr>
                <w:rFonts w:hint="default" w:ascii="Times New Roman" w:hAnsi="Times New Roman" w:cs="Times New Roman"/>
                <w:b/>
                <w:color w:val="000000" w:themeColor="text1"/>
                <w:kern w:val="0"/>
                <w:sz w:val="24"/>
                <w:lang w:val="en-GB"/>
                <w14:textFill>
                  <w14:solidFill>
                    <w14:schemeClr w14:val="tx1"/>
                  </w14:solidFill>
                </w14:textFill>
              </w:rPr>
              <w:t>产生及排放情况</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584"/>
              <w:gridCol w:w="524"/>
              <w:gridCol w:w="794"/>
              <w:gridCol w:w="613"/>
              <w:gridCol w:w="689"/>
              <w:gridCol w:w="800"/>
              <w:gridCol w:w="1158"/>
              <w:gridCol w:w="689"/>
              <w:gridCol w:w="689"/>
              <w:gridCol w:w="798"/>
              <w:gridCol w:w="937"/>
            </w:tblGrid>
            <w:tr w14:paraId="5359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restart"/>
                  <w:vAlign w:val="center"/>
                </w:tcPr>
                <w:p w14:paraId="00954430">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污染源</w:t>
                  </w:r>
                </w:p>
              </w:tc>
              <w:tc>
                <w:tcPr>
                  <w:tcW w:w="524" w:type="dxa"/>
                  <w:vMerge w:val="restart"/>
                  <w:vAlign w:val="center"/>
                </w:tcPr>
                <w:p w14:paraId="796593BD">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污染物</w:t>
                  </w:r>
                </w:p>
              </w:tc>
              <w:tc>
                <w:tcPr>
                  <w:tcW w:w="794" w:type="dxa"/>
                  <w:vMerge w:val="restart"/>
                  <w:vAlign w:val="center"/>
                </w:tcPr>
                <w:p w14:paraId="48E1C39B">
                  <w:pPr>
                    <w:keepNext w:val="0"/>
                    <w:keepLines w:val="0"/>
                    <w:suppressLineNumbers w:val="0"/>
                    <w:tabs>
                      <w:tab w:val="left" w:pos="2200"/>
                      <w:tab w:val="left" w:pos="3960"/>
                      <w:tab w:val="left" w:pos="5280"/>
                    </w:tabs>
                    <w:spacing w:before="0" w:beforeAutospacing="0" w:after="0" w:afterAutospacing="0"/>
                    <w:ind w:left="0" w:right="0"/>
                    <w:jc w:val="center"/>
                    <w:rPr>
                      <w:rFonts w:hint="default"/>
                      <w:b/>
                      <w:color w:val="auto"/>
                      <w:szCs w:val="21"/>
                    </w:rPr>
                  </w:pPr>
                  <w:r>
                    <w:rPr>
                      <w:rFonts w:hint="default"/>
                      <w:b/>
                      <w:color w:val="auto"/>
                      <w:szCs w:val="21"/>
                    </w:rPr>
                    <w:t>排气量m</w:t>
                  </w:r>
                  <w:r>
                    <w:rPr>
                      <w:rFonts w:hint="default"/>
                      <w:b/>
                      <w:color w:val="auto"/>
                      <w:szCs w:val="21"/>
                      <w:vertAlign w:val="superscript"/>
                    </w:rPr>
                    <w:t>3</w:t>
                  </w:r>
                  <w:r>
                    <w:rPr>
                      <w:rFonts w:hint="default"/>
                      <w:b/>
                      <w:color w:val="auto"/>
                      <w:szCs w:val="21"/>
                    </w:rPr>
                    <w:t>/h</w:t>
                  </w:r>
                </w:p>
              </w:tc>
              <w:tc>
                <w:tcPr>
                  <w:tcW w:w="2102" w:type="dxa"/>
                  <w:gridSpan w:val="3"/>
                  <w:vAlign w:val="center"/>
                </w:tcPr>
                <w:p w14:paraId="1819DFC3">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产生情况</w:t>
                  </w:r>
                </w:p>
              </w:tc>
              <w:tc>
                <w:tcPr>
                  <w:tcW w:w="1158" w:type="dxa"/>
                  <w:vMerge w:val="restart"/>
                  <w:vAlign w:val="center"/>
                </w:tcPr>
                <w:p w14:paraId="33A9F623">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拟采取的污染治理措施</w:t>
                  </w:r>
                </w:p>
              </w:tc>
              <w:tc>
                <w:tcPr>
                  <w:tcW w:w="2176" w:type="dxa"/>
                  <w:gridSpan w:val="3"/>
                  <w:vAlign w:val="center"/>
                </w:tcPr>
                <w:p w14:paraId="1A545C55">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排放情况</w:t>
                  </w:r>
                </w:p>
              </w:tc>
              <w:tc>
                <w:tcPr>
                  <w:tcW w:w="937" w:type="dxa"/>
                  <w:vMerge w:val="restart"/>
                  <w:vAlign w:val="center"/>
                </w:tcPr>
                <w:p w14:paraId="3166E486">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排气筒参数</w:t>
                  </w:r>
                </w:p>
              </w:tc>
            </w:tr>
            <w:tr w14:paraId="09289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continue"/>
                  <w:vAlign w:val="center"/>
                </w:tcPr>
                <w:p w14:paraId="3326D568">
                  <w:pPr>
                    <w:keepNext w:val="0"/>
                    <w:keepLines w:val="0"/>
                    <w:suppressLineNumbers w:val="0"/>
                    <w:spacing w:before="0" w:beforeAutospacing="0" w:after="0" w:afterAutospacing="0"/>
                    <w:ind w:left="0" w:right="0"/>
                    <w:jc w:val="center"/>
                    <w:rPr>
                      <w:rFonts w:hint="default"/>
                      <w:b/>
                      <w:color w:val="auto"/>
                      <w:szCs w:val="21"/>
                    </w:rPr>
                  </w:pPr>
                </w:p>
              </w:tc>
              <w:tc>
                <w:tcPr>
                  <w:tcW w:w="524" w:type="dxa"/>
                  <w:vMerge w:val="continue"/>
                  <w:vAlign w:val="center"/>
                </w:tcPr>
                <w:p w14:paraId="73D5C77A">
                  <w:pPr>
                    <w:keepNext w:val="0"/>
                    <w:keepLines w:val="0"/>
                    <w:suppressLineNumbers w:val="0"/>
                    <w:spacing w:before="0" w:beforeAutospacing="0" w:after="0" w:afterAutospacing="0"/>
                    <w:ind w:left="0" w:right="0"/>
                    <w:jc w:val="center"/>
                    <w:rPr>
                      <w:rFonts w:hint="default"/>
                      <w:b/>
                      <w:color w:val="auto"/>
                      <w:szCs w:val="21"/>
                    </w:rPr>
                  </w:pPr>
                </w:p>
              </w:tc>
              <w:tc>
                <w:tcPr>
                  <w:tcW w:w="794" w:type="dxa"/>
                  <w:vMerge w:val="continue"/>
                  <w:vAlign w:val="center"/>
                </w:tcPr>
                <w:p w14:paraId="6B528536">
                  <w:pPr>
                    <w:keepNext w:val="0"/>
                    <w:keepLines w:val="0"/>
                    <w:suppressLineNumbers w:val="0"/>
                    <w:spacing w:before="0" w:beforeAutospacing="0" w:after="0" w:afterAutospacing="0"/>
                    <w:ind w:left="0" w:right="0"/>
                    <w:jc w:val="center"/>
                    <w:rPr>
                      <w:rFonts w:hint="default"/>
                      <w:b/>
                      <w:color w:val="auto"/>
                      <w:szCs w:val="21"/>
                    </w:rPr>
                  </w:pPr>
                </w:p>
              </w:tc>
              <w:tc>
                <w:tcPr>
                  <w:tcW w:w="613" w:type="dxa"/>
                  <w:vAlign w:val="center"/>
                </w:tcPr>
                <w:p w14:paraId="57CD460D">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kg/h</w:t>
                  </w:r>
                </w:p>
              </w:tc>
              <w:tc>
                <w:tcPr>
                  <w:tcW w:w="689" w:type="dxa"/>
                  <w:vAlign w:val="center"/>
                </w:tcPr>
                <w:p w14:paraId="79054E0A">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t/a</w:t>
                  </w:r>
                </w:p>
              </w:tc>
              <w:tc>
                <w:tcPr>
                  <w:tcW w:w="800" w:type="dxa"/>
                  <w:vAlign w:val="center"/>
                </w:tcPr>
                <w:p w14:paraId="5B8FD65C">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mg/m</w:t>
                  </w:r>
                  <w:r>
                    <w:rPr>
                      <w:rFonts w:hint="default"/>
                      <w:b/>
                      <w:color w:val="auto"/>
                      <w:szCs w:val="21"/>
                      <w:vertAlign w:val="superscript"/>
                    </w:rPr>
                    <w:t>3</w:t>
                  </w:r>
                </w:p>
              </w:tc>
              <w:tc>
                <w:tcPr>
                  <w:tcW w:w="1158" w:type="dxa"/>
                  <w:vMerge w:val="continue"/>
                  <w:vAlign w:val="center"/>
                </w:tcPr>
                <w:p w14:paraId="381F63A9">
                  <w:pPr>
                    <w:keepNext w:val="0"/>
                    <w:keepLines w:val="0"/>
                    <w:suppressLineNumbers w:val="0"/>
                    <w:spacing w:before="0" w:beforeAutospacing="0" w:after="0" w:afterAutospacing="0"/>
                    <w:ind w:left="0" w:right="0"/>
                    <w:jc w:val="center"/>
                    <w:rPr>
                      <w:rFonts w:hint="default"/>
                      <w:b/>
                      <w:color w:val="auto"/>
                      <w:szCs w:val="21"/>
                    </w:rPr>
                  </w:pPr>
                </w:p>
              </w:tc>
              <w:tc>
                <w:tcPr>
                  <w:tcW w:w="689" w:type="dxa"/>
                  <w:vAlign w:val="center"/>
                </w:tcPr>
                <w:p w14:paraId="273F14E0">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kg/h</w:t>
                  </w:r>
                </w:p>
              </w:tc>
              <w:tc>
                <w:tcPr>
                  <w:tcW w:w="689" w:type="dxa"/>
                  <w:vAlign w:val="center"/>
                </w:tcPr>
                <w:p w14:paraId="3A109DFB">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t/a</w:t>
                  </w:r>
                </w:p>
              </w:tc>
              <w:tc>
                <w:tcPr>
                  <w:tcW w:w="798" w:type="dxa"/>
                  <w:vAlign w:val="center"/>
                </w:tcPr>
                <w:p w14:paraId="2A898066">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mg/m</w:t>
                  </w:r>
                  <w:r>
                    <w:rPr>
                      <w:rFonts w:hint="default"/>
                      <w:b/>
                      <w:color w:val="auto"/>
                      <w:szCs w:val="21"/>
                      <w:vertAlign w:val="superscript"/>
                    </w:rPr>
                    <w:t>3</w:t>
                  </w:r>
                </w:p>
              </w:tc>
              <w:tc>
                <w:tcPr>
                  <w:tcW w:w="937" w:type="dxa"/>
                  <w:vMerge w:val="continue"/>
                  <w:vAlign w:val="center"/>
                </w:tcPr>
                <w:p w14:paraId="780F9734">
                  <w:pPr>
                    <w:keepNext w:val="0"/>
                    <w:keepLines w:val="0"/>
                    <w:suppressLineNumbers w:val="0"/>
                    <w:spacing w:before="0" w:beforeAutospacing="0" w:after="0" w:afterAutospacing="0"/>
                    <w:ind w:left="0" w:right="0"/>
                    <w:jc w:val="center"/>
                    <w:rPr>
                      <w:rFonts w:hint="default"/>
                      <w:b/>
                      <w:color w:val="auto"/>
                      <w:szCs w:val="21"/>
                    </w:rPr>
                  </w:pPr>
                </w:p>
              </w:tc>
            </w:tr>
            <w:tr w14:paraId="6F326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84" w:type="dxa"/>
                  <w:vAlign w:val="center"/>
                </w:tcPr>
                <w:p w14:paraId="7450FCE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p>
              </w:tc>
              <w:tc>
                <w:tcPr>
                  <w:tcW w:w="524" w:type="dxa"/>
                  <w:vAlign w:val="center"/>
                </w:tcPr>
                <w:p w14:paraId="6202322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非甲烷总烃</w:t>
                  </w:r>
                </w:p>
              </w:tc>
              <w:tc>
                <w:tcPr>
                  <w:tcW w:w="794" w:type="dxa"/>
                  <w:vMerge w:val="restart"/>
                  <w:vAlign w:val="center"/>
                </w:tcPr>
                <w:p w14:paraId="094C050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33000</w:t>
                  </w:r>
                </w:p>
              </w:tc>
              <w:tc>
                <w:tcPr>
                  <w:tcW w:w="613" w:type="dxa"/>
                  <w:vAlign w:val="center"/>
                </w:tcPr>
                <w:p w14:paraId="446989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0.052</w:t>
                  </w:r>
                </w:p>
              </w:tc>
              <w:tc>
                <w:tcPr>
                  <w:tcW w:w="689" w:type="dxa"/>
                  <w:vAlign w:val="center"/>
                </w:tcPr>
                <w:p w14:paraId="1FD66B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0.264</w:t>
                  </w:r>
                </w:p>
              </w:tc>
              <w:tc>
                <w:tcPr>
                  <w:tcW w:w="800" w:type="dxa"/>
                  <w:vAlign w:val="center"/>
                </w:tcPr>
                <w:p w14:paraId="7FD4FB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1.563</w:t>
                  </w:r>
                </w:p>
              </w:tc>
              <w:tc>
                <w:tcPr>
                  <w:tcW w:w="1158" w:type="dxa"/>
                  <w:vAlign w:val="center"/>
                </w:tcPr>
                <w:p w14:paraId="28BD950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两级活性炭吸附装置</w:t>
                  </w:r>
                </w:p>
              </w:tc>
              <w:tc>
                <w:tcPr>
                  <w:tcW w:w="689" w:type="dxa"/>
                  <w:vAlign w:val="center"/>
                </w:tcPr>
                <w:p w14:paraId="0C0B1C11">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eastAsia="宋体"/>
                      <w:color w:val="auto"/>
                      <w:szCs w:val="21"/>
                      <w:lang w:val="en-US" w:eastAsia="zh-CN"/>
                    </w:rPr>
                    <w:t>0.005</w:t>
                  </w:r>
                </w:p>
              </w:tc>
              <w:tc>
                <w:tcPr>
                  <w:tcW w:w="689" w:type="dxa"/>
                  <w:vAlign w:val="center"/>
                </w:tcPr>
                <w:p w14:paraId="21406895">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eastAsia="宋体"/>
                      <w:color w:val="auto"/>
                      <w:szCs w:val="21"/>
                      <w:lang w:val="en-US" w:eastAsia="zh-CN"/>
                    </w:rPr>
                    <w:t>0.026</w:t>
                  </w:r>
                </w:p>
              </w:tc>
              <w:tc>
                <w:tcPr>
                  <w:tcW w:w="798" w:type="dxa"/>
                  <w:vAlign w:val="center"/>
                </w:tcPr>
                <w:p w14:paraId="3EF8DCA4">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eastAsia="宋体"/>
                      <w:color w:val="auto"/>
                      <w:szCs w:val="21"/>
                      <w:lang w:val="en-US" w:eastAsia="zh-CN"/>
                    </w:rPr>
                    <w:t>0.154</w:t>
                  </w:r>
                </w:p>
              </w:tc>
              <w:tc>
                <w:tcPr>
                  <w:tcW w:w="937" w:type="dxa"/>
                  <w:vMerge w:val="restart"/>
                  <w:vAlign w:val="center"/>
                </w:tcPr>
                <w:p w14:paraId="6C35687A">
                  <w:pPr>
                    <w:keepNext w:val="0"/>
                    <w:keepLines w:val="0"/>
                    <w:widowControl/>
                    <w:suppressLineNumbers w:val="0"/>
                    <w:spacing w:before="0" w:beforeAutospacing="0" w:after="0" w:afterAutospacing="0"/>
                    <w:ind w:left="0" w:right="0"/>
                    <w:jc w:val="center"/>
                    <w:textAlignment w:val="center"/>
                    <w:rPr>
                      <w:rFonts w:hint="eastAsia" w:eastAsia="宋体"/>
                      <w:color w:val="auto"/>
                      <w:kern w:val="0"/>
                      <w:szCs w:val="21"/>
                      <w:lang w:eastAsia="zh-CN" w:bidi="ar"/>
                    </w:rPr>
                  </w:pPr>
                  <w:r>
                    <w:rPr>
                      <w:rFonts w:hint="default"/>
                      <w:color w:val="auto"/>
                      <w:kern w:val="0"/>
                      <w:szCs w:val="21"/>
                      <w:lang w:bidi="ar"/>
                    </w:rPr>
                    <w:t>DA00</w:t>
                  </w:r>
                  <w:r>
                    <w:rPr>
                      <w:rFonts w:hint="eastAsia"/>
                      <w:color w:val="auto"/>
                      <w:kern w:val="0"/>
                      <w:szCs w:val="21"/>
                      <w:lang w:val="en-US" w:eastAsia="zh-CN" w:bidi="ar"/>
                    </w:rPr>
                    <w:t>2</w:t>
                  </w:r>
                </w:p>
                <w:p w14:paraId="57F5F58C">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color w:val="auto"/>
                      <w:kern w:val="0"/>
                      <w:szCs w:val="21"/>
                      <w:lang w:bidi="ar"/>
                    </w:rPr>
                    <w:t>H:15m</w:t>
                  </w:r>
                </w:p>
                <w:p w14:paraId="11D9E4FD">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default"/>
                      <w:color w:val="auto"/>
                      <w:kern w:val="0"/>
                      <w:szCs w:val="21"/>
                      <w:lang w:bidi="ar"/>
                    </w:rPr>
                    <w:t>ф:</w:t>
                  </w:r>
                  <w:r>
                    <w:rPr>
                      <w:rFonts w:hint="eastAsia"/>
                      <w:color w:val="auto"/>
                      <w:kern w:val="0"/>
                      <w:szCs w:val="21"/>
                      <w:lang w:val="en-US" w:eastAsia="zh-CN" w:bidi="ar"/>
                    </w:rPr>
                    <w:t>1</w:t>
                  </w:r>
                  <w:r>
                    <w:rPr>
                      <w:rFonts w:hint="default"/>
                      <w:color w:val="auto"/>
                      <w:kern w:val="0"/>
                      <w:szCs w:val="21"/>
                      <w:lang w:bidi="ar"/>
                    </w:rPr>
                    <w:t>m</w:t>
                  </w:r>
                </w:p>
              </w:tc>
            </w:tr>
            <w:tr w14:paraId="2D412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restart"/>
                  <w:vAlign w:val="center"/>
                </w:tcPr>
                <w:p w14:paraId="7C4BDF1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p>
              </w:tc>
              <w:tc>
                <w:tcPr>
                  <w:tcW w:w="524" w:type="dxa"/>
                  <w:vAlign w:val="center"/>
                </w:tcPr>
                <w:p w14:paraId="05BB298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颗粒物</w:t>
                  </w:r>
                </w:p>
              </w:tc>
              <w:tc>
                <w:tcPr>
                  <w:tcW w:w="794" w:type="dxa"/>
                  <w:vMerge w:val="continue"/>
                  <w:vAlign w:val="center"/>
                </w:tcPr>
                <w:p w14:paraId="78354A0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613" w:type="dxa"/>
                  <w:vAlign w:val="center"/>
                </w:tcPr>
                <w:p w14:paraId="2F66DA6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0.006</w:t>
                  </w:r>
                </w:p>
              </w:tc>
              <w:tc>
                <w:tcPr>
                  <w:tcW w:w="689" w:type="dxa"/>
                  <w:vAlign w:val="center"/>
                </w:tcPr>
                <w:p w14:paraId="17D5305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0.031</w:t>
                  </w:r>
                </w:p>
              </w:tc>
              <w:tc>
                <w:tcPr>
                  <w:tcW w:w="800" w:type="dxa"/>
                  <w:vAlign w:val="center"/>
                </w:tcPr>
                <w:p w14:paraId="68ABE5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0.183</w:t>
                  </w:r>
                </w:p>
              </w:tc>
              <w:tc>
                <w:tcPr>
                  <w:tcW w:w="1158" w:type="dxa"/>
                  <w:vAlign w:val="center"/>
                </w:tcPr>
                <w:p w14:paraId="25A26B0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过滤棉</w:t>
                  </w:r>
                </w:p>
              </w:tc>
              <w:tc>
                <w:tcPr>
                  <w:tcW w:w="689" w:type="dxa"/>
                  <w:vAlign w:val="center"/>
                </w:tcPr>
                <w:p w14:paraId="62F0E91F">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eastAsia="宋体"/>
                      <w:color w:val="auto"/>
                      <w:szCs w:val="21"/>
                      <w:lang w:val="en-US" w:eastAsia="zh-CN"/>
                    </w:rPr>
                    <w:t>0.0004</w:t>
                  </w:r>
                </w:p>
              </w:tc>
              <w:tc>
                <w:tcPr>
                  <w:tcW w:w="689" w:type="dxa"/>
                  <w:vAlign w:val="center"/>
                </w:tcPr>
                <w:p w14:paraId="4F2C3496">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eastAsia="宋体"/>
                      <w:color w:val="auto"/>
                      <w:szCs w:val="21"/>
                      <w:lang w:val="en-US" w:eastAsia="zh-CN"/>
                    </w:rPr>
                    <w:t>0.002</w:t>
                  </w:r>
                </w:p>
              </w:tc>
              <w:tc>
                <w:tcPr>
                  <w:tcW w:w="798" w:type="dxa"/>
                  <w:vAlign w:val="center"/>
                </w:tcPr>
                <w:p w14:paraId="6DEA2EAA">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eastAsia="宋体"/>
                      <w:color w:val="auto"/>
                      <w:szCs w:val="21"/>
                      <w:lang w:val="en-US" w:eastAsia="zh-CN"/>
                    </w:rPr>
                    <w:t>0.012</w:t>
                  </w:r>
                </w:p>
              </w:tc>
              <w:tc>
                <w:tcPr>
                  <w:tcW w:w="937" w:type="dxa"/>
                  <w:vMerge w:val="continue"/>
                  <w:vAlign w:val="center"/>
                </w:tcPr>
                <w:p w14:paraId="4C0D173C">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p>
              </w:tc>
            </w:tr>
            <w:tr w14:paraId="67AF7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continue"/>
                  <w:shd w:val="clear" w:color="auto" w:fill="auto"/>
                  <w:vAlign w:val="center"/>
                </w:tcPr>
                <w:p w14:paraId="386032F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524" w:type="dxa"/>
                  <w:shd w:val="clear" w:color="auto" w:fill="auto"/>
                  <w:vAlign w:val="center"/>
                </w:tcPr>
                <w:p w14:paraId="5D90626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p>
              </w:tc>
              <w:tc>
                <w:tcPr>
                  <w:tcW w:w="794" w:type="dxa"/>
                  <w:vMerge w:val="continue"/>
                  <w:vAlign w:val="center"/>
                </w:tcPr>
                <w:p w14:paraId="071B20F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613" w:type="dxa"/>
                  <w:vAlign w:val="center"/>
                </w:tcPr>
                <w:p w14:paraId="36CC9BF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0.004</w:t>
                  </w:r>
                </w:p>
              </w:tc>
              <w:tc>
                <w:tcPr>
                  <w:tcW w:w="689" w:type="dxa"/>
                  <w:vAlign w:val="center"/>
                </w:tcPr>
                <w:p w14:paraId="628927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0.022</w:t>
                  </w:r>
                </w:p>
              </w:tc>
              <w:tc>
                <w:tcPr>
                  <w:tcW w:w="800" w:type="dxa"/>
                  <w:vAlign w:val="center"/>
                </w:tcPr>
                <w:p w14:paraId="42B1DE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0.13</w:t>
                  </w:r>
                </w:p>
              </w:tc>
              <w:tc>
                <w:tcPr>
                  <w:tcW w:w="1158" w:type="dxa"/>
                  <w:vAlign w:val="center"/>
                </w:tcPr>
                <w:p w14:paraId="3CA2F1C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689" w:type="dxa"/>
                  <w:vAlign w:val="center"/>
                </w:tcPr>
                <w:p w14:paraId="522220B4">
                  <w:pPr>
                    <w:keepNext w:val="0"/>
                    <w:keepLines w:val="0"/>
                    <w:suppressLineNumbers w:val="0"/>
                    <w:spacing w:before="0" w:beforeAutospacing="0" w:after="0" w:afterAutospacing="0"/>
                    <w:ind w:left="0" w:right="0"/>
                    <w:jc w:val="center"/>
                    <w:rPr>
                      <w:rFonts w:hint="default"/>
                      <w:color w:val="auto"/>
                      <w:szCs w:val="21"/>
                    </w:rPr>
                  </w:pPr>
                  <w:r>
                    <w:rPr>
                      <w:rFonts w:hint="eastAsia" w:ascii="Times New Roman" w:hAnsi="Times New Roman" w:eastAsia="宋体" w:cs="Times New Roman"/>
                      <w:color w:val="auto"/>
                      <w:szCs w:val="21"/>
                      <w:lang w:val="en-US" w:eastAsia="zh-CN"/>
                    </w:rPr>
                    <w:t>0.004</w:t>
                  </w:r>
                </w:p>
              </w:tc>
              <w:tc>
                <w:tcPr>
                  <w:tcW w:w="689" w:type="dxa"/>
                  <w:vAlign w:val="center"/>
                </w:tcPr>
                <w:p w14:paraId="024D8930">
                  <w:pPr>
                    <w:keepNext w:val="0"/>
                    <w:keepLines w:val="0"/>
                    <w:suppressLineNumbers w:val="0"/>
                    <w:spacing w:before="0" w:beforeAutospacing="0" w:after="0" w:afterAutospacing="0"/>
                    <w:ind w:left="0" w:right="0"/>
                    <w:jc w:val="center"/>
                    <w:rPr>
                      <w:rFonts w:hint="default"/>
                      <w:color w:val="auto"/>
                      <w:szCs w:val="21"/>
                    </w:rPr>
                  </w:pPr>
                  <w:r>
                    <w:rPr>
                      <w:rFonts w:hint="eastAsia" w:ascii="Times New Roman" w:hAnsi="Times New Roman" w:eastAsia="宋体" w:cs="Times New Roman"/>
                      <w:color w:val="auto"/>
                      <w:szCs w:val="21"/>
                      <w:lang w:val="en-US" w:eastAsia="zh-CN"/>
                    </w:rPr>
                    <w:t>0.022</w:t>
                  </w:r>
                </w:p>
              </w:tc>
              <w:tc>
                <w:tcPr>
                  <w:tcW w:w="798" w:type="dxa"/>
                  <w:vAlign w:val="center"/>
                </w:tcPr>
                <w:p w14:paraId="7394AA36">
                  <w:pPr>
                    <w:keepNext w:val="0"/>
                    <w:keepLines w:val="0"/>
                    <w:suppressLineNumbers w:val="0"/>
                    <w:spacing w:before="0" w:beforeAutospacing="0" w:after="0" w:afterAutospacing="0"/>
                    <w:ind w:left="0" w:right="0"/>
                    <w:jc w:val="center"/>
                    <w:rPr>
                      <w:rFonts w:hint="default"/>
                      <w:color w:val="auto"/>
                      <w:szCs w:val="21"/>
                    </w:rPr>
                  </w:pPr>
                  <w:r>
                    <w:rPr>
                      <w:rFonts w:hint="eastAsia" w:ascii="Times New Roman" w:hAnsi="Times New Roman" w:eastAsia="宋体" w:cs="Times New Roman"/>
                      <w:color w:val="auto"/>
                      <w:szCs w:val="21"/>
                      <w:lang w:val="en-US" w:eastAsia="zh-CN"/>
                    </w:rPr>
                    <w:t>0.13</w:t>
                  </w:r>
                </w:p>
              </w:tc>
              <w:tc>
                <w:tcPr>
                  <w:tcW w:w="937" w:type="dxa"/>
                  <w:vMerge w:val="continue"/>
                  <w:vAlign w:val="center"/>
                </w:tcPr>
                <w:p w14:paraId="2952C72B">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p>
              </w:tc>
            </w:tr>
            <w:tr w14:paraId="0664A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continue"/>
                  <w:shd w:val="clear" w:color="auto" w:fill="auto"/>
                  <w:vAlign w:val="center"/>
                </w:tcPr>
                <w:p w14:paraId="5157F62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524" w:type="dxa"/>
                  <w:shd w:val="clear" w:color="auto" w:fill="auto"/>
                  <w:vAlign w:val="center"/>
                </w:tcPr>
                <w:p w14:paraId="368AF08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NOx</w:t>
                  </w:r>
                </w:p>
              </w:tc>
              <w:tc>
                <w:tcPr>
                  <w:tcW w:w="794" w:type="dxa"/>
                  <w:vMerge w:val="continue"/>
                  <w:vAlign w:val="center"/>
                </w:tcPr>
                <w:p w14:paraId="0B3AA4B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p>
              </w:tc>
              <w:tc>
                <w:tcPr>
                  <w:tcW w:w="613" w:type="dxa"/>
                  <w:vAlign w:val="center"/>
                </w:tcPr>
                <w:p w14:paraId="63CDDE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0.04</w:t>
                  </w:r>
                </w:p>
              </w:tc>
              <w:tc>
                <w:tcPr>
                  <w:tcW w:w="689" w:type="dxa"/>
                  <w:vAlign w:val="center"/>
                </w:tcPr>
                <w:p w14:paraId="25FC87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0.202</w:t>
                  </w:r>
                </w:p>
              </w:tc>
              <w:tc>
                <w:tcPr>
                  <w:tcW w:w="800" w:type="dxa"/>
                  <w:vAlign w:val="center"/>
                </w:tcPr>
                <w:p w14:paraId="6CABD7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1.196</w:t>
                  </w:r>
                </w:p>
              </w:tc>
              <w:tc>
                <w:tcPr>
                  <w:tcW w:w="1158" w:type="dxa"/>
                  <w:vAlign w:val="center"/>
                </w:tcPr>
                <w:p w14:paraId="17717A3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低氮燃烧</w:t>
                  </w:r>
                </w:p>
              </w:tc>
              <w:tc>
                <w:tcPr>
                  <w:tcW w:w="689" w:type="dxa"/>
                  <w:vAlign w:val="center"/>
                </w:tcPr>
                <w:p w14:paraId="776AD783">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0.02</w:t>
                  </w:r>
                </w:p>
              </w:tc>
              <w:tc>
                <w:tcPr>
                  <w:tcW w:w="689" w:type="dxa"/>
                  <w:vAlign w:val="center"/>
                </w:tcPr>
                <w:p w14:paraId="58DAB1A0">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0.101</w:t>
                  </w:r>
                </w:p>
              </w:tc>
              <w:tc>
                <w:tcPr>
                  <w:tcW w:w="798" w:type="dxa"/>
                  <w:vAlign w:val="center"/>
                </w:tcPr>
                <w:p w14:paraId="58DD3CD6">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0.598</w:t>
                  </w:r>
                </w:p>
              </w:tc>
              <w:tc>
                <w:tcPr>
                  <w:tcW w:w="937" w:type="dxa"/>
                  <w:vMerge w:val="continue"/>
                  <w:vAlign w:val="center"/>
                </w:tcPr>
                <w:p w14:paraId="3A73C54B">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p>
              </w:tc>
            </w:tr>
          </w:tbl>
          <w:p w14:paraId="2A8F8BD5">
            <w:pPr>
              <w:keepNext w:val="0"/>
              <w:keepLines w:val="0"/>
              <w:suppressLineNumbers w:val="0"/>
              <w:spacing w:before="120" w:beforeLines="5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w:t>
            </w:r>
            <w:r>
              <w:rPr>
                <w:rFonts w:hint="default" w:ascii="Times New Roman" w:hAnsi="Times New Roman" w:cs="Times New Roman"/>
                <w:b/>
                <w:color w:val="000000" w:themeColor="text1"/>
                <w:kern w:val="0"/>
                <w:sz w:val="24"/>
                <w14:textFill>
                  <w14:solidFill>
                    <w14:schemeClr w14:val="tx1"/>
                  </w14:solidFill>
                </w14:textFill>
              </w:rPr>
              <w:t>4-</w:t>
            </w:r>
            <w:r>
              <w:rPr>
                <w:rFonts w:hint="eastAsia" w:ascii="Times New Roman" w:hAnsi="Times New Roman" w:cs="Times New Roman"/>
                <w:b/>
                <w:color w:val="000000" w:themeColor="text1"/>
                <w:kern w:val="0"/>
                <w:sz w:val="24"/>
                <w:lang w:val="en-US" w:eastAsia="zh-CN"/>
                <w14:textFill>
                  <w14:solidFill>
                    <w14:schemeClr w14:val="tx1"/>
                  </w14:solidFill>
                </w14:textFill>
              </w:rPr>
              <w:t>6</w:t>
            </w:r>
            <w:r>
              <w:rPr>
                <w:rFonts w:hint="default" w:ascii="Times New Roman" w:hAnsi="Times New Roman" w:cs="Times New Roman"/>
                <w:b/>
                <w:color w:val="000000" w:themeColor="text1"/>
                <w:kern w:val="0"/>
                <w:sz w:val="24"/>
                <w14:textFill>
                  <w14:solidFill>
                    <w14:schemeClr w14:val="tx1"/>
                  </w14:solidFill>
                </w14:textFill>
              </w:rPr>
              <w:t xml:space="preserve">  项目</w:t>
            </w:r>
            <w:r>
              <w:rPr>
                <w:rFonts w:hint="eastAsia" w:ascii="Times New Roman" w:hAnsi="Times New Roman" w:cs="Times New Roman"/>
                <w:b/>
                <w:bCs/>
                <w:color w:val="000000" w:themeColor="text1"/>
                <w:sz w:val="24"/>
                <w:lang w:val="en-US" w:eastAsia="zh-CN"/>
                <w14:textFill>
                  <w14:solidFill>
                    <w14:schemeClr w14:val="tx1"/>
                  </w14:solidFill>
                </w14:textFill>
              </w:rPr>
              <w:t>喷</w:t>
            </w:r>
            <w:r>
              <w:rPr>
                <w:rFonts w:hint="eastAsia" w:ascii="Times New Roman" w:hAnsi="Times New Roman" w:eastAsia="宋体" w:cs="Times New Roman"/>
                <w:b/>
                <w:bCs/>
                <w:color w:val="000000" w:themeColor="text1"/>
                <w:sz w:val="24"/>
                <w:lang w:val="en-US" w:eastAsia="zh-CN"/>
                <w14:textFill>
                  <w14:solidFill>
                    <w14:schemeClr w14:val="tx1"/>
                  </w14:solidFill>
                </w14:textFill>
              </w:rPr>
              <w:t>漆烘干</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喷粉</w:t>
            </w:r>
            <w:r>
              <w:rPr>
                <w:rFonts w:hint="default" w:ascii="Times New Roman" w:hAnsi="Times New Roman" w:eastAsia="宋体" w:cs="Times New Roman"/>
                <w:b/>
                <w:bCs/>
                <w:color w:val="000000" w:themeColor="text1"/>
                <w:sz w:val="24"/>
                <w:lang w:val="en-US" w:eastAsia="zh-CN"/>
                <w14:textFill>
                  <w14:solidFill>
                    <w14:schemeClr w14:val="tx1"/>
                  </w14:solidFill>
                </w14:textFill>
              </w:rPr>
              <w:t>固化、</w:t>
            </w:r>
            <w:r>
              <w:rPr>
                <w:rFonts w:hint="eastAsia" w:ascii="Times New Roman" w:hAnsi="Times New Roman" w:eastAsia="宋体" w:cs="Times New Roman"/>
                <w:b/>
                <w:bCs/>
                <w:color w:val="000000" w:themeColor="text1"/>
                <w:sz w:val="24"/>
                <w:lang w:val="en-US" w:eastAsia="zh-CN"/>
                <w14:textFill>
                  <w14:solidFill>
                    <w14:schemeClr w14:val="tx1"/>
                  </w14:solidFill>
                </w14:textFill>
              </w:rPr>
              <w:t>前处理烘干天然气燃烧</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喷漆烘干天然气燃烧</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lang w:val="en-US" w:eastAsia="zh-CN"/>
                <w14:textFill>
                  <w14:solidFill>
                    <w14:schemeClr w14:val="tx1"/>
                  </w14:solidFill>
                </w14:textFill>
              </w:rPr>
              <w:t>喷粉固化天然气燃烧</w:t>
            </w:r>
            <w:r>
              <w:rPr>
                <w:rFonts w:hint="default" w:ascii="Times New Roman" w:hAnsi="Times New Roman" w:cs="Times New Roman"/>
                <w:b/>
                <w:color w:val="000000" w:themeColor="text1"/>
                <w:kern w:val="0"/>
                <w:sz w:val="24"/>
                <w14:textFill>
                  <w14:solidFill>
                    <w14:schemeClr w14:val="tx1"/>
                  </w14:solidFill>
                </w14:textFill>
              </w:rPr>
              <w:t>工序无组织</w:t>
            </w:r>
            <w:r>
              <w:rPr>
                <w:rFonts w:hint="default" w:ascii="Times New Roman" w:hAnsi="Times New Roman" w:cs="Times New Roman"/>
                <w:b/>
                <w:color w:val="000000" w:themeColor="text1"/>
                <w:kern w:val="0"/>
                <w:sz w:val="24"/>
                <w:lang w:val="zh-CN"/>
                <w14:textFill>
                  <w14:solidFill>
                    <w14:schemeClr w14:val="tx1"/>
                  </w14:solidFill>
                </w14:textFill>
              </w:rPr>
              <w:t>产排情况一览表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1536"/>
              <w:gridCol w:w="1273"/>
              <w:gridCol w:w="1205"/>
              <w:gridCol w:w="1282"/>
              <w:gridCol w:w="1223"/>
            </w:tblGrid>
            <w:tr w14:paraId="44789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59" w:type="pct"/>
                  <w:vMerge w:val="restart"/>
                  <w:vAlign w:val="center"/>
                </w:tcPr>
                <w:p w14:paraId="22E74EA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928" w:type="pct"/>
                  <w:vMerge w:val="restart"/>
                  <w:vAlign w:val="center"/>
                </w:tcPr>
                <w:p w14:paraId="7654637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7" w:type="pct"/>
                  <w:gridSpan w:val="2"/>
                  <w:vAlign w:val="center"/>
                </w:tcPr>
                <w:p w14:paraId="6D74D1DC">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74888A15">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31FC5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59" w:type="pct"/>
                  <w:vMerge w:val="continue"/>
                  <w:vAlign w:val="center"/>
                </w:tcPr>
                <w:p w14:paraId="25D2EFD0">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928" w:type="pct"/>
                  <w:vMerge w:val="continue"/>
                  <w:vAlign w:val="center"/>
                </w:tcPr>
                <w:p w14:paraId="4D91EA34">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769" w:type="pct"/>
                  <w:vAlign w:val="center"/>
                </w:tcPr>
                <w:p w14:paraId="6F007A81">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8" w:type="pct"/>
                  <w:vAlign w:val="center"/>
                </w:tcPr>
                <w:p w14:paraId="4606ED24">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4" w:type="pct"/>
                  <w:vAlign w:val="center"/>
                </w:tcPr>
                <w:p w14:paraId="19937C2F">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39" w:type="pct"/>
                  <w:vAlign w:val="center"/>
                </w:tcPr>
                <w:p w14:paraId="6D125A28">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2931C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9" w:type="pct"/>
                  <w:vAlign w:val="center"/>
                </w:tcPr>
                <w:p w14:paraId="4DAC671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p>
              </w:tc>
              <w:tc>
                <w:tcPr>
                  <w:tcW w:w="928" w:type="pct"/>
                  <w:shd w:val="clear" w:color="auto" w:fill="auto"/>
                  <w:vAlign w:val="center"/>
                </w:tcPr>
                <w:p w14:paraId="617F34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非甲烷总烃</w:t>
                  </w:r>
                </w:p>
              </w:tc>
              <w:tc>
                <w:tcPr>
                  <w:tcW w:w="769" w:type="pct"/>
                  <w:vAlign w:val="center"/>
                </w:tcPr>
                <w:p w14:paraId="13AA32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0.006</w:t>
                  </w:r>
                </w:p>
              </w:tc>
              <w:tc>
                <w:tcPr>
                  <w:tcW w:w="728" w:type="pct"/>
                  <w:vAlign w:val="center"/>
                </w:tcPr>
                <w:p w14:paraId="5FF740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0.029</w:t>
                  </w:r>
                </w:p>
              </w:tc>
              <w:tc>
                <w:tcPr>
                  <w:tcW w:w="1282" w:type="dxa"/>
                  <w:vAlign w:val="center"/>
                </w:tcPr>
                <w:p w14:paraId="3D57B4B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0.006</w:t>
                  </w:r>
                </w:p>
              </w:tc>
              <w:tc>
                <w:tcPr>
                  <w:tcW w:w="1223" w:type="dxa"/>
                  <w:vAlign w:val="center"/>
                </w:tcPr>
                <w:p w14:paraId="09F605F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0.029</w:t>
                  </w:r>
                </w:p>
              </w:tc>
            </w:tr>
            <w:tr w14:paraId="373CF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9" w:type="pct"/>
                  <w:vMerge w:val="restart"/>
                  <w:vAlign w:val="center"/>
                </w:tcPr>
                <w:p w14:paraId="4CC27FA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p>
              </w:tc>
              <w:tc>
                <w:tcPr>
                  <w:tcW w:w="928" w:type="pct"/>
                  <w:shd w:val="clear" w:color="auto" w:fill="auto"/>
                  <w:vAlign w:val="center"/>
                </w:tcPr>
                <w:p w14:paraId="55DDA9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color w:val="auto"/>
                      <w:kern w:val="0"/>
                      <w:szCs w:val="21"/>
                      <w:lang w:bidi="ar"/>
                    </w:rPr>
                    <w:t>颗粒物</w:t>
                  </w:r>
                </w:p>
              </w:tc>
              <w:tc>
                <w:tcPr>
                  <w:tcW w:w="769" w:type="pct"/>
                  <w:vAlign w:val="center"/>
                </w:tcPr>
                <w:p w14:paraId="40F79AA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0.001</w:t>
                  </w:r>
                </w:p>
              </w:tc>
              <w:tc>
                <w:tcPr>
                  <w:tcW w:w="728" w:type="pct"/>
                  <w:vAlign w:val="center"/>
                </w:tcPr>
                <w:p w14:paraId="514872E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0.003</w:t>
                  </w:r>
                </w:p>
              </w:tc>
              <w:tc>
                <w:tcPr>
                  <w:tcW w:w="1282" w:type="dxa"/>
                  <w:vAlign w:val="center"/>
                </w:tcPr>
                <w:p w14:paraId="7CFA2BC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0.001</w:t>
                  </w:r>
                </w:p>
              </w:tc>
              <w:tc>
                <w:tcPr>
                  <w:tcW w:w="1223" w:type="dxa"/>
                  <w:vAlign w:val="center"/>
                </w:tcPr>
                <w:p w14:paraId="52D88D7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0.003</w:t>
                  </w:r>
                </w:p>
              </w:tc>
            </w:tr>
            <w:tr w14:paraId="05FA6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9" w:type="pct"/>
                  <w:vMerge w:val="continue"/>
                  <w:vAlign w:val="center"/>
                </w:tcPr>
                <w:p w14:paraId="0C1DC0B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928" w:type="pct"/>
                  <w:shd w:val="clear" w:color="auto" w:fill="auto"/>
                  <w:vAlign w:val="center"/>
                </w:tcPr>
                <w:p w14:paraId="27892C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SO</w:t>
                  </w:r>
                  <w:r>
                    <w:rPr>
                      <w:rFonts w:hint="default"/>
                      <w:color w:val="auto"/>
                      <w:szCs w:val="21"/>
                      <w:vertAlign w:val="subscript"/>
                    </w:rPr>
                    <w:t>2</w:t>
                  </w:r>
                </w:p>
              </w:tc>
              <w:tc>
                <w:tcPr>
                  <w:tcW w:w="769" w:type="pct"/>
                  <w:vAlign w:val="center"/>
                </w:tcPr>
                <w:p w14:paraId="1F9EF0C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0.0004</w:t>
                  </w:r>
                </w:p>
              </w:tc>
              <w:tc>
                <w:tcPr>
                  <w:tcW w:w="728" w:type="pct"/>
                  <w:vAlign w:val="center"/>
                </w:tcPr>
                <w:p w14:paraId="21BE8E8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0.002</w:t>
                  </w:r>
                </w:p>
              </w:tc>
              <w:tc>
                <w:tcPr>
                  <w:tcW w:w="1282" w:type="dxa"/>
                  <w:vAlign w:val="center"/>
                </w:tcPr>
                <w:p w14:paraId="0254F9D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0.0004</w:t>
                  </w:r>
                </w:p>
              </w:tc>
              <w:tc>
                <w:tcPr>
                  <w:tcW w:w="1223" w:type="dxa"/>
                  <w:vAlign w:val="center"/>
                </w:tcPr>
                <w:p w14:paraId="422C19A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0.002</w:t>
                  </w:r>
                </w:p>
              </w:tc>
            </w:tr>
            <w:tr w14:paraId="73DCD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9" w:type="pct"/>
                  <w:vMerge w:val="continue"/>
                  <w:vAlign w:val="center"/>
                </w:tcPr>
                <w:p w14:paraId="75EB885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928" w:type="pct"/>
                  <w:shd w:val="clear" w:color="auto" w:fill="auto"/>
                  <w:vAlign w:val="center"/>
                </w:tcPr>
                <w:p w14:paraId="63E820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NOx</w:t>
                  </w:r>
                </w:p>
              </w:tc>
              <w:tc>
                <w:tcPr>
                  <w:tcW w:w="769" w:type="pct"/>
                  <w:vAlign w:val="center"/>
                </w:tcPr>
                <w:p w14:paraId="2B27F5E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0.004</w:t>
                  </w:r>
                </w:p>
              </w:tc>
              <w:tc>
                <w:tcPr>
                  <w:tcW w:w="728" w:type="pct"/>
                  <w:vAlign w:val="center"/>
                </w:tcPr>
                <w:p w14:paraId="4FE5F8E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0.022</w:t>
                  </w:r>
                </w:p>
              </w:tc>
              <w:tc>
                <w:tcPr>
                  <w:tcW w:w="1282" w:type="dxa"/>
                  <w:vAlign w:val="center"/>
                </w:tcPr>
                <w:p w14:paraId="7D51985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0.004</w:t>
                  </w:r>
                </w:p>
              </w:tc>
              <w:tc>
                <w:tcPr>
                  <w:tcW w:w="1223" w:type="dxa"/>
                  <w:vAlign w:val="center"/>
                </w:tcPr>
                <w:p w14:paraId="5BC653A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0.022</w:t>
                  </w:r>
                </w:p>
              </w:tc>
            </w:tr>
          </w:tbl>
          <w:p w14:paraId="3C615834">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kern w:val="0"/>
                <w:sz w:val="24"/>
                <w:lang w:eastAsia="zh-CN"/>
                <w14:textFill>
                  <w14:solidFill>
                    <w14:schemeClr w14:val="tx1"/>
                  </w14:solidFill>
                </w14:textFill>
              </w:rPr>
              <w:t>调漆、喷漆、</w:t>
            </w:r>
            <w:r>
              <w:rPr>
                <w:rFonts w:hint="default" w:ascii="Times New Roman" w:hAnsi="Times New Roman" w:cs="Times New Roman"/>
                <w:color w:val="000000" w:themeColor="text1"/>
                <w:kern w:val="0"/>
                <w:sz w:val="24"/>
                <w14:textFill>
                  <w14:solidFill>
                    <w14:schemeClr w14:val="tx1"/>
                  </w14:solidFill>
                </w14:textFill>
              </w:rPr>
              <w:t>喷枪清洗废气</w:t>
            </w:r>
          </w:p>
          <w:p w14:paraId="7D8192B0">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r>
              <w:rPr>
                <w:rFonts w:hint="default" w:ascii="Times New Roman" w:hAnsi="Times New Roman" w:cs="Times New Roman"/>
                <w:color w:val="000000" w:themeColor="text1"/>
                <w:kern w:val="0"/>
                <w:sz w:val="24"/>
                <w:lang w:eastAsia="zh-CN"/>
                <w14:textFill>
                  <w14:solidFill>
                    <w14:schemeClr w14:val="tx1"/>
                  </w14:solidFill>
                </w14:textFill>
              </w:rPr>
              <w:t>调漆、喷漆废气</w:t>
            </w:r>
          </w:p>
          <w:p w14:paraId="57DFEAE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w:t>
            </w:r>
            <w:r>
              <w:rPr>
                <w:rFonts w:hint="default" w:ascii="Times New Roman" w:hAnsi="Times New Roman" w:cs="Times New Roman"/>
                <w:color w:val="000000" w:themeColor="text1"/>
                <w:kern w:val="0"/>
                <w:sz w:val="24"/>
                <w14:textFill>
                  <w14:solidFill>
                    <w14:schemeClr w14:val="tx1"/>
                  </w14:solidFill>
                </w14:textFill>
              </w:rPr>
              <w:t>调漆、</w:t>
            </w:r>
            <w:r>
              <w:rPr>
                <w:rFonts w:hint="default" w:ascii="Times New Roman" w:hAnsi="Times New Roman" w:cs="Times New Roman"/>
                <w:color w:val="000000" w:themeColor="text1"/>
                <w:kern w:val="0"/>
                <w:sz w:val="24"/>
                <w:lang w:eastAsia="zh-CN"/>
                <w14:textFill>
                  <w14:solidFill>
                    <w14:schemeClr w14:val="tx1"/>
                  </w14:solidFill>
                </w14:textFill>
              </w:rPr>
              <w:t>喷漆</w:t>
            </w:r>
            <w:r>
              <w:rPr>
                <w:rFonts w:hint="default" w:ascii="Times New Roman" w:hAnsi="Times New Roman" w:cs="Times New Roman"/>
                <w:color w:val="000000" w:themeColor="text1"/>
                <w:sz w:val="24"/>
                <w14:textFill>
                  <w14:solidFill>
                    <w14:schemeClr w14:val="tx1"/>
                  </w14:solidFill>
                </w14:textFill>
              </w:rPr>
              <w:t>过程中会产生有机废气，以非甲烷总烃计，</w:t>
            </w:r>
            <w:r>
              <w:rPr>
                <w:rFonts w:hint="default"/>
                <w:color w:val="auto"/>
                <w:sz w:val="24"/>
              </w:rPr>
              <w:t>调漆位于调漆间，喷漆位于喷漆房</w:t>
            </w:r>
            <w:r>
              <w:rPr>
                <w:rFonts w:hint="default" w:ascii="Times New Roman" w:hAnsi="Times New Roman" w:cs="Times New Roman"/>
                <w:color w:val="000000" w:themeColor="text1"/>
                <w:sz w:val="24"/>
                <w14:textFill>
                  <w14:solidFill>
                    <w14:schemeClr w14:val="tx1"/>
                  </w14:solidFill>
                </w14:textFill>
              </w:rPr>
              <w:t>。项目设置密闭负压喷漆房2间</w:t>
            </w:r>
            <w:r>
              <w:rPr>
                <w:rFonts w:hint="default" w:ascii="Times New Roman" w:hAnsi="Times New Roman" w:eastAsia="宋体" w:cs="Times New Roman"/>
                <w:color w:val="000000" w:themeColor="text1"/>
                <w:sz w:val="24"/>
                <w14:textFill>
                  <w14:solidFill>
                    <w14:schemeClr w14:val="tx1"/>
                  </w14:solidFill>
                </w14:textFill>
              </w:rPr>
              <w:t>（规格为</w:t>
            </w:r>
            <w:r>
              <w:rPr>
                <w:rFonts w:hint="default" w:ascii="Times New Roman" w:hAnsi="Times New Roman" w:eastAsia="宋体" w:cs="Times New Roman"/>
                <w:color w:val="000000" w:themeColor="text1"/>
                <w:sz w:val="24"/>
                <w:lang w:val="en-US" w:eastAsia="zh-CN"/>
                <w14:textFill>
                  <w14:solidFill>
                    <w14:schemeClr w14:val="tx1"/>
                  </w14:solidFill>
                </w14:textFill>
              </w:rPr>
              <w:t>L</w:t>
            </w:r>
            <w:r>
              <w:rPr>
                <w:rFonts w:hint="eastAsia" w:ascii="Times New Roman" w:hAnsi="Times New Roman" w:eastAsia="宋体" w:cs="Times New Roman"/>
                <w:color w:val="000000" w:themeColor="text1"/>
                <w:sz w:val="24"/>
                <w:lang w:val="en-US" w:eastAsia="zh-CN"/>
                <w14:textFill>
                  <w14:solidFill>
                    <w14:schemeClr w14:val="tx1"/>
                  </w14:solidFill>
                </w14:textFill>
              </w:rPr>
              <w:t>5</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lang w:val="en-US" w:eastAsia="zh-CN"/>
                <w14:textFill>
                  <w14:solidFill>
                    <w14:schemeClr w14:val="tx1"/>
                  </w14:solidFill>
                </w14:textFill>
              </w:rPr>
              <w:t>W</w:t>
            </w:r>
            <w:r>
              <w:rPr>
                <w:rFonts w:hint="default" w:ascii="Times New Roman" w:hAnsi="Times New Roman" w:eastAsia="宋体" w:cs="Times New Roman"/>
                <w:color w:val="000000" w:themeColor="text1"/>
                <w:sz w:val="24"/>
                <w14:textFill>
                  <w14:solidFill>
                    <w14:schemeClr w14:val="tx1"/>
                  </w14:solidFill>
                </w14:textFill>
              </w:rPr>
              <w:t>3.5m×</w:t>
            </w:r>
            <w:r>
              <w:rPr>
                <w:rFonts w:hint="default" w:ascii="Times New Roman" w:hAnsi="Times New Roman" w:eastAsia="宋体" w:cs="Times New Roman"/>
                <w:color w:val="000000" w:themeColor="text1"/>
                <w:sz w:val="24"/>
                <w:lang w:val="en-US" w:eastAsia="zh-CN"/>
                <w14:textFill>
                  <w14:solidFill>
                    <w14:schemeClr w14:val="tx1"/>
                  </w14:solidFill>
                </w14:textFill>
              </w:rPr>
              <w:t>H</w:t>
            </w:r>
            <w:r>
              <w:rPr>
                <w:rFonts w:hint="default" w:ascii="Times New Roman" w:hAnsi="Times New Roman" w:eastAsia="宋体" w:cs="Times New Roman"/>
                <w:color w:val="000000" w:themeColor="text1"/>
                <w:sz w:val="24"/>
                <w14:textFill>
                  <w14:solidFill>
                    <w14:schemeClr w14:val="tx1"/>
                  </w14:solidFill>
                </w14:textFill>
              </w:rPr>
              <w:t>2.</w:t>
            </w:r>
            <w:r>
              <w:rPr>
                <w:rFonts w:hint="eastAsia" w:ascii="Times New Roman" w:hAnsi="Times New Roman" w:eastAsia="宋体" w:cs="Times New Roman"/>
                <w:color w:val="000000" w:themeColor="text1"/>
                <w:sz w:val="24"/>
                <w:lang w:val="en-US" w:eastAsia="zh-CN"/>
                <w14:textFill>
                  <w14:solidFill>
                    <w14:schemeClr w14:val="tx1"/>
                  </w14:solidFill>
                </w14:textFill>
              </w:rPr>
              <w:t>5</w:t>
            </w:r>
            <w:r>
              <w:rPr>
                <w:rFonts w:hint="default" w:ascii="Times New Roman" w:hAnsi="Times New Roman" w:eastAsia="宋体" w:cs="Times New Roman"/>
                <w:color w:val="000000" w:themeColor="text1"/>
                <w:sz w:val="24"/>
                <w14:textFill>
                  <w14:solidFill>
                    <w14:schemeClr w14:val="tx1"/>
                  </w14:solidFill>
                </w14:textFill>
              </w:rPr>
              <w:t>m），</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密闭负压</w:t>
            </w:r>
            <w:r>
              <w:rPr>
                <w:rFonts w:hint="eastAsia" w:ascii="Times New Roman" w:hAnsi="Times New Roman" w:eastAsia="宋体" w:cs="Times New Roman"/>
                <w:color w:val="000000" w:themeColor="text1"/>
                <w:sz w:val="24"/>
                <w:lang w:val="en-US" w:eastAsia="zh-CN"/>
                <w14:textFill>
                  <w14:solidFill>
                    <w14:schemeClr w14:val="tx1"/>
                  </w14:solidFill>
                </w14:textFill>
              </w:rPr>
              <w:t>调漆间1间（</w:t>
            </w:r>
            <w:r>
              <w:rPr>
                <w:rFonts w:hint="default" w:ascii="Times New Roman" w:hAnsi="Times New Roman" w:eastAsia="宋体" w:cs="Times New Roman"/>
                <w:color w:val="000000" w:themeColor="text1"/>
                <w:sz w:val="24"/>
                <w14:textFill>
                  <w14:solidFill>
                    <w14:schemeClr w14:val="tx1"/>
                  </w14:solidFill>
                </w14:textFill>
              </w:rPr>
              <w:t>规格为</w:t>
            </w:r>
            <w:r>
              <w:rPr>
                <w:rFonts w:hint="default" w:ascii="Times New Roman" w:hAnsi="Times New Roman" w:eastAsia="宋体" w:cs="Times New Roman"/>
                <w:color w:val="000000" w:themeColor="text1"/>
                <w:sz w:val="24"/>
                <w:lang w:val="en-US" w:eastAsia="zh-CN"/>
                <w14:textFill>
                  <w14:solidFill>
                    <w14:schemeClr w14:val="tx1"/>
                  </w14:solidFill>
                </w14:textFill>
              </w:rPr>
              <w:t>L</w:t>
            </w:r>
            <w:r>
              <w:rPr>
                <w:rFonts w:hint="eastAsia" w:ascii="Times New Roman" w:hAnsi="Times New Roman" w:eastAsia="宋体" w:cs="Times New Roman"/>
                <w:color w:val="000000" w:themeColor="text1"/>
                <w:sz w:val="24"/>
                <w:lang w:val="en-US" w:eastAsia="zh-CN"/>
                <w14:textFill>
                  <w14:solidFill>
                    <w14:schemeClr w14:val="tx1"/>
                  </w14:solidFill>
                </w14:textFill>
              </w:rPr>
              <w:t>2.5</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lang w:val="en-US" w:eastAsia="zh-CN"/>
                <w14:textFill>
                  <w14:solidFill>
                    <w14:schemeClr w14:val="tx1"/>
                  </w14:solidFill>
                </w14:textFill>
              </w:rPr>
              <w:t>W</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lang w:val="en-US" w:eastAsia="zh-CN"/>
                <w14:textFill>
                  <w14:solidFill>
                    <w14:schemeClr w14:val="tx1"/>
                  </w14:solidFill>
                </w14:textFill>
              </w:rPr>
              <w:t>H</w:t>
            </w:r>
            <w:r>
              <w:rPr>
                <w:rFonts w:hint="eastAsia" w:ascii="Times New Roman" w:hAnsi="Times New Roman" w:eastAsia="宋体" w:cs="Times New Roman"/>
                <w:color w:val="000000" w:themeColor="text1"/>
                <w:sz w:val="24"/>
                <w:lang w:val="en-US" w:eastAsia="zh-CN"/>
                <w14:textFill>
                  <w14:solidFill>
                    <w14:schemeClr w14:val="tx1"/>
                  </w14:solidFill>
                </w14:textFill>
              </w:rPr>
              <w:t>1</w:t>
            </w:r>
            <w:r>
              <w:rPr>
                <w:rFonts w:hint="default"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5</w:t>
            </w:r>
            <w:r>
              <w:rPr>
                <w:rFonts w:hint="default" w:ascii="Times New Roman" w:hAnsi="Times New Roman" w:eastAsia="宋体" w:cs="Times New Roman"/>
                <w:color w:val="000000" w:themeColor="text1"/>
                <w:sz w:val="24"/>
                <w14:textFill>
                  <w14:solidFill>
                    <w14:schemeClr w14:val="tx1"/>
                  </w14:solidFill>
                </w14:textFill>
              </w:rPr>
              <w:t>m</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表面涂装包括底漆</w:t>
            </w:r>
            <w:r>
              <w:rPr>
                <w:rFonts w:hint="eastAsia" w:cs="Times New Roman"/>
                <w:color w:val="000000" w:themeColor="text1"/>
                <w:sz w:val="24"/>
                <w:lang w:val="en-US" w:eastAsia="zh-CN"/>
                <w14:textFill>
                  <w14:solidFill>
                    <w14:schemeClr w14:val="tx1"/>
                  </w14:solidFill>
                </w14:textFill>
              </w:rPr>
              <w:t>一</w:t>
            </w:r>
            <w:r>
              <w:rPr>
                <w:rFonts w:hint="default" w:ascii="Times New Roman" w:hAnsi="Times New Roman" w:cs="Times New Roman"/>
                <w:color w:val="000000" w:themeColor="text1"/>
                <w:sz w:val="24"/>
                <w14:textFill>
                  <w14:solidFill>
                    <w14:schemeClr w14:val="tx1"/>
                  </w14:solidFill>
                </w14:textFill>
              </w:rPr>
              <w:t>道。</w:t>
            </w:r>
          </w:p>
          <w:p w14:paraId="6EF83D59">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根据物料平衡，</w:t>
            </w:r>
            <w:r>
              <w:rPr>
                <w:rFonts w:hint="default" w:ascii="Times New Roman" w:hAnsi="Times New Roman" w:cs="Times New Roman"/>
                <w:color w:val="000000" w:themeColor="text1"/>
                <w:sz w:val="24"/>
                <w:lang w:val="en-US" w:eastAsia="zh-CN"/>
                <w14:textFill>
                  <w14:solidFill>
                    <w14:schemeClr w14:val="tx1"/>
                  </w14:solidFill>
                </w14:textFill>
              </w:rPr>
              <w:t>调配后</w:t>
            </w:r>
            <w:r>
              <w:rPr>
                <w:rFonts w:hint="default" w:ascii="Times New Roman" w:hAnsi="Times New Roman" w:cs="Times New Roman"/>
                <w:color w:val="000000" w:themeColor="text1"/>
                <w:sz w:val="24"/>
                <w14:textFill>
                  <w14:solidFill>
                    <w14:schemeClr w14:val="tx1"/>
                  </w14:solidFill>
                </w14:textFill>
              </w:rPr>
              <w:t>水性环氧底漆中固体份含量为</w:t>
            </w:r>
            <w:r>
              <w:rPr>
                <w:rFonts w:hint="eastAsia" w:cs="Times New Roman"/>
                <w:color w:val="000000" w:themeColor="text1"/>
                <w:sz w:val="24"/>
                <w:lang w:val="en-US" w:eastAsia="zh-CN"/>
                <w14:textFill>
                  <w14:solidFill>
                    <w14:schemeClr w14:val="tx1"/>
                  </w14:solidFill>
                </w14:textFill>
              </w:rPr>
              <w:t>3.3282</w:t>
            </w:r>
            <w:r>
              <w:rPr>
                <w:rFonts w:hint="default" w:ascii="Times New Roman" w:hAnsi="Times New Roman" w:cs="Times New Roman"/>
                <w:color w:val="000000" w:themeColor="text1"/>
                <w:sz w:val="24"/>
                <w14:textFill>
                  <w14:solidFill>
                    <w14:schemeClr w14:val="tx1"/>
                  </w14:solidFill>
                </w14:textFill>
              </w:rPr>
              <w:t>t/a，挥发份含量为</w:t>
            </w:r>
            <w:r>
              <w:rPr>
                <w:rFonts w:hint="default" w:ascii="Times New Roman" w:hAnsi="Times New Roman" w:cs="Times New Roman"/>
                <w:color w:val="000000" w:themeColor="text1"/>
                <w:sz w:val="24"/>
                <w:lang w:val="en-US" w:eastAsia="zh-CN"/>
                <w14:textFill>
                  <w14:solidFill>
                    <w14:schemeClr w14:val="tx1"/>
                  </w14:solidFill>
                </w14:textFill>
              </w:rPr>
              <w:t>0.</w:t>
            </w:r>
            <w:r>
              <w:rPr>
                <w:rFonts w:hint="eastAsia" w:cs="Times New Roman"/>
                <w:color w:val="000000" w:themeColor="text1"/>
                <w:sz w:val="24"/>
                <w:lang w:val="en-US" w:eastAsia="zh-CN"/>
                <w14:textFill>
                  <w14:solidFill>
                    <w14:schemeClr w14:val="tx1"/>
                  </w14:solidFill>
                </w14:textFill>
              </w:rPr>
              <w:t>4294</w:t>
            </w:r>
            <w:r>
              <w:rPr>
                <w:rFonts w:hint="default" w:ascii="Times New Roman" w:hAnsi="Times New Roman" w:cs="Times New Roman"/>
                <w:color w:val="000000" w:themeColor="text1"/>
                <w:sz w:val="24"/>
                <w14:textFill>
                  <w14:solidFill>
                    <w14:schemeClr w14:val="tx1"/>
                  </w14:solidFill>
                </w14:textFill>
              </w:rPr>
              <w:t>t/a，水份含量为</w:t>
            </w:r>
            <w:r>
              <w:rPr>
                <w:rFonts w:hint="eastAsia" w:cs="Times New Roman"/>
                <w:color w:val="000000" w:themeColor="text1"/>
                <w:sz w:val="24"/>
                <w:lang w:val="en-US" w:eastAsia="zh-CN"/>
                <w14:textFill>
                  <w14:solidFill>
                    <w14:schemeClr w14:val="tx1"/>
                  </w14:solidFill>
                </w14:textFill>
              </w:rPr>
              <w:t>1.6104</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漆雾产生量为</w:t>
            </w:r>
            <w:r>
              <w:rPr>
                <w:rFonts w:hint="eastAsia" w:cs="Times New Roman" w:eastAsiaTheme="minorEastAsia"/>
                <w:color w:val="000000" w:themeColor="text1"/>
                <w:sz w:val="24"/>
                <w:lang w:val="en-US" w:eastAsia="zh-CN"/>
                <w14:textFill>
                  <w14:solidFill>
                    <w14:schemeClr w14:val="tx1"/>
                  </w14:solidFill>
                </w14:textFill>
              </w:rPr>
              <w:t>1.6641</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t/a。</w:t>
            </w:r>
          </w:p>
          <w:p w14:paraId="7D9CB55E">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lang w:val="en-US" w:eastAsia="zh-CN"/>
                <w14:textFill>
                  <w14:solidFill>
                    <w14:schemeClr w14:val="tx1"/>
                  </w14:solidFill>
                </w14:textFill>
              </w:rPr>
              <w:t>涂料挥发的有机废气中调漆工段占10%，喷漆工段占50%，</w:t>
            </w:r>
            <w:r>
              <w:rPr>
                <w:rFonts w:hint="eastAsia" w:cs="Times New Roman" w:eastAsiaTheme="minorEastAsia"/>
                <w:color w:val="000000" w:themeColor="text1"/>
                <w:sz w:val="24"/>
                <w:lang w:val="en-US" w:eastAsia="zh-CN"/>
                <w14:textFill>
                  <w14:solidFill>
                    <w14:schemeClr w14:val="tx1"/>
                  </w14:solidFill>
                </w14:textFill>
              </w:rPr>
              <w:t>烘干</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工段占40%。则调漆工段挥发的有机废气量为</w:t>
            </w:r>
            <w:r>
              <w:rPr>
                <w:rFonts w:hint="eastAsia" w:cs="Times New Roman" w:eastAsiaTheme="minorEastAsia"/>
                <w:color w:val="000000" w:themeColor="text1"/>
                <w:sz w:val="24"/>
                <w:lang w:val="en-US" w:eastAsia="zh-CN"/>
                <w14:textFill>
                  <w14:solidFill>
                    <w14:schemeClr w14:val="tx1"/>
                  </w14:solidFill>
                </w14:textFill>
              </w:rPr>
              <w:t>0.0428</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t/a、喷漆工段挥发的有机废气量为0.2</w:t>
            </w:r>
            <w:r>
              <w:rPr>
                <w:rFonts w:hint="eastAsia" w:cs="Times New Roman" w:eastAsiaTheme="minorEastAsia"/>
                <w:color w:val="000000" w:themeColor="text1"/>
                <w:sz w:val="24"/>
                <w:lang w:val="en-US" w:eastAsia="zh-CN"/>
                <w14:textFill>
                  <w14:solidFill>
                    <w14:schemeClr w14:val="tx1"/>
                  </w14:solidFill>
                </w14:textFill>
              </w:rPr>
              <w:t>147</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t/a、</w:t>
            </w:r>
            <w:r>
              <w:rPr>
                <w:rFonts w:hint="eastAsia" w:cs="Times New Roman" w:eastAsiaTheme="minorEastAsia"/>
                <w:color w:val="000000" w:themeColor="text1"/>
                <w:sz w:val="24"/>
                <w:lang w:val="en-US" w:eastAsia="zh-CN"/>
                <w14:textFill>
                  <w14:solidFill>
                    <w14:schemeClr w14:val="tx1"/>
                  </w14:solidFill>
                </w14:textFill>
              </w:rPr>
              <w:t>烘干</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工段挥发的有机废气量为0.</w:t>
            </w:r>
            <w:r>
              <w:rPr>
                <w:rFonts w:hint="eastAsia" w:cs="Times New Roman" w:eastAsiaTheme="minorEastAsia"/>
                <w:color w:val="000000" w:themeColor="text1"/>
                <w:sz w:val="24"/>
                <w:lang w:val="en-US" w:eastAsia="zh-CN"/>
                <w14:textFill>
                  <w14:solidFill>
                    <w14:schemeClr w14:val="tx1"/>
                  </w14:solidFill>
                </w14:textFill>
              </w:rPr>
              <w:t>1718</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t/a。</w:t>
            </w:r>
          </w:p>
          <w:p w14:paraId="44566828">
            <w:pPr>
              <w:pStyle w:val="23"/>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调漆</w:t>
            </w:r>
            <w:r>
              <w:rPr>
                <w:rFonts w:hint="default" w:ascii="Times New Roman" w:hAnsi="Times New Roman" w:cs="Times New Roman"/>
                <w:color w:val="000000" w:themeColor="text1"/>
                <w:lang w:val="en-US" w:eastAsia="zh-CN"/>
                <w14:textFill>
                  <w14:solidFill>
                    <w14:schemeClr w14:val="tx1"/>
                  </w14:solidFill>
                </w14:textFill>
              </w:rPr>
              <w:t>工序</w:t>
            </w:r>
            <w:r>
              <w:rPr>
                <w:rFonts w:hint="default" w:ascii="Times New Roman" w:hAnsi="Times New Roman" w:cs="Times New Roman"/>
                <w:color w:val="000000" w:themeColor="text1"/>
                <w14:textFill>
                  <w14:solidFill>
                    <w14:schemeClr w14:val="tx1"/>
                  </w14:solidFill>
                </w14:textFill>
              </w:rPr>
              <w:t>工况为每天工作</w:t>
            </w:r>
            <w:r>
              <w:rPr>
                <w:rFonts w:hint="eastAsia"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t>小时，年工作3</w:t>
            </w:r>
            <w:r>
              <w:rPr>
                <w:rFonts w:hint="eastAsia"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0天</w:t>
            </w:r>
            <w:r>
              <w:rPr>
                <w:rFonts w:hint="default" w:ascii="Times New Roman" w:hAnsi="Times New Roman" w:cs="Times New Roman"/>
                <w:color w:val="000000" w:themeColor="text1"/>
                <w:lang w:eastAsia="zh-CN"/>
                <w14:textFill>
                  <w14:solidFill>
                    <w14:schemeClr w14:val="tx1"/>
                  </w14:solidFill>
                </w14:textFill>
              </w:rPr>
              <w:t>，喷漆</w:t>
            </w:r>
            <w:r>
              <w:rPr>
                <w:rFonts w:hint="default" w:ascii="Times New Roman" w:hAnsi="Times New Roman" w:cs="Times New Roman"/>
                <w:color w:val="000000" w:themeColor="text1"/>
                <w14:textFill>
                  <w14:solidFill>
                    <w14:schemeClr w14:val="tx1"/>
                  </w14:solidFill>
                </w14:textFill>
              </w:rPr>
              <w:t>工序工况为每天工作</w:t>
            </w:r>
            <w:r>
              <w:rPr>
                <w:rFonts w:hint="eastAsia" w:cs="Times New Roman"/>
                <w:color w:val="000000" w:themeColor="text1"/>
                <w:lang w:val="en-US" w:eastAsia="zh-CN"/>
                <w14:textFill>
                  <w14:solidFill>
                    <w14:schemeClr w14:val="tx1"/>
                  </w14:solidFill>
                </w14:textFill>
              </w:rPr>
              <w:t>16</w:t>
            </w:r>
            <w:r>
              <w:rPr>
                <w:rFonts w:hint="default" w:ascii="Times New Roman" w:hAnsi="Times New Roman" w:cs="Times New Roman"/>
                <w:color w:val="000000" w:themeColor="text1"/>
                <w14:textFill>
                  <w14:solidFill>
                    <w14:schemeClr w14:val="tx1"/>
                  </w14:solidFill>
                </w14:textFill>
              </w:rPr>
              <w:t>小时，年工作3</w:t>
            </w:r>
            <w:r>
              <w:rPr>
                <w:rFonts w:hint="eastAsia"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0天。</w:t>
            </w:r>
          </w:p>
          <w:p w14:paraId="41E6A4DE">
            <w:pPr>
              <w:keepNext w:val="0"/>
              <w:keepLines w:val="0"/>
              <w:widowControl/>
              <w:numPr>
                <w:ilvl w:val="0"/>
                <w:numId w:val="18"/>
              </w:numPr>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喷枪清洗废气</w:t>
            </w:r>
          </w:p>
          <w:p w14:paraId="484FA66C">
            <w:pPr>
              <w:keepNext w:val="0"/>
              <w:keepLines w:val="0"/>
              <w:suppressLineNumbers w:val="0"/>
              <w:adjustRightInd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项目喷枪使用自来水对喷枪进行清洗，喷枪清洗在喷漆房内进行，由于喷枪表面占有少量水性漆，则清洗过程会产生的少量挥发性有机废气，清洗时间较短，且喷枪表面占有的少量水性漆产生的挥发性有机废气已包含在调漆、</w:t>
            </w:r>
            <w:r>
              <w:rPr>
                <w:rFonts w:hint="eastAsia" w:cs="Times New Roman" w:eastAsiaTheme="minorEastAsia"/>
                <w:color w:val="000000" w:themeColor="text1"/>
                <w:sz w:val="24"/>
                <w:lang w:eastAsia="zh-CN"/>
                <w14:textFill>
                  <w14:solidFill>
                    <w14:schemeClr w14:val="tx1"/>
                  </w14:solidFill>
                </w14:textFill>
              </w:rPr>
              <w:t>喷漆</w:t>
            </w:r>
            <w:r>
              <w:rPr>
                <w:rFonts w:hint="default" w:ascii="Times New Roman" w:hAnsi="Times New Roman" w:cs="Times New Roman" w:eastAsiaTheme="minorEastAsia"/>
                <w:color w:val="000000" w:themeColor="text1"/>
                <w:sz w:val="24"/>
                <w14:textFill>
                  <w14:solidFill>
                    <w14:schemeClr w14:val="tx1"/>
                  </w14:solidFill>
                </w14:textFill>
              </w:rPr>
              <w:t>工序中，故不再重复计算。</w:t>
            </w:r>
          </w:p>
          <w:p w14:paraId="32B06BE8">
            <w:pPr>
              <w:pStyle w:val="23"/>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喷枪清洗</w:t>
            </w:r>
            <w:r>
              <w:rPr>
                <w:rFonts w:hint="default" w:ascii="Times New Roman" w:hAnsi="Times New Roman" w:cs="Times New Roman"/>
                <w:color w:val="000000" w:themeColor="text1"/>
                <w14:textFill>
                  <w14:solidFill>
                    <w14:schemeClr w14:val="tx1"/>
                  </w14:solidFill>
                </w14:textFill>
              </w:rPr>
              <w:t>工序工况为每天工作1小时，年工作3</w:t>
            </w:r>
            <w:r>
              <w:rPr>
                <w:rFonts w:hint="eastAsia"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0天。</w:t>
            </w:r>
          </w:p>
          <w:p w14:paraId="3528619F">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eastAsia" w:cs="Times New Roman"/>
                <w:b/>
                <w:color w:val="000000" w:themeColor="text1"/>
                <w:sz w:val="24"/>
                <w:lang w:val="en-US" w:eastAsia="zh-CN"/>
                <w14:textFill>
                  <w14:solidFill>
                    <w14:schemeClr w14:val="tx1"/>
                  </w14:solidFill>
                </w14:textFill>
              </w:rPr>
              <w:t>7</w:t>
            </w:r>
            <w:r>
              <w:rPr>
                <w:rFonts w:hint="default" w:ascii="Times New Roman" w:hAnsi="Times New Roman" w:cs="Times New Roman"/>
                <w:b/>
                <w:color w:val="000000" w:themeColor="text1"/>
                <w:sz w:val="24"/>
                <w14:textFill>
                  <w14:solidFill>
                    <w14:schemeClr w14:val="tx1"/>
                  </w14:solidFill>
                </w14:textFill>
              </w:rPr>
              <w:t xml:space="preserve"> 项目调漆、</w:t>
            </w:r>
            <w:r>
              <w:rPr>
                <w:rFonts w:hint="eastAsia" w:cs="Times New Roman"/>
                <w:b/>
                <w:color w:val="000000" w:themeColor="text1"/>
                <w:sz w:val="24"/>
                <w:lang w:eastAsia="zh-CN"/>
                <w14:textFill>
                  <w14:solidFill>
                    <w14:schemeClr w14:val="tx1"/>
                  </w14:solidFill>
                </w14:textFill>
              </w:rPr>
              <w:t>喷漆</w:t>
            </w:r>
            <w:r>
              <w:rPr>
                <w:rFonts w:hint="default" w:ascii="Times New Roman" w:hAnsi="Times New Roman" w:cs="Times New Roman"/>
                <w:b/>
                <w:color w:val="000000" w:themeColor="text1"/>
                <w:sz w:val="24"/>
                <w14:textFill>
                  <w14:solidFill>
                    <w14:schemeClr w14:val="tx1"/>
                  </w14:solidFill>
                </w14:textFill>
              </w:rPr>
              <w:t>、喷枪清洗废气产生情况一览表</w:t>
            </w:r>
          </w:p>
          <w:tbl>
            <w:tblPr>
              <w:tblStyle w:val="6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593"/>
              <w:gridCol w:w="1424"/>
              <w:gridCol w:w="1424"/>
              <w:gridCol w:w="1075"/>
              <w:gridCol w:w="714"/>
              <w:gridCol w:w="1257"/>
              <w:gridCol w:w="979"/>
              <w:gridCol w:w="806"/>
            </w:tblGrid>
            <w:tr w14:paraId="63BB9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98" w:hRule="atLeast"/>
                <w:jc w:val="center"/>
              </w:trPr>
              <w:tc>
                <w:tcPr>
                  <w:tcW w:w="358" w:type="pct"/>
                  <w:vAlign w:val="center"/>
                </w:tcPr>
                <w:p w14:paraId="6935EF6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工段</w:t>
                  </w:r>
                </w:p>
              </w:tc>
              <w:tc>
                <w:tcPr>
                  <w:tcW w:w="860" w:type="pct"/>
                  <w:vAlign w:val="center"/>
                </w:tcPr>
                <w:p w14:paraId="40BB1C2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产品</w:t>
                  </w:r>
                </w:p>
              </w:tc>
              <w:tc>
                <w:tcPr>
                  <w:tcW w:w="860" w:type="pct"/>
                  <w:vAlign w:val="center"/>
                </w:tcPr>
                <w:p w14:paraId="552DDF57">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原料名称</w:t>
                  </w:r>
                </w:p>
              </w:tc>
              <w:tc>
                <w:tcPr>
                  <w:tcW w:w="649" w:type="pct"/>
                  <w:shd w:val="clear" w:color="auto" w:fill="auto"/>
                  <w:vAlign w:val="center"/>
                </w:tcPr>
                <w:p w14:paraId="5BDDEACA">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用量t</w:t>
                  </w:r>
                </w:p>
              </w:tc>
              <w:tc>
                <w:tcPr>
                  <w:tcW w:w="431" w:type="pct"/>
                  <w:shd w:val="clear" w:color="auto" w:fill="auto"/>
                  <w:vAlign w:val="center"/>
                </w:tcPr>
                <w:p w14:paraId="6B852D9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产污</w:t>
                  </w:r>
                </w:p>
                <w:p w14:paraId="6F32A40A">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因子</w:t>
                  </w:r>
                </w:p>
              </w:tc>
              <w:tc>
                <w:tcPr>
                  <w:tcW w:w="759" w:type="pct"/>
                  <w:vAlign w:val="center"/>
                </w:tcPr>
                <w:p w14:paraId="04CBF7AB">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产污系数</w:t>
                  </w:r>
                </w:p>
              </w:tc>
              <w:tc>
                <w:tcPr>
                  <w:tcW w:w="591" w:type="pct"/>
                  <w:vAlign w:val="center"/>
                </w:tcPr>
                <w:p w14:paraId="1FE8FB1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产生量t/a</w:t>
                  </w:r>
                </w:p>
              </w:tc>
              <w:tc>
                <w:tcPr>
                  <w:tcW w:w="487" w:type="pct"/>
                  <w:vAlign w:val="center"/>
                </w:tcPr>
                <w:p w14:paraId="553B6C6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工况</w:t>
                  </w:r>
                </w:p>
              </w:tc>
            </w:tr>
            <w:tr w14:paraId="5DDB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358" w:type="pct"/>
                  <w:vMerge w:val="restart"/>
                  <w:shd w:val="clear" w:color="auto" w:fill="auto"/>
                  <w:vAlign w:val="center"/>
                </w:tcPr>
                <w:p w14:paraId="2EBE0CA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p>
              </w:tc>
              <w:tc>
                <w:tcPr>
                  <w:tcW w:w="860" w:type="pct"/>
                  <w:vMerge w:val="restart"/>
                  <w:shd w:val="clear" w:color="auto" w:fill="auto"/>
                  <w:vAlign w:val="center"/>
                </w:tcPr>
                <w:p w14:paraId="4F1437AE">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sz w:val="21"/>
                      <w:szCs w:val="21"/>
                    </w:rPr>
                    <w:t>光电设备配件</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rPr>
                    <w:t>汽车零部件</w:t>
                  </w:r>
                </w:p>
              </w:tc>
              <w:tc>
                <w:tcPr>
                  <w:tcW w:w="860" w:type="pct"/>
                  <w:shd w:val="clear" w:color="auto" w:fill="auto"/>
                  <w:vAlign w:val="center"/>
                </w:tcPr>
                <w:p w14:paraId="4BF8E0F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水性底漆</w:t>
                  </w:r>
                </w:p>
              </w:tc>
              <w:tc>
                <w:tcPr>
                  <w:tcW w:w="649" w:type="pct"/>
                  <w:shd w:val="clear" w:color="auto" w:fill="auto"/>
                  <w:vAlign w:val="center"/>
                </w:tcPr>
                <w:p w14:paraId="25DB9D0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5.368</w:t>
                  </w:r>
                </w:p>
              </w:tc>
              <w:tc>
                <w:tcPr>
                  <w:tcW w:w="431" w:type="pct"/>
                  <w:shd w:val="clear" w:color="auto" w:fill="auto"/>
                  <w:vAlign w:val="center"/>
                </w:tcPr>
                <w:p w14:paraId="7523F6F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w:t>
                  </w:r>
                </w:p>
                <w:p w14:paraId="7FC5A73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总烃</w:t>
                  </w:r>
                </w:p>
              </w:tc>
              <w:tc>
                <w:tcPr>
                  <w:tcW w:w="759" w:type="pct"/>
                  <w:shd w:val="clear" w:color="auto" w:fill="auto"/>
                  <w:vAlign w:val="center"/>
                </w:tcPr>
                <w:p w14:paraId="5CACA1D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挥发份</w:t>
                  </w:r>
                  <w:r>
                    <w:rPr>
                      <w:rFonts w:hint="eastAsia" w:ascii="Times New Roman" w:hAnsi="Times New Roman" w:eastAsia="宋体" w:cs="Times New Roman"/>
                      <w:color w:val="000000" w:themeColor="text1"/>
                      <w:szCs w:val="21"/>
                      <w:lang w:val="en-US" w:eastAsia="zh-CN"/>
                      <w14:textFill>
                        <w14:solidFill>
                          <w14:schemeClr w14:val="tx1"/>
                        </w14:solidFill>
                      </w14:textFill>
                    </w:rPr>
                    <w:t>8</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eastAsia="宋体" w:cs="Times New Roman"/>
                      <w:color w:val="000000" w:themeColor="text1"/>
                      <w:szCs w:val="21"/>
                      <w:lang w:val="en-US" w:eastAsia="zh-CN"/>
                      <w14:textFill>
                        <w14:solidFill>
                          <w14:schemeClr w14:val="tx1"/>
                        </w14:solidFill>
                      </w14:textFill>
                    </w:rPr>
                    <w:t>调漆工段占10%，喷漆工段占50%</w:t>
                  </w:r>
                </w:p>
              </w:tc>
              <w:tc>
                <w:tcPr>
                  <w:tcW w:w="591" w:type="pct"/>
                  <w:shd w:val="clear" w:color="auto" w:fill="auto"/>
                  <w:vAlign w:val="center"/>
                </w:tcPr>
                <w:p w14:paraId="65C9FC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0.2575</w:t>
                  </w:r>
                </w:p>
              </w:tc>
              <w:tc>
                <w:tcPr>
                  <w:tcW w:w="487" w:type="pct"/>
                  <w:vMerge w:val="restart"/>
                  <w:vAlign w:val="center"/>
                </w:tcPr>
                <w:p w14:paraId="4BF3AA6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5120</w:t>
                  </w:r>
                  <w:r>
                    <w:rPr>
                      <w:rFonts w:hint="default" w:ascii="Times New Roman" w:hAnsi="Times New Roman" w:cs="Times New Roman"/>
                      <w:color w:val="000000" w:themeColor="text1"/>
                      <w14:textFill>
                        <w14:solidFill>
                          <w14:schemeClr w14:val="tx1"/>
                        </w14:solidFill>
                      </w14:textFill>
                    </w:rPr>
                    <w:t>h/a</w:t>
                  </w:r>
                </w:p>
              </w:tc>
            </w:tr>
            <w:tr w14:paraId="1E8BE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358" w:type="pct"/>
                  <w:vMerge w:val="continue"/>
                  <w:shd w:val="clear" w:color="auto" w:fill="auto"/>
                  <w:vAlign w:val="center"/>
                </w:tcPr>
                <w:p w14:paraId="458C607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860" w:type="pct"/>
                  <w:vMerge w:val="continue"/>
                  <w:shd w:val="clear" w:color="auto" w:fill="auto"/>
                  <w:vAlign w:val="center"/>
                </w:tcPr>
                <w:p w14:paraId="64037F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860" w:type="pct"/>
                  <w:shd w:val="clear" w:color="auto" w:fill="auto"/>
                  <w:vAlign w:val="center"/>
                </w:tcPr>
                <w:p w14:paraId="594116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水性底漆</w:t>
                  </w:r>
                </w:p>
              </w:tc>
              <w:tc>
                <w:tcPr>
                  <w:tcW w:w="649" w:type="pct"/>
                  <w:shd w:val="clear" w:color="auto" w:fill="auto"/>
                  <w:vAlign w:val="center"/>
                </w:tcPr>
                <w:p w14:paraId="1B0479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5.368*50%</w:t>
                  </w:r>
                </w:p>
              </w:tc>
              <w:tc>
                <w:tcPr>
                  <w:tcW w:w="431" w:type="pct"/>
                  <w:shd w:val="clear" w:color="auto" w:fill="auto"/>
                  <w:vAlign w:val="center"/>
                </w:tcPr>
                <w:p w14:paraId="58137E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759" w:type="pct"/>
                  <w:shd w:val="clear" w:color="auto" w:fill="auto"/>
                  <w:vAlign w:val="center"/>
                </w:tcPr>
                <w:p w14:paraId="50AFCC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固体份含量的</w:t>
                  </w:r>
                  <w:r>
                    <w:rPr>
                      <w:rFonts w:hint="default" w:ascii="Times New Roman" w:hAnsi="Times New Roman" w:cs="Times New Roman"/>
                      <w:color w:val="000000" w:themeColor="text1"/>
                      <w:szCs w:val="21"/>
                      <w:lang w:val="en-US" w:eastAsia="zh-CN"/>
                      <w14:textFill>
                        <w14:solidFill>
                          <w14:schemeClr w14:val="tx1"/>
                        </w14:solidFill>
                      </w14:textFill>
                    </w:rPr>
                    <w:t>50</w:t>
                  </w:r>
                  <w:r>
                    <w:rPr>
                      <w:rFonts w:hint="default" w:ascii="Times New Roman" w:hAnsi="Times New Roman" w:cs="Times New Roman"/>
                      <w:color w:val="000000" w:themeColor="text1"/>
                      <w:szCs w:val="21"/>
                      <w14:textFill>
                        <w14:solidFill>
                          <w14:schemeClr w14:val="tx1"/>
                        </w14:solidFill>
                      </w14:textFill>
                    </w:rPr>
                    <w:t>%</w:t>
                  </w:r>
                </w:p>
              </w:tc>
              <w:tc>
                <w:tcPr>
                  <w:tcW w:w="591" w:type="pct"/>
                  <w:shd w:val="clear" w:color="auto" w:fill="auto"/>
                  <w:vAlign w:val="center"/>
                </w:tcPr>
                <w:p w14:paraId="3C87F6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1.6641</w:t>
                  </w:r>
                </w:p>
              </w:tc>
              <w:tc>
                <w:tcPr>
                  <w:tcW w:w="487" w:type="pct"/>
                  <w:vMerge w:val="continue"/>
                  <w:vAlign w:val="center"/>
                </w:tcPr>
                <w:p w14:paraId="41ED9D6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r>
          </w:tbl>
          <w:p w14:paraId="404FC756">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风量核算：</w:t>
            </w:r>
          </w:p>
          <w:p w14:paraId="4F9F0190">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项目调漆</w:t>
            </w:r>
            <w:r>
              <w:rPr>
                <w:rFonts w:hint="eastAsia" w:cs="Times New Roman" w:eastAsiaTheme="minorEastAsia"/>
                <w:color w:val="000000" w:themeColor="text1"/>
                <w:sz w:val="24"/>
                <w:lang w:val="en-US" w:eastAsia="zh-CN"/>
                <w14:textFill>
                  <w14:solidFill>
                    <w14:schemeClr w14:val="tx1"/>
                  </w14:solidFill>
                </w14:textFill>
              </w:rPr>
              <w:t>位于密闭调漆间内</w:t>
            </w:r>
            <w:r>
              <w:rPr>
                <w:rFonts w:hint="default" w:ascii="Times New Roman" w:hAnsi="Times New Roman" w:cs="Times New Roman" w:eastAsiaTheme="minorEastAsia"/>
                <w:color w:val="000000" w:themeColor="text1"/>
                <w:sz w:val="24"/>
                <w14:textFill>
                  <w14:solidFill>
                    <w14:schemeClr w14:val="tx1"/>
                  </w14:solidFill>
                </w14:textFill>
              </w:rPr>
              <w:t>、</w:t>
            </w:r>
            <w:r>
              <w:rPr>
                <w:rFonts w:hint="eastAsia" w:cs="Times New Roman" w:eastAsiaTheme="minorEastAsia"/>
                <w:color w:val="000000" w:themeColor="text1"/>
                <w:sz w:val="24"/>
                <w:lang w:eastAsia="zh-CN"/>
                <w14:textFill>
                  <w14:solidFill>
                    <w14:schemeClr w14:val="tx1"/>
                  </w14:solidFill>
                </w14:textFill>
              </w:rPr>
              <w:t>喷漆</w:t>
            </w:r>
            <w:r>
              <w:rPr>
                <w:rFonts w:hint="default" w:ascii="Times New Roman" w:hAnsi="Times New Roman" w:cs="Times New Roman" w:eastAsiaTheme="minorEastAsia"/>
                <w:color w:val="000000" w:themeColor="text1"/>
                <w:sz w:val="24"/>
                <w14:textFill>
                  <w14:solidFill>
                    <w14:schemeClr w14:val="tx1"/>
                  </w14:solidFill>
                </w14:textFill>
              </w:rPr>
              <w:t>、喷枪清洗均位于两个密闭喷</w:t>
            </w:r>
            <w:r>
              <w:rPr>
                <w:rFonts w:hint="eastAsia" w:cs="Times New Roman" w:eastAsiaTheme="minorEastAsia"/>
                <w:color w:val="000000" w:themeColor="text1"/>
                <w:sz w:val="24"/>
                <w:lang w:val="en-US" w:eastAsia="zh-CN"/>
                <w14:textFill>
                  <w14:solidFill>
                    <w14:schemeClr w14:val="tx1"/>
                  </w14:solidFill>
                </w14:textFill>
              </w:rPr>
              <w:t>漆</w:t>
            </w:r>
            <w:r>
              <w:rPr>
                <w:rFonts w:hint="default" w:ascii="Times New Roman" w:hAnsi="Times New Roman" w:cs="Times New Roman" w:eastAsiaTheme="minorEastAsia"/>
                <w:color w:val="000000" w:themeColor="text1"/>
                <w:sz w:val="24"/>
                <w14:textFill>
                  <w14:solidFill>
                    <w14:schemeClr w14:val="tx1"/>
                  </w14:solidFill>
                </w14:textFill>
              </w:rPr>
              <w:t>房内，拟采用密闭负压收集。</w:t>
            </w:r>
          </w:p>
          <w:p w14:paraId="220BCA8E">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根据《机械工业采暖通风与空调设计手册》（许居鹓主编，同济大学出版社），排风量采用换气次数法确定全面通风量： </w:t>
            </w:r>
          </w:p>
          <w:p w14:paraId="396669E0">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L= nVi </w:t>
            </w:r>
          </w:p>
          <w:p w14:paraId="28F88A5F">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式中：L——全面通风量（m</w:t>
            </w:r>
            <w:r>
              <w:rPr>
                <w:rFonts w:hint="default" w:ascii="Times New Roman" w:hAnsi="Times New Roman" w:cs="Times New Roman" w:eastAsiaTheme="minorEastAsia"/>
                <w:color w:val="000000" w:themeColor="text1"/>
                <w:sz w:val="24"/>
                <w:vertAlign w:val="superscript"/>
                <w14:textFill>
                  <w14:solidFill>
                    <w14:schemeClr w14:val="tx1"/>
                  </w14:solidFill>
                </w14:textFill>
              </w:rPr>
              <w:t>3</w:t>
            </w:r>
            <w:r>
              <w:rPr>
                <w:rFonts w:hint="default" w:ascii="Times New Roman" w:hAnsi="Times New Roman" w:cs="Times New Roman" w:eastAsiaTheme="minorEastAsia"/>
                <w:color w:val="000000" w:themeColor="text1"/>
                <w:sz w:val="24"/>
                <w14:textFill>
                  <w14:solidFill>
                    <w14:schemeClr w14:val="tx1"/>
                  </w14:solidFill>
                </w14:textFill>
              </w:rPr>
              <w:t xml:space="preserve"> /h） </w:t>
            </w:r>
          </w:p>
          <w:p w14:paraId="61E129BD">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n——换气次数（次/h），根据《工业企业设计卫生标准》规定：“有毒易燃危险气体换气次数不小于12次/h”，本项目喷漆房换气次数按60次/h 计。</w:t>
            </w:r>
          </w:p>
          <w:p w14:paraId="160B1F97">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24"/>
                <w:lang w:val="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eastAsia" w:cs="Times New Roman"/>
                <w:b/>
                <w:color w:val="000000" w:themeColor="text1"/>
                <w:sz w:val="24"/>
                <w:lang w:val="en-US" w:eastAsia="zh-CN"/>
                <w14:textFill>
                  <w14:solidFill>
                    <w14:schemeClr w14:val="tx1"/>
                  </w14:solidFill>
                </w14:textFill>
              </w:rPr>
              <w:t>8</w:t>
            </w:r>
            <w:r>
              <w:rPr>
                <w:rFonts w:hint="default" w:ascii="Times New Roman" w:hAnsi="Times New Roman" w:cs="Times New Roman"/>
                <w:b/>
                <w:color w:val="000000" w:themeColor="text1"/>
                <w:sz w:val="24"/>
                <w14:textFill>
                  <w14:solidFill>
                    <w14:schemeClr w14:val="tx1"/>
                  </w14:solidFill>
                </w14:textFill>
              </w:rPr>
              <w:t xml:space="preserve">  喷漆房换气情况一览表</w:t>
            </w:r>
          </w:p>
          <w:tbl>
            <w:tblPr>
              <w:tblStyle w:val="6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2486"/>
              <w:gridCol w:w="985"/>
              <w:gridCol w:w="1448"/>
              <w:gridCol w:w="1666"/>
            </w:tblGrid>
            <w:tr w14:paraId="1B806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20" w:type="pct"/>
                  <w:vAlign w:val="center"/>
                </w:tcPr>
                <w:p w14:paraId="43C794DC">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车间名称</w:t>
                  </w:r>
                </w:p>
              </w:tc>
              <w:tc>
                <w:tcPr>
                  <w:tcW w:w="1502" w:type="pct"/>
                  <w:vAlign w:val="center"/>
                </w:tcPr>
                <w:p w14:paraId="5AA68DD1">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车间尺寸m</w:t>
                  </w:r>
                </w:p>
              </w:tc>
              <w:tc>
                <w:tcPr>
                  <w:tcW w:w="595" w:type="pct"/>
                  <w:vAlign w:val="center"/>
                </w:tcPr>
                <w:p w14:paraId="429B793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车间</w:t>
                  </w:r>
                </w:p>
                <w:p w14:paraId="61864191">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数量</w:t>
                  </w:r>
                </w:p>
              </w:tc>
              <w:tc>
                <w:tcPr>
                  <w:tcW w:w="874" w:type="pct"/>
                  <w:vAlign w:val="center"/>
                </w:tcPr>
                <w:p w14:paraId="768E4AEA">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换气次数</w:t>
                  </w:r>
                </w:p>
                <w:p w14:paraId="4BDCDAC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（次/小时）</w:t>
                  </w:r>
                </w:p>
              </w:tc>
              <w:tc>
                <w:tcPr>
                  <w:tcW w:w="1007" w:type="pct"/>
                  <w:vAlign w:val="center"/>
                </w:tcPr>
                <w:p w14:paraId="72C21A8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整体换风量（m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/h）</w:t>
                  </w:r>
                </w:p>
              </w:tc>
            </w:tr>
            <w:tr w14:paraId="6DBE5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0" w:type="pct"/>
                  <w:shd w:val="clear" w:color="auto" w:fill="auto"/>
                  <w:vAlign w:val="center"/>
                </w:tcPr>
                <w:p w14:paraId="281A737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喷漆房</w:t>
                  </w:r>
                </w:p>
              </w:tc>
              <w:tc>
                <w:tcPr>
                  <w:tcW w:w="1502" w:type="pct"/>
                  <w:shd w:val="clear" w:color="auto" w:fill="auto"/>
                  <w:vAlign w:val="center"/>
                </w:tcPr>
                <w:p w14:paraId="19CBA5B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H</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m</w:t>
                  </w:r>
                </w:p>
              </w:tc>
              <w:tc>
                <w:tcPr>
                  <w:tcW w:w="595" w:type="pct"/>
                  <w:vAlign w:val="center"/>
                </w:tcPr>
                <w:p w14:paraId="34A069D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874" w:type="pct"/>
                  <w:vAlign w:val="center"/>
                </w:tcPr>
                <w:p w14:paraId="090A391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60</w:t>
                  </w:r>
                </w:p>
              </w:tc>
              <w:tc>
                <w:tcPr>
                  <w:tcW w:w="1667" w:type="dxa"/>
                  <w:vAlign w:val="center"/>
                </w:tcPr>
                <w:p w14:paraId="683C56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7200</w:t>
                  </w:r>
                </w:p>
              </w:tc>
            </w:tr>
            <w:tr w14:paraId="2C15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0" w:type="pct"/>
                  <w:shd w:val="clear" w:color="auto" w:fill="auto"/>
                  <w:vAlign w:val="center"/>
                </w:tcPr>
                <w:p w14:paraId="39B1A8D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调漆间</w:t>
                  </w:r>
                </w:p>
              </w:tc>
              <w:tc>
                <w:tcPr>
                  <w:tcW w:w="1502" w:type="pct"/>
                  <w:shd w:val="clear" w:color="auto" w:fill="auto"/>
                  <w:vAlign w:val="center"/>
                </w:tcPr>
                <w:p w14:paraId="6FA7C28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L</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H</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m</w:t>
                  </w:r>
                </w:p>
              </w:tc>
              <w:tc>
                <w:tcPr>
                  <w:tcW w:w="595" w:type="pct"/>
                  <w:vAlign w:val="center"/>
                </w:tcPr>
                <w:p w14:paraId="11DEC79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874" w:type="pct"/>
                  <w:vAlign w:val="center"/>
                </w:tcPr>
                <w:p w14:paraId="2A9C43E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60</w:t>
                  </w:r>
                </w:p>
              </w:tc>
              <w:tc>
                <w:tcPr>
                  <w:tcW w:w="1667" w:type="dxa"/>
                  <w:vAlign w:val="center"/>
                </w:tcPr>
                <w:p w14:paraId="47E4B5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2700</w:t>
                  </w:r>
                </w:p>
              </w:tc>
            </w:tr>
            <w:tr w14:paraId="05240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2" w:type="pct"/>
                  <w:gridSpan w:val="4"/>
                  <w:shd w:val="clear" w:color="auto" w:fill="auto"/>
                  <w:vAlign w:val="center"/>
                </w:tcPr>
                <w:p w14:paraId="0F5FFC2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合计</w:t>
                  </w:r>
                </w:p>
              </w:tc>
              <w:tc>
                <w:tcPr>
                  <w:tcW w:w="1667" w:type="dxa"/>
                  <w:shd w:val="clear" w:color="auto" w:fill="auto"/>
                  <w:vAlign w:val="center"/>
                </w:tcPr>
                <w:p w14:paraId="32F595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9900</w:t>
                  </w:r>
                </w:p>
              </w:tc>
            </w:tr>
          </w:tbl>
          <w:p w14:paraId="5960BD89">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综上所述，项目喷漆房</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调漆房</w:t>
            </w:r>
            <w:r>
              <w:rPr>
                <w:rFonts w:hint="default" w:ascii="Times New Roman" w:hAnsi="Times New Roman" w:cs="Times New Roman"/>
                <w:color w:val="000000" w:themeColor="text1"/>
                <w:sz w:val="24"/>
                <w14:textFill>
                  <w14:solidFill>
                    <w14:schemeClr w14:val="tx1"/>
                  </w14:solidFill>
                </w14:textFill>
              </w:rPr>
              <w:t>风机风量为</w:t>
            </w:r>
            <w:r>
              <w:rPr>
                <w:rFonts w:hint="eastAsia" w:cs="Times New Roman"/>
                <w:color w:val="000000" w:themeColor="text1"/>
                <w:sz w:val="24"/>
                <w:lang w:val="en-US" w:eastAsia="zh-CN"/>
                <w14:textFill>
                  <w14:solidFill>
                    <w14:schemeClr w14:val="tx1"/>
                  </w14:solidFill>
                </w14:textFill>
              </w:rPr>
              <w:t>9900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综合考虑风阻损耗等影响，按计算风量的1.2倍取值，则喷漆房</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调漆房</w:t>
            </w:r>
            <w:r>
              <w:rPr>
                <w:rFonts w:hint="default" w:ascii="Times New Roman" w:hAnsi="Times New Roman" w:cs="Times New Roman"/>
                <w:color w:val="000000" w:themeColor="text1"/>
                <w:sz w:val="24"/>
                <w14:textFill>
                  <w14:solidFill>
                    <w14:schemeClr w14:val="tx1"/>
                  </w14:solidFill>
                </w14:textFill>
              </w:rPr>
              <w:t>风机风量为</w:t>
            </w:r>
            <w:r>
              <w:rPr>
                <w:rFonts w:hint="eastAsia" w:cs="Times New Roman"/>
                <w:color w:val="000000" w:themeColor="text1"/>
                <w:sz w:val="24"/>
                <w:lang w:val="en-US" w:eastAsia="zh-CN"/>
                <w14:textFill>
                  <w14:solidFill>
                    <w14:schemeClr w14:val="tx1"/>
                  </w14:solidFill>
                </w14:textFill>
              </w:rPr>
              <w:t>11880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/h，取整为</w:t>
            </w:r>
            <w:r>
              <w:rPr>
                <w:rFonts w:hint="eastAsia" w:cs="Times New Roman"/>
                <w:color w:val="000000" w:themeColor="text1"/>
                <w:sz w:val="24"/>
                <w:lang w:val="en-US" w:eastAsia="zh-CN"/>
                <w14:textFill>
                  <w14:solidFill>
                    <w14:schemeClr w14:val="tx1"/>
                  </w14:solidFill>
                </w14:textFill>
              </w:rPr>
              <w:t>12000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6F540C67">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default" w:ascii="Times New Roman" w:hAnsi="Times New Roman" w:cs="Times New Roman"/>
                <w:color w:val="000000" w:themeColor="text1"/>
                <w:kern w:val="0"/>
                <w:sz w:val="24"/>
                <w:lang w:eastAsia="zh-CN"/>
                <w14:textFill>
                  <w14:solidFill>
                    <w14:schemeClr w14:val="tx1"/>
                  </w14:solidFill>
                </w14:textFill>
              </w:rPr>
              <w:t>调漆、</w:t>
            </w:r>
            <w:r>
              <w:rPr>
                <w:rFonts w:hint="eastAsia" w:ascii="Times New Roman" w:hAnsi="Times New Roman" w:eastAsia="宋体" w:cs="Times New Roman"/>
                <w:color w:val="000000" w:themeColor="text1"/>
                <w:kern w:val="0"/>
                <w:sz w:val="24"/>
                <w:lang w:eastAsia="zh-CN"/>
                <w14:textFill>
                  <w14:solidFill>
                    <w14:schemeClr w14:val="tx1"/>
                  </w14:solidFill>
                </w14:textFill>
              </w:rPr>
              <w:t>喷漆</w:t>
            </w:r>
            <w:r>
              <w:rPr>
                <w:rFonts w:hint="default" w:ascii="Times New Roman" w:hAnsi="Times New Roman" w:eastAsia="宋体" w:cs="Times New Roman"/>
                <w:color w:val="000000" w:themeColor="text1"/>
                <w:kern w:val="0"/>
                <w:sz w:val="24"/>
                <w:lang w:eastAsia="zh-CN"/>
                <w14:textFill>
                  <w14:solidFill>
                    <w14:schemeClr w14:val="tx1"/>
                  </w14:solidFill>
                </w14:textFill>
              </w:rPr>
              <w:t>、喷枪清洗</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工序</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年运行5120h</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，风机风量</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为12000</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/h，</w:t>
            </w:r>
            <w:r>
              <w:rPr>
                <w:rFonts w:hint="default" w:ascii="Times New Roman" w:hAnsi="Times New Roman" w:cs="Times New Roman"/>
                <w:color w:val="000000" w:themeColor="text1"/>
                <w:kern w:val="0"/>
                <w:sz w:val="24"/>
                <w:lang w:eastAsia="zh-CN"/>
                <w14:textFill>
                  <w14:solidFill>
                    <w14:schemeClr w14:val="tx1"/>
                  </w14:solidFill>
                </w14:textFill>
              </w:rPr>
              <w:t>调漆、</w:t>
            </w:r>
            <w:r>
              <w:rPr>
                <w:rFonts w:hint="eastAsia" w:ascii="Times New Roman" w:hAnsi="Times New Roman" w:eastAsia="宋体" w:cs="Times New Roman"/>
                <w:color w:val="000000" w:themeColor="text1"/>
                <w:kern w:val="0"/>
                <w:sz w:val="24"/>
                <w:lang w:eastAsia="zh-CN"/>
                <w14:textFill>
                  <w14:solidFill>
                    <w14:schemeClr w14:val="tx1"/>
                  </w14:solidFill>
                </w14:textFill>
              </w:rPr>
              <w:t>喷漆</w:t>
            </w:r>
            <w:r>
              <w:rPr>
                <w:rFonts w:hint="default" w:ascii="Times New Roman" w:hAnsi="Times New Roman" w:eastAsia="宋体" w:cs="Times New Roman"/>
                <w:color w:val="000000" w:themeColor="text1"/>
                <w:kern w:val="0"/>
                <w:sz w:val="24"/>
                <w:lang w:eastAsia="zh-CN"/>
                <w14:textFill>
                  <w14:solidFill>
                    <w14:schemeClr w14:val="tx1"/>
                  </w14:solidFill>
                </w14:textFill>
              </w:rPr>
              <w:t>、喷枪清洗废气非甲烷总烃产生量为</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0.2575</w:t>
            </w:r>
            <w:r>
              <w:rPr>
                <w:rFonts w:hint="default" w:ascii="Times New Roman" w:hAnsi="Times New Roman" w:eastAsia="宋体" w:cs="Times New Roman"/>
                <w:color w:val="000000" w:themeColor="text1"/>
                <w:kern w:val="0"/>
                <w:sz w:val="24"/>
                <w:lang w:eastAsia="zh-CN"/>
                <w14:textFill>
                  <w14:solidFill>
                    <w14:schemeClr w14:val="tx1"/>
                  </w14:solidFill>
                </w14:textFill>
              </w:rPr>
              <w:t>t/a，颗粒物产生总量为</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1.6641</w:t>
            </w:r>
            <w:r>
              <w:rPr>
                <w:rFonts w:hint="default" w:ascii="Times New Roman" w:hAnsi="Times New Roman" w:eastAsia="宋体" w:cs="Times New Roman"/>
                <w:color w:val="000000" w:themeColor="text1"/>
                <w:kern w:val="0"/>
                <w:sz w:val="24"/>
                <w:lang w:eastAsia="zh-CN"/>
                <w14:textFill>
                  <w14:solidFill>
                    <w14:schemeClr w14:val="tx1"/>
                  </w14:solidFill>
                </w14:textFill>
              </w:rPr>
              <w:t>t/a。</w:t>
            </w:r>
            <w:r>
              <w:rPr>
                <w:rFonts w:hint="default" w:ascii="Times New Roman" w:hAnsi="Times New Roman" w:cs="Times New Roman"/>
                <w:color w:val="000000" w:themeColor="text1"/>
                <w:kern w:val="0"/>
                <w:sz w:val="24"/>
                <w:lang w:eastAsia="zh-CN"/>
                <w14:textFill>
                  <w14:solidFill>
                    <w14:schemeClr w14:val="tx1"/>
                  </w14:solidFill>
                </w14:textFill>
              </w:rPr>
              <w:t>调漆</w:t>
            </w:r>
            <w:r>
              <w:rPr>
                <w:rFonts w:hint="eastAsia" w:cs="Times New Roman"/>
                <w:color w:val="000000" w:themeColor="text1"/>
                <w:kern w:val="0"/>
                <w:sz w:val="24"/>
                <w:lang w:val="en-US" w:eastAsia="zh-CN"/>
                <w14:textFill>
                  <w14:solidFill>
                    <w14:schemeClr w14:val="tx1"/>
                  </w14:solidFill>
                </w14:textFill>
              </w:rPr>
              <w:t>间</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eastAsia" w:cs="Times New Roman"/>
                <w:color w:val="000000" w:themeColor="text1"/>
                <w:kern w:val="0"/>
                <w:sz w:val="24"/>
                <w:lang w:val="en-US" w:eastAsia="zh-CN"/>
                <w14:textFill>
                  <w14:solidFill>
                    <w14:schemeClr w14:val="tx1"/>
                  </w14:solidFill>
                </w14:textFill>
              </w:rPr>
              <w:t>喷漆房</w:t>
            </w:r>
            <w:r>
              <w:rPr>
                <w:rFonts w:hint="default" w:ascii="Times New Roman" w:hAnsi="Times New Roman" w:cs="Times New Roman"/>
                <w:color w:val="000000" w:themeColor="text1"/>
                <w:kern w:val="0"/>
                <w:sz w:val="24"/>
                <w14:textFill>
                  <w14:solidFill>
                    <w14:schemeClr w14:val="tx1"/>
                  </w14:solidFill>
                </w14:textFill>
              </w:rPr>
              <w:t>密闭负压收集</w:t>
            </w:r>
            <w:r>
              <w:rPr>
                <w:rFonts w:hint="default" w:ascii="Times New Roman" w:hAnsi="Times New Roman" w:eastAsia="宋体" w:cs="Times New Roman"/>
                <w:color w:val="000000" w:themeColor="text1"/>
                <w:kern w:val="0"/>
                <w:sz w:val="24"/>
                <w:lang w:eastAsia="zh-CN"/>
                <w14:textFill>
                  <w14:solidFill>
                    <w14:schemeClr w14:val="tx1"/>
                  </w14:solidFill>
                </w14:textFill>
              </w:rPr>
              <w:t>后+</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水帘柜+干式过滤+</w:t>
            </w:r>
            <w:r>
              <w:rPr>
                <w:rFonts w:hint="default" w:ascii="Times New Roman" w:hAnsi="Times New Roman" w:eastAsia="宋体" w:cs="Times New Roman"/>
                <w:color w:val="000000" w:themeColor="text1"/>
                <w:kern w:val="0"/>
                <w:sz w:val="24"/>
                <w:lang w:eastAsia="zh-CN"/>
                <w14:textFill>
                  <w14:solidFill>
                    <w14:schemeClr w14:val="tx1"/>
                  </w14:solidFill>
                </w14:textFill>
              </w:rPr>
              <w:t>两级活性炭吸附装置处理后通过1根</w:t>
            </w:r>
            <w:r>
              <w:rPr>
                <w:rFonts w:hint="eastAsia" w:ascii="Times New Roman" w:hAnsi="Times New Roman" w:eastAsia="宋体" w:cs="Times New Roman"/>
                <w:color w:val="000000" w:themeColor="text1"/>
                <w:kern w:val="0"/>
                <w:sz w:val="24"/>
                <w:lang w:eastAsia="zh-CN"/>
                <w14:textFill>
                  <w14:solidFill>
                    <w14:schemeClr w14:val="tx1"/>
                  </w14:solidFill>
                </w14:textFill>
              </w:rPr>
              <w:t>15</w:t>
            </w:r>
            <w:r>
              <w:rPr>
                <w:rFonts w:hint="default" w:ascii="Times New Roman" w:hAnsi="Times New Roman" w:eastAsia="宋体" w:cs="Times New Roman"/>
                <w:color w:val="000000" w:themeColor="text1"/>
                <w:kern w:val="0"/>
                <w:sz w:val="24"/>
                <w:lang w:eastAsia="zh-CN"/>
                <w14:textFill>
                  <w14:solidFill>
                    <w14:schemeClr w14:val="tx1"/>
                  </w14:solidFill>
                </w14:textFill>
              </w:rPr>
              <w:t>m高的排气筒DA00</w:t>
            </w:r>
            <w:r>
              <w:rPr>
                <w:rFonts w:hint="eastAsia" w:ascii="Times New Roman" w:hAnsi="Times New Roman" w:eastAsia="宋体" w:cs="Times New Roman"/>
                <w:color w:val="000000" w:themeColor="text1"/>
                <w:kern w:val="0"/>
                <w:sz w:val="24"/>
                <w:lang w:eastAsia="zh-CN"/>
                <w14:textFill>
                  <w14:solidFill>
                    <w14:schemeClr w14:val="tx1"/>
                  </w14:solidFill>
                </w14:textFill>
              </w:rPr>
              <w:t>3</w:t>
            </w:r>
            <w:r>
              <w:rPr>
                <w:rFonts w:hint="default" w:ascii="Times New Roman" w:hAnsi="Times New Roman" w:eastAsia="宋体" w:cs="Times New Roman"/>
                <w:color w:val="000000" w:themeColor="text1"/>
                <w:kern w:val="0"/>
                <w:sz w:val="24"/>
                <w:lang w:eastAsia="zh-CN"/>
                <w14:textFill>
                  <w14:solidFill>
                    <w14:schemeClr w14:val="tx1"/>
                  </w14:solidFill>
                </w14:textFill>
              </w:rPr>
              <w:t>排放。</w:t>
            </w:r>
            <w:r>
              <w:rPr>
                <w:rFonts w:hint="default" w:ascii="Times New Roman" w:hAnsi="Times New Roman" w:cs="Times New Roman"/>
                <w:color w:val="000000" w:themeColor="text1"/>
                <w:sz w:val="24"/>
                <w14:textFill>
                  <w14:solidFill>
                    <w14:schemeClr w14:val="tx1"/>
                  </w14:solidFill>
                </w14:textFill>
              </w:rPr>
              <w:t>废气收集效率按95%计，漆雾处理效率按95%计，两级活性炭吸附装置处理效率按90%计。</w:t>
            </w:r>
          </w:p>
          <w:p w14:paraId="066CD13E">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cs="Times New Roman"/>
                <w:b/>
                <w:color w:val="000000" w:themeColor="text1"/>
                <w:kern w:val="0"/>
                <w:sz w:val="24"/>
                <w:lang w:val="en-US" w:eastAsia="zh-CN"/>
                <w14:textFill>
                  <w14:solidFill>
                    <w14:schemeClr w14:val="tx1"/>
                  </w14:solidFill>
                </w14:textFill>
              </w:rPr>
              <w:t>9</w:t>
            </w:r>
            <w:r>
              <w:rPr>
                <w:rFonts w:hint="default" w:ascii="Times New Roman" w:hAnsi="Times New Roman" w:cs="Times New Roman"/>
                <w:b/>
                <w:color w:val="000000" w:themeColor="text1"/>
                <w:kern w:val="0"/>
                <w:sz w:val="24"/>
                <w14:textFill>
                  <w14:solidFill>
                    <w14:schemeClr w14:val="tx1"/>
                  </w14:solidFill>
                </w14:textFill>
              </w:rPr>
              <w:t xml:space="preserve">  项目</w:t>
            </w:r>
            <w:r>
              <w:rPr>
                <w:rFonts w:hint="default" w:ascii="Times New Roman" w:hAnsi="Times New Roman" w:cs="Times New Roman"/>
                <w:b/>
                <w:bCs/>
                <w:color w:val="000000" w:themeColor="text1"/>
                <w:kern w:val="0"/>
                <w:sz w:val="24"/>
                <w14:textFill>
                  <w14:solidFill>
                    <w14:schemeClr w14:val="tx1"/>
                  </w14:solidFill>
                </w14:textFill>
              </w:rPr>
              <w:t>调漆、</w:t>
            </w:r>
            <w:r>
              <w:rPr>
                <w:rFonts w:hint="eastAsia" w:cs="Times New Roman"/>
                <w:b/>
                <w:bCs/>
                <w:color w:val="000000" w:themeColor="text1"/>
                <w:kern w:val="0"/>
                <w:sz w:val="24"/>
                <w:lang w:eastAsia="zh-CN"/>
                <w14:textFill>
                  <w14:solidFill>
                    <w14:schemeClr w14:val="tx1"/>
                  </w14:solidFill>
                </w14:textFill>
              </w:rPr>
              <w:t>喷漆</w:t>
            </w:r>
            <w:r>
              <w:rPr>
                <w:rFonts w:hint="default" w:ascii="Times New Roman" w:hAnsi="Times New Roman" w:cs="Times New Roman"/>
                <w:b/>
                <w:bCs/>
                <w:color w:val="000000" w:themeColor="text1"/>
                <w:kern w:val="0"/>
                <w:sz w:val="24"/>
                <w14:textFill>
                  <w14:solidFill>
                    <w14:schemeClr w14:val="tx1"/>
                  </w14:solidFill>
                </w14:textFill>
              </w:rPr>
              <w:t>、喷枪清洗工</w:t>
            </w:r>
            <w:r>
              <w:rPr>
                <w:rFonts w:hint="default" w:ascii="Times New Roman" w:hAnsi="Times New Roman" w:cs="Times New Roman"/>
                <w:b/>
                <w:color w:val="000000" w:themeColor="text1"/>
                <w:kern w:val="0"/>
                <w:sz w:val="24"/>
                <w14:textFill>
                  <w14:solidFill>
                    <w14:schemeClr w14:val="tx1"/>
                  </w14:solidFill>
                </w14:textFill>
              </w:rPr>
              <w:t>序有组织排放</w:t>
            </w:r>
            <w:r>
              <w:rPr>
                <w:rFonts w:hint="default" w:ascii="Times New Roman" w:hAnsi="Times New Roman" w:cs="Times New Roman"/>
                <w:b/>
                <w:color w:val="000000" w:themeColor="text1"/>
                <w:kern w:val="0"/>
                <w:sz w:val="24"/>
                <w:lang w:val="en-GB"/>
                <w14:textFill>
                  <w14:solidFill>
                    <w14:schemeClr w14:val="tx1"/>
                  </w14:solidFill>
                </w14:textFill>
              </w:rPr>
              <w:t>产生及排放情况</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584"/>
              <w:gridCol w:w="524"/>
              <w:gridCol w:w="794"/>
              <w:gridCol w:w="613"/>
              <w:gridCol w:w="689"/>
              <w:gridCol w:w="800"/>
              <w:gridCol w:w="1158"/>
              <w:gridCol w:w="689"/>
              <w:gridCol w:w="689"/>
              <w:gridCol w:w="798"/>
              <w:gridCol w:w="937"/>
            </w:tblGrid>
            <w:tr w14:paraId="08E2A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restart"/>
                  <w:vAlign w:val="center"/>
                </w:tcPr>
                <w:p w14:paraId="17A3FAE3">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污染源</w:t>
                  </w:r>
                </w:p>
              </w:tc>
              <w:tc>
                <w:tcPr>
                  <w:tcW w:w="524" w:type="dxa"/>
                  <w:vMerge w:val="restart"/>
                  <w:vAlign w:val="center"/>
                </w:tcPr>
                <w:p w14:paraId="08DC954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污染物</w:t>
                  </w:r>
                </w:p>
              </w:tc>
              <w:tc>
                <w:tcPr>
                  <w:tcW w:w="794" w:type="dxa"/>
                  <w:vMerge w:val="restart"/>
                  <w:vAlign w:val="center"/>
                </w:tcPr>
                <w:p w14:paraId="1156C0B3">
                  <w:pPr>
                    <w:keepNext w:val="0"/>
                    <w:keepLines w:val="0"/>
                    <w:suppressLineNumbers w:val="0"/>
                    <w:tabs>
                      <w:tab w:val="left" w:pos="2200"/>
                      <w:tab w:val="left" w:pos="3960"/>
                      <w:tab w:val="left" w:pos="5280"/>
                    </w:tabs>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排气量m</w:t>
                  </w:r>
                  <w:r>
                    <w:rPr>
                      <w:rFonts w:hint="default" w:ascii="Times New Roman" w:hAnsi="Times New Roman" w:cs="Times New Roman"/>
                      <w:b/>
                      <w:color w:val="000000" w:themeColor="text1"/>
                      <w:szCs w:val="18"/>
                      <w:vertAlign w:val="superscript"/>
                      <w14:textFill>
                        <w14:solidFill>
                          <w14:schemeClr w14:val="tx1"/>
                        </w14:solidFill>
                      </w14:textFill>
                    </w:rPr>
                    <w:t>3</w:t>
                  </w:r>
                  <w:r>
                    <w:rPr>
                      <w:rFonts w:hint="default" w:ascii="Times New Roman" w:hAnsi="Times New Roman" w:cs="Times New Roman"/>
                      <w:b/>
                      <w:color w:val="000000" w:themeColor="text1"/>
                      <w:szCs w:val="18"/>
                      <w14:textFill>
                        <w14:solidFill>
                          <w14:schemeClr w14:val="tx1"/>
                        </w14:solidFill>
                      </w14:textFill>
                    </w:rPr>
                    <w:t>/h</w:t>
                  </w:r>
                </w:p>
              </w:tc>
              <w:tc>
                <w:tcPr>
                  <w:tcW w:w="2102" w:type="dxa"/>
                  <w:gridSpan w:val="3"/>
                  <w:vAlign w:val="center"/>
                </w:tcPr>
                <w:p w14:paraId="482B3D96">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产生情况</w:t>
                  </w:r>
                </w:p>
              </w:tc>
              <w:tc>
                <w:tcPr>
                  <w:tcW w:w="1158" w:type="dxa"/>
                  <w:vMerge w:val="restart"/>
                  <w:vAlign w:val="center"/>
                </w:tcPr>
                <w:p w14:paraId="3DE683E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拟采取的污染治理措施</w:t>
                  </w:r>
                </w:p>
              </w:tc>
              <w:tc>
                <w:tcPr>
                  <w:tcW w:w="2176" w:type="dxa"/>
                  <w:gridSpan w:val="3"/>
                  <w:vAlign w:val="center"/>
                </w:tcPr>
                <w:p w14:paraId="4F5FEC2B">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排放情况</w:t>
                  </w:r>
                </w:p>
              </w:tc>
              <w:tc>
                <w:tcPr>
                  <w:tcW w:w="937" w:type="dxa"/>
                  <w:vMerge w:val="restart"/>
                  <w:vAlign w:val="center"/>
                </w:tcPr>
                <w:p w14:paraId="2DF41BFE">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排气筒参数</w:t>
                  </w:r>
                </w:p>
              </w:tc>
            </w:tr>
            <w:tr w14:paraId="30682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continue"/>
                  <w:vAlign w:val="center"/>
                </w:tcPr>
                <w:p w14:paraId="7A57DC90">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524" w:type="dxa"/>
                  <w:vMerge w:val="continue"/>
                  <w:vAlign w:val="center"/>
                </w:tcPr>
                <w:p w14:paraId="17B5687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794" w:type="dxa"/>
                  <w:vMerge w:val="continue"/>
                  <w:vAlign w:val="center"/>
                </w:tcPr>
                <w:p w14:paraId="2575634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613" w:type="dxa"/>
                  <w:vAlign w:val="center"/>
                </w:tcPr>
                <w:p w14:paraId="236EE15B">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6FC820DE">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800" w:type="dxa"/>
                  <w:vAlign w:val="center"/>
                </w:tcPr>
                <w:p w14:paraId="6BA1E96B">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1158" w:type="dxa"/>
                  <w:vMerge w:val="continue"/>
                  <w:vAlign w:val="center"/>
                </w:tcPr>
                <w:p w14:paraId="3D84A8FB">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689" w:type="dxa"/>
                  <w:vAlign w:val="center"/>
                </w:tcPr>
                <w:p w14:paraId="2553697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0C01001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798" w:type="dxa"/>
                  <w:vAlign w:val="center"/>
                </w:tcPr>
                <w:p w14:paraId="1D6D9614">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937" w:type="dxa"/>
                  <w:vMerge w:val="continue"/>
                  <w:vAlign w:val="center"/>
                </w:tcPr>
                <w:p w14:paraId="10232C53">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r>
            <w:tr w14:paraId="1969F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restart"/>
                  <w:vAlign w:val="center"/>
                </w:tcPr>
                <w:p w14:paraId="25F9B08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p>
              </w:tc>
              <w:tc>
                <w:tcPr>
                  <w:tcW w:w="524" w:type="dxa"/>
                  <w:vAlign w:val="center"/>
                </w:tcPr>
                <w:p w14:paraId="76F5235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94" w:type="dxa"/>
                  <w:vMerge w:val="restart"/>
                  <w:vAlign w:val="center"/>
                </w:tcPr>
                <w:p w14:paraId="3559E90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12</w:t>
                  </w:r>
                  <w:r>
                    <w:rPr>
                      <w:rFonts w:hint="default" w:ascii="Times New Roman" w:hAnsi="Times New Roman" w:cs="Times New Roman"/>
                      <w:color w:val="000000" w:themeColor="text1"/>
                      <w:kern w:val="0"/>
                      <w:szCs w:val="21"/>
                      <w:lang w:bidi="ar"/>
                      <w14:textFill>
                        <w14:solidFill>
                          <w14:schemeClr w14:val="tx1"/>
                        </w14:solidFill>
                      </w14:textFill>
                    </w:rPr>
                    <w:t>000</w:t>
                  </w:r>
                </w:p>
              </w:tc>
              <w:tc>
                <w:tcPr>
                  <w:tcW w:w="613" w:type="dxa"/>
                  <w:vAlign w:val="center"/>
                </w:tcPr>
                <w:p w14:paraId="554E31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0.048</w:t>
                  </w:r>
                </w:p>
              </w:tc>
              <w:tc>
                <w:tcPr>
                  <w:tcW w:w="689" w:type="dxa"/>
                  <w:vAlign w:val="center"/>
                </w:tcPr>
                <w:p w14:paraId="33CAE1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0.245</w:t>
                  </w:r>
                </w:p>
              </w:tc>
              <w:tc>
                <w:tcPr>
                  <w:tcW w:w="800" w:type="dxa"/>
                  <w:vAlign w:val="center"/>
                </w:tcPr>
                <w:p w14:paraId="0940F4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3.988</w:t>
                  </w:r>
                </w:p>
              </w:tc>
              <w:tc>
                <w:tcPr>
                  <w:tcW w:w="1158" w:type="dxa"/>
                  <w:vMerge w:val="restart"/>
                  <w:vAlign w:val="center"/>
                </w:tcPr>
                <w:p w14:paraId="1BF1C5D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水帘柜+干式过滤+</w:t>
                  </w:r>
                  <w:r>
                    <w:rPr>
                      <w:rFonts w:hint="default" w:ascii="Times New Roman" w:hAnsi="Times New Roman" w:eastAsia="宋体" w:cs="Times New Roman"/>
                      <w:color w:val="000000" w:themeColor="text1"/>
                      <w:szCs w:val="21"/>
                      <w:lang w:eastAsia="zh-CN"/>
                      <w14:textFill>
                        <w14:solidFill>
                          <w14:schemeClr w14:val="tx1"/>
                        </w14:solidFill>
                      </w14:textFill>
                    </w:rPr>
                    <w:t>两级活性炭吸附装置</w:t>
                  </w:r>
                </w:p>
              </w:tc>
              <w:tc>
                <w:tcPr>
                  <w:tcW w:w="689" w:type="dxa"/>
                  <w:vAlign w:val="center"/>
                </w:tcPr>
                <w:p w14:paraId="4EB65DD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0.005</w:t>
                  </w:r>
                </w:p>
              </w:tc>
              <w:tc>
                <w:tcPr>
                  <w:tcW w:w="689" w:type="dxa"/>
                  <w:vAlign w:val="center"/>
                </w:tcPr>
                <w:p w14:paraId="1C511F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0.0245</w:t>
                  </w:r>
                </w:p>
              </w:tc>
              <w:tc>
                <w:tcPr>
                  <w:tcW w:w="798" w:type="dxa"/>
                  <w:vAlign w:val="center"/>
                </w:tcPr>
                <w:p w14:paraId="6F2E9B1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0.399</w:t>
                  </w:r>
                </w:p>
              </w:tc>
              <w:tc>
                <w:tcPr>
                  <w:tcW w:w="937" w:type="dxa"/>
                  <w:vMerge w:val="restart"/>
                  <w:vAlign w:val="center"/>
                </w:tcPr>
                <w:p w14:paraId="6DDB568C">
                  <w:pPr>
                    <w:keepNext w:val="0"/>
                    <w:keepLines w:val="0"/>
                    <w:widowControl/>
                    <w:suppressLineNumbers w:val="0"/>
                    <w:spacing w:before="0" w:beforeAutospacing="0" w:after="0" w:afterAutospacing="0"/>
                    <w:ind w:left="0" w:right="0"/>
                    <w:jc w:val="center"/>
                    <w:textAlignment w:val="center"/>
                    <w:rPr>
                      <w:rFonts w:hint="eastAsia" w:cs="Times New Roman"/>
                      <w:color w:val="000000" w:themeColor="text1"/>
                      <w:kern w:val="0"/>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w:t>
                  </w:r>
                  <w:r>
                    <w:rPr>
                      <w:rFonts w:hint="eastAsia" w:cs="Times New Roman"/>
                      <w:color w:val="000000" w:themeColor="text1"/>
                      <w:kern w:val="0"/>
                      <w:szCs w:val="21"/>
                      <w:lang w:val="en-US" w:eastAsia="zh-CN" w:bidi="ar"/>
                      <w14:textFill>
                        <w14:solidFill>
                          <w14:schemeClr w14:val="tx1"/>
                        </w14:solidFill>
                      </w14:textFill>
                    </w:rPr>
                    <w:t>3</w:t>
                  </w:r>
                </w:p>
                <w:p w14:paraId="38A14D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H:</w:t>
                  </w:r>
                  <w:r>
                    <w:rPr>
                      <w:rFonts w:hint="default" w:ascii="Times New Roman" w:hAnsi="Times New Roman" w:cs="Times New Roman"/>
                      <w:color w:val="000000" w:themeColor="text1"/>
                      <w:kern w:val="0"/>
                      <w:szCs w:val="21"/>
                      <w:lang w:eastAsia="zh-CN" w:bidi="ar"/>
                      <w14:textFill>
                        <w14:solidFill>
                          <w14:schemeClr w14:val="tx1"/>
                        </w14:solidFill>
                      </w14:textFill>
                    </w:rPr>
                    <w:t>15m</w:t>
                  </w:r>
                </w:p>
                <w:p w14:paraId="1F15910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18"/>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ф:0.</w:t>
                  </w:r>
                  <w:r>
                    <w:rPr>
                      <w:rFonts w:hint="eastAsia" w:cs="Times New Roman"/>
                      <w:color w:val="000000" w:themeColor="text1"/>
                      <w:kern w:val="0"/>
                      <w:szCs w:val="21"/>
                      <w:lang w:val="en-US" w:eastAsia="zh-CN" w:bidi="ar"/>
                      <w14:textFill>
                        <w14:solidFill>
                          <w14:schemeClr w14:val="tx1"/>
                        </w14:solidFill>
                      </w14:textFill>
                    </w:rPr>
                    <w:t>6</w:t>
                  </w:r>
                  <w:r>
                    <w:rPr>
                      <w:rFonts w:hint="default" w:ascii="Times New Roman" w:hAnsi="Times New Roman" w:cs="Times New Roman"/>
                      <w:color w:val="000000" w:themeColor="text1"/>
                      <w:kern w:val="0"/>
                      <w:szCs w:val="21"/>
                      <w:lang w:bidi="ar"/>
                      <w14:textFill>
                        <w14:solidFill>
                          <w14:schemeClr w14:val="tx1"/>
                        </w14:solidFill>
                      </w14:textFill>
                    </w:rPr>
                    <w:t>m</w:t>
                  </w:r>
                </w:p>
              </w:tc>
            </w:tr>
            <w:tr w14:paraId="564F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84" w:type="dxa"/>
                  <w:vMerge w:val="continue"/>
                  <w:vAlign w:val="center"/>
                </w:tcPr>
                <w:p w14:paraId="1068059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524" w:type="dxa"/>
                  <w:vAlign w:val="center"/>
                </w:tcPr>
                <w:p w14:paraId="01AAF94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94" w:type="dxa"/>
                  <w:vMerge w:val="continue"/>
                  <w:vAlign w:val="center"/>
                </w:tcPr>
                <w:p w14:paraId="1729CB9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613" w:type="dxa"/>
                  <w:vAlign w:val="center"/>
                </w:tcPr>
                <w:p w14:paraId="397465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0.309</w:t>
                  </w:r>
                </w:p>
              </w:tc>
              <w:tc>
                <w:tcPr>
                  <w:tcW w:w="689" w:type="dxa"/>
                  <w:vAlign w:val="center"/>
                </w:tcPr>
                <w:p w14:paraId="41763E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1.5809</w:t>
                  </w:r>
                </w:p>
              </w:tc>
              <w:tc>
                <w:tcPr>
                  <w:tcW w:w="800" w:type="dxa"/>
                  <w:vAlign w:val="center"/>
                </w:tcPr>
                <w:p w14:paraId="7036C7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25.731</w:t>
                  </w:r>
                </w:p>
              </w:tc>
              <w:tc>
                <w:tcPr>
                  <w:tcW w:w="1158" w:type="dxa"/>
                  <w:vMerge w:val="continue"/>
                  <w:vAlign w:val="center"/>
                </w:tcPr>
                <w:p w14:paraId="008D402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89" w:type="dxa"/>
                  <w:vAlign w:val="center"/>
                </w:tcPr>
                <w:p w14:paraId="45E291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0.015</w:t>
                  </w:r>
                </w:p>
              </w:tc>
              <w:tc>
                <w:tcPr>
                  <w:tcW w:w="689" w:type="dxa"/>
                  <w:vAlign w:val="center"/>
                </w:tcPr>
                <w:p w14:paraId="1FE36F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0.079</w:t>
                  </w:r>
                </w:p>
              </w:tc>
              <w:tc>
                <w:tcPr>
                  <w:tcW w:w="798" w:type="dxa"/>
                  <w:vAlign w:val="center"/>
                </w:tcPr>
                <w:p w14:paraId="7342D7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1.286</w:t>
                  </w:r>
                </w:p>
              </w:tc>
              <w:tc>
                <w:tcPr>
                  <w:tcW w:w="937" w:type="dxa"/>
                  <w:vMerge w:val="continue"/>
                  <w:vAlign w:val="center"/>
                </w:tcPr>
                <w:p w14:paraId="664DEB7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r>
          </w:tbl>
          <w:p w14:paraId="587B62CF">
            <w:pPr>
              <w:keepNext w:val="0"/>
              <w:keepLines w:val="0"/>
              <w:suppressLineNumbers w:val="0"/>
              <w:spacing w:before="120" w:beforeLines="5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w:t>
            </w:r>
            <w:r>
              <w:rPr>
                <w:rFonts w:hint="default" w:ascii="Times New Roman" w:hAnsi="Times New Roman" w:cs="Times New Roman"/>
                <w:b/>
                <w:color w:val="000000" w:themeColor="text1"/>
                <w:kern w:val="0"/>
                <w:sz w:val="24"/>
                <w14:textFill>
                  <w14:solidFill>
                    <w14:schemeClr w14:val="tx1"/>
                  </w14:solidFill>
                </w14:textFill>
              </w:rPr>
              <w:t>4-</w:t>
            </w:r>
            <w:r>
              <w:rPr>
                <w:rFonts w:hint="eastAsia" w:cs="Times New Roman"/>
                <w:b/>
                <w:color w:val="000000" w:themeColor="text1"/>
                <w:kern w:val="0"/>
                <w:sz w:val="24"/>
                <w:lang w:val="en-US" w:eastAsia="zh-CN"/>
                <w14:textFill>
                  <w14:solidFill>
                    <w14:schemeClr w14:val="tx1"/>
                  </w14:solidFill>
                </w14:textFill>
              </w:rPr>
              <w:t>10</w:t>
            </w:r>
            <w:r>
              <w:rPr>
                <w:rFonts w:hint="default" w:ascii="Times New Roman" w:hAnsi="Times New Roman" w:cs="Times New Roman"/>
                <w:b/>
                <w:color w:val="000000" w:themeColor="text1"/>
                <w:kern w:val="0"/>
                <w:sz w:val="24"/>
                <w14:textFill>
                  <w14:solidFill>
                    <w14:schemeClr w14:val="tx1"/>
                  </w14:solidFill>
                </w14:textFill>
              </w:rPr>
              <w:t xml:space="preserve">  项目</w:t>
            </w:r>
            <w:r>
              <w:rPr>
                <w:rFonts w:hint="default" w:ascii="Times New Roman" w:hAnsi="Times New Roman" w:cs="Times New Roman"/>
                <w:b/>
                <w:bCs/>
                <w:color w:val="000000" w:themeColor="text1"/>
                <w:kern w:val="0"/>
                <w:sz w:val="24"/>
                <w14:textFill>
                  <w14:solidFill>
                    <w14:schemeClr w14:val="tx1"/>
                  </w14:solidFill>
                </w14:textFill>
              </w:rPr>
              <w:t>调漆、</w:t>
            </w:r>
            <w:r>
              <w:rPr>
                <w:rFonts w:hint="eastAsia" w:cs="Times New Roman"/>
                <w:b/>
                <w:bCs/>
                <w:color w:val="000000" w:themeColor="text1"/>
                <w:kern w:val="0"/>
                <w:sz w:val="24"/>
                <w:lang w:eastAsia="zh-CN"/>
                <w14:textFill>
                  <w14:solidFill>
                    <w14:schemeClr w14:val="tx1"/>
                  </w14:solidFill>
                </w14:textFill>
              </w:rPr>
              <w:t>喷漆</w:t>
            </w:r>
            <w:r>
              <w:rPr>
                <w:rFonts w:hint="default" w:ascii="Times New Roman" w:hAnsi="Times New Roman" w:cs="Times New Roman"/>
                <w:b/>
                <w:bCs/>
                <w:color w:val="000000" w:themeColor="text1"/>
                <w:kern w:val="0"/>
                <w:sz w:val="24"/>
                <w14:textFill>
                  <w14:solidFill>
                    <w14:schemeClr w14:val="tx1"/>
                  </w14:solidFill>
                </w14:textFill>
              </w:rPr>
              <w:t>、喷枪清洗</w:t>
            </w:r>
            <w:r>
              <w:rPr>
                <w:rFonts w:hint="default" w:ascii="Times New Roman" w:hAnsi="Times New Roman" w:cs="Times New Roman"/>
                <w:b/>
                <w:color w:val="000000" w:themeColor="text1"/>
                <w:kern w:val="0"/>
                <w:sz w:val="24"/>
                <w14:textFill>
                  <w14:solidFill>
                    <w14:schemeClr w14:val="tx1"/>
                  </w14:solidFill>
                </w14:textFill>
              </w:rPr>
              <w:t>工序无组织</w:t>
            </w:r>
            <w:r>
              <w:rPr>
                <w:rFonts w:hint="default" w:ascii="Times New Roman" w:hAnsi="Times New Roman" w:cs="Times New Roman"/>
                <w:b/>
                <w:color w:val="000000" w:themeColor="text1"/>
                <w:kern w:val="0"/>
                <w:sz w:val="24"/>
                <w:lang w:val="zh-CN"/>
                <w14:textFill>
                  <w14:solidFill>
                    <w14:schemeClr w14:val="tx1"/>
                  </w14:solidFill>
                </w14:textFill>
              </w:rPr>
              <w:t>产排情况一览表</w:t>
            </w:r>
          </w:p>
          <w:tbl>
            <w:tblPr>
              <w:tblStyle w:val="61"/>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1525"/>
              <w:gridCol w:w="1264"/>
              <w:gridCol w:w="1195"/>
              <w:gridCol w:w="1274"/>
              <w:gridCol w:w="1214"/>
            </w:tblGrid>
            <w:tr w14:paraId="67667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108A8BC6">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928" w:type="pct"/>
                  <w:vMerge w:val="restart"/>
                  <w:vAlign w:val="center"/>
                </w:tcPr>
                <w:p w14:paraId="2E20E5F9">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6" w:type="pct"/>
                  <w:gridSpan w:val="2"/>
                  <w:vAlign w:val="center"/>
                </w:tcPr>
                <w:p w14:paraId="3F236064">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4B35BB7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583D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611AB1DF">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928" w:type="pct"/>
                  <w:vMerge w:val="continue"/>
                  <w:vAlign w:val="center"/>
                </w:tcPr>
                <w:p w14:paraId="5826A0D6">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769" w:type="pct"/>
                  <w:vAlign w:val="center"/>
                </w:tcPr>
                <w:p w14:paraId="5CF51000">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7" w:type="pct"/>
                  <w:vAlign w:val="center"/>
                </w:tcPr>
                <w:p w14:paraId="4073BD2C">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5" w:type="pct"/>
                  <w:vAlign w:val="center"/>
                </w:tcPr>
                <w:p w14:paraId="332D0D6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38" w:type="pct"/>
                  <w:vAlign w:val="center"/>
                </w:tcPr>
                <w:p w14:paraId="62685979">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0A9B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0" w:type="pct"/>
                  <w:vMerge w:val="restart"/>
                  <w:shd w:val="clear" w:color="auto" w:fill="auto"/>
                  <w:vAlign w:val="center"/>
                </w:tcPr>
                <w:p w14:paraId="775B82E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Cs/>
                      <w:color w:val="000000" w:themeColor="text1"/>
                      <w:szCs w:val="18"/>
                      <w:lang w:val="en-GB"/>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p>
              </w:tc>
              <w:tc>
                <w:tcPr>
                  <w:tcW w:w="928" w:type="pct"/>
                  <w:vAlign w:val="center"/>
                </w:tcPr>
                <w:p w14:paraId="0CB9F61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69" w:type="pct"/>
                  <w:vAlign w:val="center"/>
                </w:tcPr>
                <w:p w14:paraId="5522BB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0.024</w:t>
                  </w:r>
                </w:p>
              </w:tc>
              <w:tc>
                <w:tcPr>
                  <w:tcW w:w="727" w:type="pct"/>
                  <w:vAlign w:val="center"/>
                </w:tcPr>
                <w:p w14:paraId="307774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0.013</w:t>
                  </w:r>
                </w:p>
              </w:tc>
              <w:tc>
                <w:tcPr>
                  <w:tcW w:w="1274" w:type="dxa"/>
                  <w:shd w:val="clear" w:color="auto" w:fill="auto"/>
                  <w:vAlign w:val="center"/>
                </w:tcPr>
                <w:p w14:paraId="71B7673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0.024</w:t>
                  </w:r>
                </w:p>
              </w:tc>
              <w:tc>
                <w:tcPr>
                  <w:tcW w:w="1214" w:type="dxa"/>
                  <w:shd w:val="clear" w:color="auto" w:fill="auto"/>
                  <w:vAlign w:val="center"/>
                </w:tcPr>
                <w:p w14:paraId="23FF0CC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0.013</w:t>
                  </w:r>
                </w:p>
              </w:tc>
            </w:tr>
            <w:tr w14:paraId="34364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continue"/>
                  <w:shd w:val="clear" w:color="auto" w:fill="auto"/>
                  <w:vAlign w:val="center"/>
                </w:tcPr>
                <w:p w14:paraId="7E7FD3F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928" w:type="pct"/>
                  <w:vAlign w:val="center"/>
                </w:tcPr>
                <w:p w14:paraId="08F36A5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69" w:type="pct"/>
                  <w:vAlign w:val="center"/>
                </w:tcPr>
                <w:p w14:paraId="7D4394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0.016</w:t>
                  </w:r>
                </w:p>
              </w:tc>
              <w:tc>
                <w:tcPr>
                  <w:tcW w:w="727" w:type="pct"/>
                  <w:vAlign w:val="center"/>
                </w:tcPr>
                <w:p w14:paraId="249387A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0.0832</w:t>
                  </w:r>
                </w:p>
              </w:tc>
              <w:tc>
                <w:tcPr>
                  <w:tcW w:w="1274" w:type="dxa"/>
                  <w:shd w:val="clear" w:color="auto" w:fill="auto"/>
                  <w:vAlign w:val="center"/>
                </w:tcPr>
                <w:p w14:paraId="4AC7A56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0.016</w:t>
                  </w:r>
                </w:p>
              </w:tc>
              <w:tc>
                <w:tcPr>
                  <w:tcW w:w="1214" w:type="dxa"/>
                  <w:shd w:val="clear" w:color="auto" w:fill="auto"/>
                  <w:vAlign w:val="center"/>
                </w:tcPr>
                <w:p w14:paraId="682024F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0.0832</w:t>
                  </w:r>
                </w:p>
              </w:tc>
            </w:tr>
          </w:tbl>
          <w:p w14:paraId="5D8B9206">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）喷粉粉尘</w:t>
            </w:r>
          </w:p>
          <w:p w14:paraId="4E6DCA18">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bCs/>
                <w:color w:val="000000" w:themeColor="text1"/>
                <w:sz w:val="24"/>
                <w:szCs w:val="21"/>
                <w:lang w:val="en-GB"/>
                <w14:textFill>
                  <w14:solidFill>
                    <w14:schemeClr w14:val="tx1"/>
                  </w14:solidFill>
                </w14:textFill>
              </w:rPr>
            </w:pPr>
            <w:r>
              <w:rPr>
                <w:rFonts w:hint="default" w:ascii="Times New Roman" w:hAnsi="Times New Roman" w:cs="Times New Roman"/>
                <w:color w:val="000000"/>
                <w:sz w:val="24"/>
                <w:szCs w:val="24"/>
              </w:rPr>
              <w:t>本项目</w:t>
            </w:r>
            <w:r>
              <w:rPr>
                <w:rFonts w:hint="default" w:ascii="Times New Roman" w:hAnsi="Times New Roman" w:eastAsia="宋体" w:cs="Times New Roman"/>
                <w:color w:val="000000"/>
                <w:sz w:val="24"/>
                <w:szCs w:val="24"/>
              </w:rPr>
              <w:t>共设</w:t>
            </w:r>
            <w:r>
              <w:rPr>
                <w:rFonts w:hint="eastAsia" w:ascii="Times New Roman" w:hAnsi="Times New Roman" w:eastAsia="宋体" w:cs="Times New Roman"/>
                <w:color w:val="000000"/>
                <w:sz w:val="24"/>
                <w:szCs w:val="24"/>
                <w:lang w:val="en-US" w:eastAsia="zh-CN"/>
              </w:rPr>
              <w:t>2</w:t>
            </w:r>
            <w:r>
              <w:rPr>
                <w:rFonts w:hint="default" w:ascii="Times New Roman" w:hAnsi="Times New Roman" w:eastAsia="宋体" w:cs="Times New Roman"/>
                <w:color w:val="000000"/>
                <w:sz w:val="24"/>
                <w:szCs w:val="24"/>
              </w:rPr>
              <w:t>条</w:t>
            </w:r>
            <w:r>
              <w:rPr>
                <w:rFonts w:hint="default" w:ascii="Times New Roman" w:hAnsi="Times New Roman" w:cs="Times New Roman"/>
                <w:color w:val="000000"/>
                <w:sz w:val="24"/>
                <w:szCs w:val="24"/>
              </w:rPr>
              <w:t>喷粉线，喷粉线配备</w:t>
            </w:r>
            <w:r>
              <w:rPr>
                <w:rFonts w:hint="eastAsia" w:ascii="Times New Roman" w:hAnsi="Times New Roman" w:cs="Times New Roman"/>
                <w:color w:val="000000"/>
                <w:sz w:val="24"/>
                <w:szCs w:val="24"/>
                <w:lang w:val="en-US" w:eastAsia="zh-CN"/>
              </w:rPr>
              <w:t>6</w:t>
            </w:r>
            <w:r>
              <w:rPr>
                <w:rFonts w:hint="default" w:ascii="Times New Roman" w:hAnsi="Times New Roman" w:cs="Times New Roman"/>
                <w:color w:val="000000"/>
                <w:sz w:val="24"/>
                <w:szCs w:val="24"/>
              </w:rPr>
              <w:t>个</w:t>
            </w:r>
            <w:r>
              <w:rPr>
                <w:rFonts w:hint="default" w:ascii="Times New Roman" w:hAnsi="Times New Roman" w:cs="Times New Roman"/>
                <w:color w:val="000000"/>
                <w:sz w:val="24"/>
                <w:szCs w:val="24"/>
                <w:lang w:val="en-US" w:eastAsia="zh-CN"/>
              </w:rPr>
              <w:t>人工</w:t>
            </w:r>
            <w:r>
              <w:rPr>
                <w:rFonts w:hint="eastAsia" w:ascii="Times New Roman" w:hAnsi="Times New Roman" w:cs="Times New Roman"/>
                <w:color w:val="000000"/>
                <w:sz w:val="24"/>
                <w:szCs w:val="24"/>
                <w:lang w:val="en-US" w:eastAsia="zh-CN"/>
              </w:rPr>
              <w:t>补粉</w:t>
            </w:r>
            <w:r>
              <w:rPr>
                <w:rFonts w:hint="default" w:ascii="Times New Roman" w:hAnsi="Times New Roman" w:cs="Times New Roman"/>
                <w:color w:val="000000"/>
                <w:sz w:val="24"/>
                <w:szCs w:val="24"/>
                <w:lang w:val="en-US" w:eastAsia="zh-CN"/>
              </w:rPr>
              <w:t>房+</w:t>
            </w:r>
            <w:r>
              <w:rPr>
                <w:rFonts w:hint="eastAsia" w:ascii="Times New Roman" w:hAnsi="Times New Roman" w:cs="Times New Roman"/>
                <w:color w:val="000000"/>
                <w:sz w:val="24"/>
                <w:szCs w:val="24"/>
                <w:lang w:val="en-US" w:eastAsia="zh-CN"/>
              </w:rPr>
              <w:t>4</w:t>
            </w:r>
            <w:r>
              <w:rPr>
                <w:rFonts w:hint="default" w:ascii="Times New Roman" w:hAnsi="Times New Roman" w:cs="Times New Roman"/>
                <w:color w:val="000000"/>
                <w:sz w:val="24"/>
                <w:szCs w:val="24"/>
                <w:lang w:val="en-US" w:eastAsia="zh-CN"/>
              </w:rPr>
              <w:t>个</w:t>
            </w:r>
            <w:r>
              <w:rPr>
                <w:rFonts w:hint="eastAsia" w:ascii="Times New Roman" w:hAnsi="Times New Roman" w:cs="Times New Roman"/>
                <w:color w:val="000000"/>
                <w:sz w:val="24"/>
                <w:szCs w:val="24"/>
                <w:lang w:val="en-US" w:eastAsia="zh-CN"/>
              </w:rPr>
              <w:t>静电</w:t>
            </w:r>
            <w:r>
              <w:rPr>
                <w:rFonts w:hint="default" w:ascii="Times New Roman" w:hAnsi="Times New Roman" w:cs="Times New Roman"/>
                <w:color w:val="000000"/>
                <w:sz w:val="24"/>
                <w:szCs w:val="24"/>
                <w:lang w:val="en-US" w:eastAsia="zh-CN"/>
              </w:rPr>
              <w:t>喷粉房</w:t>
            </w:r>
            <w:r>
              <w:rPr>
                <w:rFonts w:hint="default" w:ascii="Times New Roman" w:hAnsi="Times New Roman" w:cs="Times New Roman"/>
                <w:bCs/>
                <w:color w:val="000000" w:themeColor="text1"/>
                <w:sz w:val="24"/>
                <w:szCs w:val="21"/>
                <w14:textFill>
                  <w14:solidFill>
                    <w14:schemeClr w14:val="tx1"/>
                  </w14:solidFill>
                </w14:textFill>
              </w:rPr>
              <w:t>，喷粉过程中没有被工件吸附的粉末，通过</w:t>
            </w:r>
            <w:r>
              <w:rPr>
                <w:rFonts w:hint="eastAsia" w:cs="Times New Roman"/>
                <w:bCs/>
                <w:color w:val="000000" w:themeColor="text1"/>
                <w:sz w:val="24"/>
                <w:szCs w:val="21"/>
                <w:lang w:eastAsia="zh-CN"/>
                <w14:textFill>
                  <w14:solidFill>
                    <w14:schemeClr w14:val="tx1"/>
                  </w14:solidFill>
                </w14:textFill>
              </w:rPr>
              <w:t>滤筒+脉冲布袋除尘器</w:t>
            </w:r>
            <w:r>
              <w:rPr>
                <w:rFonts w:hint="default" w:ascii="Times New Roman" w:hAnsi="Times New Roman" w:cs="Times New Roman"/>
                <w:bCs/>
                <w:color w:val="000000" w:themeColor="text1"/>
                <w:sz w:val="24"/>
                <w:szCs w:val="21"/>
                <w14:textFill>
                  <w14:solidFill>
                    <w14:schemeClr w14:val="tx1"/>
                  </w14:solidFill>
                </w14:textFill>
              </w:rPr>
              <w:t>处理后通过一根</w:t>
            </w:r>
            <w:r>
              <w:rPr>
                <w:rFonts w:hint="default" w:ascii="Times New Roman" w:hAnsi="Times New Roman" w:cs="Times New Roman"/>
                <w:bCs/>
                <w:color w:val="000000" w:themeColor="text1"/>
                <w:sz w:val="24"/>
                <w:szCs w:val="21"/>
                <w:lang w:eastAsia="zh-CN"/>
                <w14:textFill>
                  <w14:solidFill>
                    <w14:schemeClr w14:val="tx1"/>
                  </w14:solidFill>
                </w14:textFill>
              </w:rPr>
              <w:t>15m</w:t>
            </w:r>
            <w:r>
              <w:rPr>
                <w:rFonts w:hint="default" w:ascii="Times New Roman" w:hAnsi="Times New Roman" w:cs="Times New Roman"/>
                <w:bCs/>
                <w:color w:val="000000" w:themeColor="text1"/>
                <w:sz w:val="24"/>
                <w:szCs w:val="21"/>
                <w14:textFill>
                  <w14:solidFill>
                    <w14:schemeClr w14:val="tx1"/>
                  </w14:solidFill>
                </w14:textFill>
              </w:rPr>
              <w:t>高排气筒DA00</w:t>
            </w:r>
            <w:r>
              <w:rPr>
                <w:rFonts w:hint="eastAsia" w:cs="Times New Roman"/>
                <w:bCs/>
                <w:color w:val="000000" w:themeColor="text1"/>
                <w:sz w:val="24"/>
                <w:szCs w:val="21"/>
                <w:lang w:val="en-US" w:eastAsia="zh-CN"/>
                <w14:textFill>
                  <w14:solidFill>
                    <w14:schemeClr w14:val="tx1"/>
                  </w14:solidFill>
                </w14:textFill>
              </w:rPr>
              <w:t>4</w:t>
            </w:r>
            <w:r>
              <w:rPr>
                <w:rFonts w:hint="default" w:ascii="Times New Roman" w:hAnsi="Times New Roman" w:cs="Times New Roman"/>
                <w:bCs/>
                <w:color w:val="000000" w:themeColor="text1"/>
                <w:sz w:val="24"/>
                <w:szCs w:val="21"/>
                <w14:textFill>
                  <w14:solidFill>
                    <w14:schemeClr w14:val="tx1"/>
                  </w14:solidFill>
                </w14:textFill>
              </w:rPr>
              <w:t>对外排放，除尘器收集的粉料回用。</w:t>
            </w:r>
          </w:p>
          <w:p w14:paraId="64EED35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根据物料平衡可知，</w:t>
            </w:r>
            <w:r>
              <w:rPr>
                <w:rFonts w:hint="eastAsia" w:cs="Times New Roman"/>
                <w:bCs/>
                <w:color w:val="000000" w:themeColor="text1"/>
                <w:sz w:val="24"/>
                <w:szCs w:val="21"/>
                <w:lang w:val="en-US" w:eastAsia="zh-CN"/>
                <w14:textFill>
                  <w14:solidFill>
                    <w14:schemeClr w14:val="tx1"/>
                  </w14:solidFill>
                </w14:textFill>
              </w:rPr>
              <w:t>喷粉</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颗粒物产量为</w:t>
            </w:r>
            <w:r>
              <w:rPr>
                <w:rFonts w:hint="eastAsia" w:cs="Times New Roman"/>
                <w:bCs/>
                <w:color w:val="000000" w:themeColor="text1"/>
                <w:sz w:val="24"/>
                <w:szCs w:val="21"/>
                <w:lang w:val="en-US" w:eastAsia="zh-CN"/>
                <w14:textFill>
                  <w14:solidFill>
                    <w14:schemeClr w14:val="tx1"/>
                  </w14:solidFill>
                </w14:textFill>
              </w:rPr>
              <w:t>54.352</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w:t>
            </w:r>
            <w:r>
              <w:rPr>
                <w:rFonts w:hint="default" w:ascii="Times New Roman" w:hAnsi="Times New Roman" w:cs="Times New Roman"/>
                <w:bCs/>
                <w:color w:val="000000" w:themeColor="text1"/>
                <w:sz w:val="24"/>
                <w:szCs w:val="21"/>
                <w14:textFill>
                  <w14:solidFill>
                    <w14:schemeClr w14:val="tx1"/>
                  </w14:solidFill>
                </w14:textFill>
              </w:rPr>
              <w:t>。喷粉工序</w:t>
            </w:r>
            <w:r>
              <w:rPr>
                <w:rFonts w:hint="default" w:ascii="Times New Roman" w:hAnsi="Times New Roman" w:cs="Times New Roman"/>
                <w:color w:val="000000" w:themeColor="text1"/>
                <w:sz w:val="24"/>
                <w14:textFill>
                  <w14:solidFill>
                    <w14:schemeClr w14:val="tx1"/>
                  </w14:solidFill>
                </w14:textFill>
              </w:rPr>
              <w:t>生产工况为每天工作约</w:t>
            </w:r>
            <w:r>
              <w:rPr>
                <w:rFonts w:hint="eastAsia" w:cs="Times New Roman"/>
                <w:color w:val="000000" w:themeColor="text1"/>
                <w:sz w:val="24"/>
                <w:lang w:val="en-US" w:eastAsia="zh-CN"/>
                <w14:textFill>
                  <w14:solidFill>
                    <w14:schemeClr w14:val="tx1"/>
                  </w14:solidFill>
                </w14:textFill>
              </w:rPr>
              <w:t>16</w:t>
            </w:r>
            <w:r>
              <w:rPr>
                <w:rFonts w:hint="default" w:ascii="Times New Roman" w:hAnsi="Times New Roman" w:cs="Times New Roman"/>
                <w:color w:val="000000" w:themeColor="text1"/>
                <w:sz w:val="24"/>
                <w14:textFill>
                  <w14:solidFill>
                    <w14:schemeClr w14:val="tx1"/>
                  </w14:solidFill>
                </w14:textFill>
              </w:rPr>
              <w:t>小时，年工作</w:t>
            </w:r>
            <w:r>
              <w:rPr>
                <w:rFonts w:hint="eastAsia" w:cs="Times New Roman"/>
                <w:color w:val="000000" w:themeColor="text1"/>
                <w:sz w:val="24"/>
                <w:lang w:val="en-US" w:eastAsia="zh-CN"/>
                <w14:textFill>
                  <w14:solidFill>
                    <w14:schemeClr w14:val="tx1"/>
                  </w14:solidFill>
                </w14:textFill>
              </w:rPr>
              <w:t>.320</w:t>
            </w:r>
            <w:r>
              <w:rPr>
                <w:rFonts w:hint="default" w:ascii="Times New Roman" w:hAnsi="Times New Roman" w:cs="Times New Roman"/>
                <w:color w:val="000000" w:themeColor="text1"/>
                <w:sz w:val="24"/>
                <w14:textFill>
                  <w14:solidFill>
                    <w14:schemeClr w14:val="tx1"/>
                  </w14:solidFill>
                </w14:textFill>
              </w:rPr>
              <w:t>天。</w:t>
            </w:r>
          </w:p>
          <w:p w14:paraId="392F45B1">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cs="Times New Roman"/>
                <w:b/>
                <w:color w:val="000000" w:themeColor="text1"/>
                <w:kern w:val="0"/>
                <w:sz w:val="24"/>
                <w:lang w:val="en-US" w:eastAsia="zh-CN"/>
                <w14:textFill>
                  <w14:solidFill>
                    <w14:schemeClr w14:val="tx1"/>
                  </w14:solidFill>
                </w14:textFill>
              </w:rPr>
              <w:t>11</w:t>
            </w:r>
            <w:r>
              <w:rPr>
                <w:rFonts w:hint="default" w:ascii="Times New Roman" w:hAnsi="Times New Roman" w:cs="Times New Roman"/>
                <w:b/>
                <w:color w:val="000000" w:themeColor="text1"/>
                <w:kern w:val="0"/>
                <w:sz w:val="24"/>
                <w14:textFill>
                  <w14:solidFill>
                    <w14:schemeClr w14:val="tx1"/>
                  </w14:solidFill>
                </w14:textFill>
              </w:rPr>
              <w:t xml:space="preserve"> 项目喷粉工序废气产生情况一览表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149"/>
              <w:gridCol w:w="1227"/>
              <w:gridCol w:w="1098"/>
              <w:gridCol w:w="1809"/>
              <w:gridCol w:w="1718"/>
              <w:gridCol w:w="1271"/>
            </w:tblGrid>
            <w:tr w14:paraId="790F7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694" w:type="pct"/>
                  <w:vMerge w:val="restart"/>
                  <w:vAlign w:val="center"/>
                </w:tcPr>
                <w:p w14:paraId="659165E6">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工段</w:t>
                  </w:r>
                </w:p>
              </w:tc>
              <w:tc>
                <w:tcPr>
                  <w:tcW w:w="741" w:type="pct"/>
                  <w:vMerge w:val="restart"/>
                  <w:vAlign w:val="center"/>
                </w:tcPr>
                <w:p w14:paraId="15FF1727">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原料名称</w:t>
                  </w:r>
                </w:p>
              </w:tc>
              <w:tc>
                <w:tcPr>
                  <w:tcW w:w="663" w:type="pct"/>
                  <w:vMerge w:val="restart"/>
                  <w:vAlign w:val="center"/>
                </w:tcPr>
                <w:p w14:paraId="7627EA8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用量t/a</w:t>
                  </w:r>
                </w:p>
              </w:tc>
              <w:tc>
                <w:tcPr>
                  <w:tcW w:w="1093" w:type="pct"/>
                  <w:vMerge w:val="restart"/>
                  <w:vAlign w:val="center"/>
                </w:tcPr>
                <w:p w14:paraId="745D92E3">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产污系数</w:t>
                  </w:r>
                </w:p>
              </w:tc>
              <w:tc>
                <w:tcPr>
                  <w:tcW w:w="1038" w:type="pct"/>
                  <w:vAlign w:val="center"/>
                </w:tcPr>
                <w:p w14:paraId="44D8F7E4">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颗粒物</w:t>
                  </w:r>
                </w:p>
              </w:tc>
              <w:tc>
                <w:tcPr>
                  <w:tcW w:w="768" w:type="pct"/>
                  <w:vMerge w:val="restart"/>
                  <w:vAlign w:val="center"/>
                </w:tcPr>
                <w:p w14:paraId="52AAAF2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工况</w:t>
                  </w:r>
                </w:p>
              </w:tc>
            </w:tr>
            <w:tr w14:paraId="264A0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694" w:type="pct"/>
                  <w:vMerge w:val="continue"/>
                  <w:vAlign w:val="center"/>
                </w:tcPr>
                <w:p w14:paraId="60784930">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p>
              </w:tc>
              <w:tc>
                <w:tcPr>
                  <w:tcW w:w="741" w:type="pct"/>
                  <w:vMerge w:val="continue"/>
                  <w:vAlign w:val="center"/>
                </w:tcPr>
                <w:p w14:paraId="019CA56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p>
              </w:tc>
              <w:tc>
                <w:tcPr>
                  <w:tcW w:w="663" w:type="pct"/>
                  <w:vMerge w:val="continue"/>
                  <w:vAlign w:val="center"/>
                </w:tcPr>
                <w:p w14:paraId="718260F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p>
              </w:tc>
              <w:tc>
                <w:tcPr>
                  <w:tcW w:w="1093" w:type="pct"/>
                  <w:vMerge w:val="continue"/>
                  <w:vAlign w:val="center"/>
                </w:tcPr>
                <w:p w14:paraId="31CFE4CA">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p>
              </w:tc>
              <w:tc>
                <w:tcPr>
                  <w:tcW w:w="1038" w:type="pct"/>
                  <w:vAlign w:val="center"/>
                </w:tcPr>
                <w:p w14:paraId="0F88E9C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产生量t/a</w:t>
                  </w:r>
                </w:p>
              </w:tc>
              <w:tc>
                <w:tcPr>
                  <w:tcW w:w="768" w:type="pct"/>
                  <w:vMerge w:val="continue"/>
                  <w:vAlign w:val="center"/>
                </w:tcPr>
                <w:p w14:paraId="71CB7B6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4308C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94" w:type="pct"/>
                  <w:vAlign w:val="center"/>
                </w:tcPr>
                <w:p w14:paraId="7931CE4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喷粉</w:t>
                  </w:r>
                </w:p>
              </w:tc>
              <w:tc>
                <w:tcPr>
                  <w:tcW w:w="741" w:type="pct"/>
                  <w:vAlign w:val="center"/>
                </w:tcPr>
                <w:p w14:paraId="06C4592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塑粉</w:t>
                  </w:r>
                </w:p>
              </w:tc>
              <w:tc>
                <w:tcPr>
                  <w:tcW w:w="663" w:type="pct"/>
                  <w:vAlign w:val="center"/>
                </w:tcPr>
                <w:p w14:paraId="359C47C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155.292</w:t>
                  </w:r>
                </w:p>
              </w:tc>
              <w:tc>
                <w:tcPr>
                  <w:tcW w:w="1093" w:type="pct"/>
                  <w:vAlign w:val="center"/>
                </w:tcPr>
                <w:p w14:paraId="52D9EE7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工件未附着量</w:t>
                  </w:r>
                  <w:r>
                    <w:rPr>
                      <w:rFonts w:hint="eastAsia" w:cs="Times New Roman"/>
                      <w:color w:val="000000" w:themeColor="text1"/>
                      <w:szCs w:val="21"/>
                      <w:lang w:val="en-US" w:eastAsia="zh-CN"/>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w:t>
                  </w:r>
                </w:p>
              </w:tc>
              <w:tc>
                <w:tcPr>
                  <w:tcW w:w="1038" w:type="pct"/>
                  <w:vAlign w:val="center"/>
                </w:tcPr>
                <w:p w14:paraId="0D9E69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54.352</w:t>
                  </w:r>
                </w:p>
              </w:tc>
              <w:tc>
                <w:tcPr>
                  <w:tcW w:w="768" w:type="pct"/>
                  <w:vAlign w:val="center"/>
                </w:tcPr>
                <w:p w14:paraId="5AD1F09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eastAsia" w:cs="Times New Roman"/>
                      <w:color w:val="000000" w:themeColor="text1"/>
                      <w:lang w:val="en-US" w:eastAsia="zh-CN"/>
                      <w14:textFill>
                        <w14:solidFill>
                          <w14:schemeClr w14:val="tx1"/>
                        </w14:solidFill>
                      </w14:textFill>
                    </w:rPr>
                    <w:t>5120</w:t>
                  </w:r>
                  <w:r>
                    <w:rPr>
                      <w:rFonts w:hint="default" w:ascii="Times New Roman" w:hAnsi="Times New Roman" w:cs="Times New Roman"/>
                      <w:color w:val="000000" w:themeColor="text1"/>
                      <w14:textFill>
                        <w14:solidFill>
                          <w14:schemeClr w14:val="tx1"/>
                        </w14:solidFill>
                      </w14:textFill>
                    </w:rPr>
                    <w:t>h/a</w:t>
                  </w:r>
                </w:p>
              </w:tc>
            </w:tr>
          </w:tbl>
          <w:p w14:paraId="43B78ACF">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风量核算：</w:t>
            </w:r>
          </w:p>
          <w:p w14:paraId="7355109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喷粉粉尘的产污设备为喷粉</w:t>
            </w:r>
            <w:r>
              <w:rPr>
                <w:rFonts w:hint="eastAsia" w:cs="Times New Roman"/>
                <w:color w:val="000000" w:themeColor="text1"/>
                <w:sz w:val="24"/>
                <w:lang w:val="en-US" w:eastAsia="zh-CN"/>
                <w14:textFill>
                  <w14:solidFill>
                    <w14:schemeClr w14:val="tx1"/>
                  </w14:solidFill>
                </w14:textFill>
              </w:rPr>
              <w:t>房</w:t>
            </w:r>
            <w:r>
              <w:rPr>
                <w:rFonts w:hint="default" w:ascii="Times New Roman" w:hAnsi="Times New Roman" w:cs="Times New Roman"/>
                <w:color w:val="000000" w:themeColor="text1"/>
                <w:sz w:val="24"/>
                <w14:textFill>
                  <w14:solidFill>
                    <w14:schemeClr w14:val="tx1"/>
                  </w14:solidFill>
                </w14:textFill>
              </w:rPr>
              <w:t>。喷粉工序项目设置</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条喷粉线，喷粉线配备</w:t>
            </w:r>
            <w:r>
              <w:rPr>
                <w:rFonts w:hint="eastAsia" w:ascii="Times New Roman" w:hAnsi="Times New Roman" w:cs="Times New Roman"/>
                <w:color w:val="000000"/>
                <w:sz w:val="24"/>
                <w:szCs w:val="24"/>
                <w:lang w:val="en-US" w:eastAsia="zh-CN"/>
              </w:rPr>
              <w:t>6</w:t>
            </w:r>
            <w:r>
              <w:rPr>
                <w:rFonts w:hint="default" w:ascii="Times New Roman" w:hAnsi="Times New Roman" w:cs="Times New Roman"/>
                <w:color w:val="000000"/>
                <w:sz w:val="24"/>
                <w:szCs w:val="24"/>
              </w:rPr>
              <w:t>个</w:t>
            </w:r>
            <w:r>
              <w:rPr>
                <w:rFonts w:hint="default" w:ascii="Times New Roman" w:hAnsi="Times New Roman" w:cs="Times New Roman"/>
                <w:color w:val="000000"/>
                <w:sz w:val="24"/>
                <w:szCs w:val="24"/>
                <w:lang w:val="en-US" w:eastAsia="zh-CN"/>
              </w:rPr>
              <w:t>人工</w:t>
            </w:r>
            <w:r>
              <w:rPr>
                <w:rFonts w:hint="eastAsia" w:ascii="Times New Roman" w:hAnsi="Times New Roman" w:cs="Times New Roman"/>
                <w:color w:val="000000"/>
                <w:sz w:val="24"/>
                <w:szCs w:val="24"/>
                <w:lang w:val="en-US" w:eastAsia="zh-CN"/>
              </w:rPr>
              <w:t>补粉</w:t>
            </w:r>
            <w:r>
              <w:rPr>
                <w:rFonts w:hint="default" w:ascii="Times New Roman" w:hAnsi="Times New Roman" w:cs="Times New Roman"/>
                <w:color w:val="000000"/>
                <w:sz w:val="24"/>
                <w:szCs w:val="24"/>
                <w:lang w:val="en-US" w:eastAsia="zh-CN"/>
              </w:rPr>
              <w:t>房+</w:t>
            </w:r>
            <w:r>
              <w:rPr>
                <w:rFonts w:hint="eastAsia" w:ascii="Times New Roman" w:hAnsi="Times New Roman" w:cs="Times New Roman"/>
                <w:color w:val="000000"/>
                <w:sz w:val="24"/>
                <w:szCs w:val="24"/>
                <w:lang w:val="en-US" w:eastAsia="zh-CN"/>
              </w:rPr>
              <w:t>4</w:t>
            </w:r>
            <w:r>
              <w:rPr>
                <w:rFonts w:hint="default" w:ascii="Times New Roman" w:hAnsi="Times New Roman" w:cs="Times New Roman"/>
                <w:color w:val="000000"/>
                <w:sz w:val="24"/>
                <w:szCs w:val="24"/>
                <w:lang w:val="en-US" w:eastAsia="zh-CN"/>
              </w:rPr>
              <w:t>个</w:t>
            </w:r>
            <w:r>
              <w:rPr>
                <w:rFonts w:hint="eastAsia" w:ascii="Times New Roman" w:hAnsi="Times New Roman" w:cs="Times New Roman"/>
                <w:color w:val="000000"/>
                <w:sz w:val="24"/>
                <w:szCs w:val="24"/>
                <w:lang w:val="en-US" w:eastAsia="zh-CN"/>
              </w:rPr>
              <w:t>静电</w:t>
            </w:r>
            <w:r>
              <w:rPr>
                <w:rFonts w:hint="default" w:ascii="Times New Roman" w:hAnsi="Times New Roman" w:cs="Times New Roman"/>
                <w:color w:val="000000"/>
                <w:sz w:val="24"/>
                <w:szCs w:val="24"/>
                <w:lang w:val="en-US" w:eastAsia="zh-CN"/>
              </w:rPr>
              <w:t>喷粉房</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eastAsiaTheme="minorEastAsia"/>
                <w:color w:val="000000" w:themeColor="text1"/>
                <w:sz w:val="24"/>
                <w14:textFill>
                  <w14:solidFill>
                    <w14:schemeClr w14:val="tx1"/>
                  </w14:solidFill>
                </w14:textFill>
              </w:rPr>
              <w:t>拟采用密闭负压收集。</w:t>
            </w:r>
          </w:p>
          <w:p w14:paraId="216B9368">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根据《机械工业采暖通风与空调设计手册》（许居鹓主编，同济大学出版社），排风量采用换气次数法确定全面通风量： </w:t>
            </w:r>
          </w:p>
          <w:p w14:paraId="3702C922">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L= nVi </w:t>
            </w:r>
          </w:p>
          <w:p w14:paraId="00EAFAB7">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式中：L——全面通风量（m</w:t>
            </w:r>
            <w:r>
              <w:rPr>
                <w:rFonts w:hint="default" w:ascii="Times New Roman" w:hAnsi="Times New Roman" w:cs="Times New Roman" w:eastAsiaTheme="minorEastAsia"/>
                <w:color w:val="000000" w:themeColor="text1"/>
                <w:sz w:val="24"/>
                <w:vertAlign w:val="superscript"/>
                <w14:textFill>
                  <w14:solidFill>
                    <w14:schemeClr w14:val="tx1"/>
                  </w14:solidFill>
                </w14:textFill>
              </w:rPr>
              <w:t xml:space="preserve">3 </w:t>
            </w:r>
            <w:r>
              <w:rPr>
                <w:rFonts w:hint="default" w:ascii="Times New Roman" w:hAnsi="Times New Roman" w:cs="Times New Roman" w:eastAsiaTheme="minorEastAsia"/>
                <w:color w:val="000000" w:themeColor="text1"/>
                <w:sz w:val="24"/>
                <w14:textFill>
                  <w14:solidFill>
                    <w14:schemeClr w14:val="tx1"/>
                  </w14:solidFill>
                </w14:textFill>
              </w:rPr>
              <w:t xml:space="preserve">/h） </w:t>
            </w:r>
          </w:p>
          <w:p w14:paraId="51A0FE65">
            <w:pPr>
              <w:keepNext w:val="0"/>
              <w:keepLines w:val="0"/>
              <w:widowControl/>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n——换气次数（次/h），根据《工业企业设计卫生标准》规定：“有毒易燃危险气体换气次数不小于12次/h”，本项目喷粉房换气次数按</w:t>
            </w:r>
            <w:r>
              <w:rPr>
                <w:rFonts w:hint="eastAsia" w:cs="Times New Roman" w:eastAsiaTheme="minorEastAsia"/>
                <w:color w:val="000000" w:themeColor="text1"/>
                <w:sz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14:textFill>
                  <w14:solidFill>
                    <w14:schemeClr w14:val="tx1"/>
                  </w14:solidFill>
                </w14:textFill>
              </w:rPr>
              <w:t>0次/h 计。</w:t>
            </w:r>
          </w:p>
          <w:p w14:paraId="284C4036">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24"/>
                <w:lang w:val="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eastAsia" w:cs="Times New Roman"/>
                <w:b/>
                <w:color w:val="000000" w:themeColor="text1"/>
                <w:sz w:val="24"/>
                <w:lang w:val="en-US" w:eastAsia="zh-CN"/>
                <w14:textFill>
                  <w14:solidFill>
                    <w14:schemeClr w14:val="tx1"/>
                  </w14:solidFill>
                </w14:textFill>
              </w:rPr>
              <w:t>12</w:t>
            </w:r>
            <w:r>
              <w:rPr>
                <w:rFonts w:hint="default" w:ascii="Times New Roman" w:hAnsi="Times New Roman" w:cs="Times New Roman"/>
                <w:b/>
                <w:color w:val="000000" w:themeColor="text1"/>
                <w:sz w:val="24"/>
                <w14:textFill>
                  <w14:solidFill>
                    <w14:schemeClr w14:val="tx1"/>
                  </w14:solidFill>
                </w14:textFill>
              </w:rPr>
              <w:t xml:space="preserve">  喷粉房换气情况一览表</w:t>
            </w:r>
          </w:p>
          <w:tbl>
            <w:tblPr>
              <w:tblStyle w:val="6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8"/>
              <w:gridCol w:w="2138"/>
              <w:gridCol w:w="1332"/>
              <w:gridCol w:w="1446"/>
              <w:gridCol w:w="1668"/>
            </w:tblGrid>
            <w:tr w14:paraId="23D6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20" w:type="pct"/>
                  <w:vAlign w:val="center"/>
                </w:tcPr>
                <w:p w14:paraId="10481C8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车间名称</w:t>
                  </w:r>
                </w:p>
              </w:tc>
              <w:tc>
                <w:tcPr>
                  <w:tcW w:w="1292" w:type="pct"/>
                  <w:vAlign w:val="center"/>
                </w:tcPr>
                <w:p w14:paraId="397C2B42">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车间尺寸m</w:t>
                  </w:r>
                </w:p>
              </w:tc>
              <w:tc>
                <w:tcPr>
                  <w:tcW w:w="805" w:type="pct"/>
                  <w:vAlign w:val="center"/>
                </w:tcPr>
                <w:p w14:paraId="6B945B3D">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w:t>
                  </w:r>
                </w:p>
                <w:p w14:paraId="357D3250">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数量</w:t>
                  </w:r>
                </w:p>
              </w:tc>
              <w:tc>
                <w:tcPr>
                  <w:tcW w:w="874" w:type="pct"/>
                  <w:vAlign w:val="center"/>
                </w:tcPr>
                <w:p w14:paraId="1F000A5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换气次数</w:t>
                  </w:r>
                </w:p>
                <w:p w14:paraId="5F999F4B">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（次/小时）</w:t>
                  </w:r>
                </w:p>
              </w:tc>
              <w:tc>
                <w:tcPr>
                  <w:tcW w:w="1008" w:type="pct"/>
                  <w:vAlign w:val="center"/>
                </w:tcPr>
                <w:p w14:paraId="2380EB7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整体换风量（m</w:t>
                  </w:r>
                  <w:r>
                    <w:rPr>
                      <w:rFonts w:hint="default" w:ascii="Times New Roman" w:hAnsi="Times New Roman" w:cs="Times New Roman"/>
                      <w:b/>
                      <w:bCs/>
                      <w:color w:val="000000" w:themeColor="text1"/>
                      <w:szCs w:val="21"/>
                      <w:vertAlign w:val="super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/h）</w:t>
                  </w:r>
                </w:p>
              </w:tc>
            </w:tr>
            <w:tr w14:paraId="0C49F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0" w:type="pct"/>
                  <w:shd w:val="clear" w:color="auto" w:fill="auto"/>
                  <w:vAlign w:val="center"/>
                </w:tcPr>
                <w:p w14:paraId="6B3BFCC7">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sz w:val="21"/>
                      <w:szCs w:val="21"/>
                      <w:lang w:val="en-US" w:eastAsia="zh-CN"/>
                    </w:rPr>
                    <w:t>静电喷粉房</w:t>
                  </w:r>
                </w:p>
              </w:tc>
              <w:tc>
                <w:tcPr>
                  <w:tcW w:w="1292" w:type="pct"/>
                  <w:shd w:val="clear" w:color="auto" w:fill="auto"/>
                  <w:vAlign w:val="center"/>
                </w:tcPr>
                <w:p w14:paraId="775D5D1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000000"/>
                      <w:kern w:val="0"/>
                      <w:sz w:val="21"/>
                      <w:szCs w:val="21"/>
                      <w:lang w:val="en-US" w:eastAsia="zh-CN" w:bidi="ar-SA"/>
                    </w:rPr>
                  </w:pPr>
                  <w:r>
                    <w:rPr>
                      <w:rFonts w:hint="default" w:ascii="Times New Roman" w:hAnsi="Times New Roman" w:eastAsia="宋体" w:cs="Times New Roman"/>
                      <w:b w:val="0"/>
                      <w:bCs w:val="0"/>
                      <w:color w:val="000000"/>
                      <w:sz w:val="21"/>
                      <w:szCs w:val="21"/>
                      <w:lang w:val="en-US" w:eastAsia="zh-CN"/>
                    </w:rPr>
                    <w:t>L</w:t>
                  </w:r>
                  <w:r>
                    <w:rPr>
                      <w:rFonts w:hint="eastAsia"/>
                      <w:color w:val="auto"/>
                      <w:kern w:val="0"/>
                      <w:szCs w:val="21"/>
                      <w:highlight w:val="none"/>
                      <w:lang w:val="en-US" w:eastAsia="zh-CN" w:bidi="ar"/>
                    </w:rPr>
                    <w:t>5</w:t>
                  </w:r>
                  <w:r>
                    <w:rPr>
                      <w:rFonts w:hint="default"/>
                      <w:color w:val="auto"/>
                      <w:kern w:val="0"/>
                      <w:szCs w:val="21"/>
                      <w:highlight w:val="none"/>
                      <w:lang w:bidi="ar"/>
                    </w:rPr>
                    <w:t>m×</w:t>
                  </w:r>
                  <w:r>
                    <w:rPr>
                      <w:rFonts w:hint="default" w:ascii="Times New Roman" w:hAnsi="Times New Roman" w:eastAsia="宋体" w:cs="Times New Roman"/>
                      <w:b w:val="0"/>
                      <w:bCs w:val="0"/>
                      <w:color w:val="000000"/>
                      <w:sz w:val="21"/>
                      <w:szCs w:val="21"/>
                      <w:lang w:val="en-US" w:eastAsia="zh-CN"/>
                    </w:rPr>
                    <w:t>W</w:t>
                  </w:r>
                  <w:r>
                    <w:rPr>
                      <w:rFonts w:hint="default"/>
                      <w:color w:val="auto"/>
                      <w:kern w:val="0"/>
                      <w:szCs w:val="21"/>
                      <w:highlight w:val="none"/>
                      <w:lang w:bidi="ar"/>
                    </w:rPr>
                    <w:t>3.5m×</w:t>
                  </w:r>
                  <w:r>
                    <w:rPr>
                      <w:rFonts w:hint="default" w:ascii="Times New Roman" w:hAnsi="Times New Roman" w:eastAsia="宋体" w:cs="Times New Roman"/>
                      <w:b w:val="0"/>
                      <w:bCs w:val="0"/>
                      <w:color w:val="000000"/>
                      <w:sz w:val="21"/>
                      <w:szCs w:val="21"/>
                      <w:lang w:val="en-US" w:eastAsia="zh-CN"/>
                    </w:rPr>
                    <w:t>H</w:t>
                  </w:r>
                  <w:r>
                    <w:rPr>
                      <w:rFonts w:hint="eastAsia" w:eastAsia="宋体"/>
                      <w:color w:val="auto"/>
                      <w:kern w:val="0"/>
                      <w:szCs w:val="21"/>
                      <w:highlight w:val="none"/>
                      <w:lang w:val="en-US" w:eastAsia="zh-CN" w:bidi="ar"/>
                    </w:rPr>
                    <w:t>3</w:t>
                  </w:r>
                  <w:r>
                    <w:rPr>
                      <w:rFonts w:hint="default"/>
                      <w:color w:val="auto"/>
                      <w:kern w:val="0"/>
                      <w:szCs w:val="21"/>
                      <w:highlight w:val="none"/>
                      <w:lang w:bidi="ar"/>
                    </w:rPr>
                    <w:t>m</w:t>
                  </w:r>
                </w:p>
              </w:tc>
              <w:tc>
                <w:tcPr>
                  <w:tcW w:w="805" w:type="pct"/>
                  <w:vAlign w:val="center"/>
                </w:tcPr>
                <w:p w14:paraId="53C8624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sz w:val="21"/>
                      <w:szCs w:val="21"/>
                      <w:lang w:val="en-US" w:eastAsia="zh-CN"/>
                    </w:rPr>
                    <w:t>4</w:t>
                  </w:r>
                </w:p>
              </w:tc>
              <w:tc>
                <w:tcPr>
                  <w:tcW w:w="874" w:type="pct"/>
                  <w:vAlign w:val="center"/>
                </w:tcPr>
                <w:p w14:paraId="496EA5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30</w:t>
                  </w:r>
                </w:p>
              </w:tc>
              <w:tc>
                <w:tcPr>
                  <w:tcW w:w="1668" w:type="dxa"/>
                  <w:vAlign w:val="center"/>
                </w:tcPr>
                <w:p w14:paraId="34D938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6300</w:t>
                  </w:r>
                </w:p>
              </w:tc>
            </w:tr>
            <w:tr w14:paraId="5244A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0" w:type="pct"/>
                  <w:shd w:val="clear" w:color="auto" w:fill="auto"/>
                  <w:vAlign w:val="center"/>
                </w:tcPr>
                <w:p w14:paraId="7D81B7A8">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sz w:val="21"/>
                      <w:szCs w:val="21"/>
                      <w:lang w:val="en-US" w:eastAsia="zh-CN"/>
                    </w:rPr>
                    <w:t>人工补粉房</w:t>
                  </w:r>
                </w:p>
              </w:tc>
              <w:tc>
                <w:tcPr>
                  <w:tcW w:w="1292" w:type="pct"/>
                  <w:shd w:val="clear" w:color="auto" w:fill="auto"/>
                  <w:vAlign w:val="center"/>
                </w:tcPr>
                <w:p w14:paraId="4E96C80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000000"/>
                      <w:kern w:val="0"/>
                      <w:sz w:val="21"/>
                      <w:szCs w:val="21"/>
                      <w:lang w:val="en-US" w:eastAsia="zh-CN" w:bidi="ar-SA"/>
                    </w:rPr>
                  </w:pPr>
                  <w:r>
                    <w:rPr>
                      <w:rFonts w:hint="default" w:ascii="Times New Roman" w:hAnsi="Times New Roman" w:eastAsia="宋体" w:cs="Times New Roman"/>
                      <w:b w:val="0"/>
                      <w:bCs w:val="0"/>
                      <w:color w:val="000000"/>
                      <w:sz w:val="21"/>
                      <w:szCs w:val="21"/>
                      <w:lang w:val="en-US" w:eastAsia="zh-CN"/>
                    </w:rPr>
                    <w:t>L</w:t>
                  </w:r>
                  <w:r>
                    <w:rPr>
                      <w:rFonts w:hint="eastAsia" w:eastAsia="宋体"/>
                      <w:color w:val="auto"/>
                      <w:kern w:val="0"/>
                      <w:szCs w:val="21"/>
                      <w:highlight w:val="none"/>
                      <w:lang w:val="en-US" w:eastAsia="zh-CN" w:bidi="ar"/>
                    </w:rPr>
                    <w:t>3</w:t>
                  </w:r>
                  <w:r>
                    <w:rPr>
                      <w:rFonts w:hint="default"/>
                      <w:color w:val="auto"/>
                      <w:kern w:val="0"/>
                      <w:szCs w:val="21"/>
                      <w:highlight w:val="none"/>
                      <w:lang w:bidi="ar"/>
                    </w:rPr>
                    <w:t>m×</w:t>
                  </w:r>
                  <w:r>
                    <w:rPr>
                      <w:rFonts w:hint="default" w:ascii="Times New Roman" w:hAnsi="Times New Roman" w:eastAsia="宋体" w:cs="Times New Roman"/>
                      <w:b w:val="0"/>
                      <w:bCs w:val="0"/>
                      <w:color w:val="000000"/>
                      <w:sz w:val="21"/>
                      <w:szCs w:val="21"/>
                      <w:lang w:val="en-US" w:eastAsia="zh-CN"/>
                    </w:rPr>
                    <w:t>W</w:t>
                  </w:r>
                  <w:r>
                    <w:rPr>
                      <w:rFonts w:hint="eastAsia" w:eastAsia="宋体"/>
                      <w:color w:val="auto"/>
                      <w:kern w:val="0"/>
                      <w:szCs w:val="21"/>
                      <w:highlight w:val="none"/>
                      <w:lang w:val="en-US" w:eastAsia="zh-CN" w:bidi="ar"/>
                    </w:rPr>
                    <w:t>1.5</w:t>
                  </w:r>
                  <w:r>
                    <w:rPr>
                      <w:rFonts w:hint="default"/>
                      <w:color w:val="auto"/>
                      <w:kern w:val="0"/>
                      <w:szCs w:val="21"/>
                      <w:highlight w:val="none"/>
                      <w:lang w:bidi="ar"/>
                    </w:rPr>
                    <w:t>m×</w:t>
                  </w:r>
                  <w:r>
                    <w:rPr>
                      <w:rFonts w:hint="default" w:ascii="Times New Roman" w:hAnsi="Times New Roman" w:eastAsia="宋体" w:cs="Times New Roman"/>
                      <w:b w:val="0"/>
                      <w:bCs w:val="0"/>
                      <w:color w:val="000000"/>
                      <w:sz w:val="21"/>
                      <w:szCs w:val="21"/>
                      <w:lang w:val="en-US" w:eastAsia="zh-CN"/>
                    </w:rPr>
                    <w:t>H</w:t>
                  </w:r>
                  <w:r>
                    <w:rPr>
                      <w:rFonts w:hint="eastAsia" w:eastAsia="宋体"/>
                      <w:color w:val="auto"/>
                      <w:kern w:val="0"/>
                      <w:szCs w:val="21"/>
                      <w:highlight w:val="none"/>
                      <w:lang w:val="en-US" w:eastAsia="zh-CN" w:bidi="ar"/>
                    </w:rPr>
                    <w:t>3</w:t>
                  </w:r>
                  <w:r>
                    <w:rPr>
                      <w:rFonts w:hint="default"/>
                      <w:color w:val="auto"/>
                      <w:kern w:val="0"/>
                      <w:szCs w:val="21"/>
                      <w:highlight w:val="none"/>
                      <w:lang w:bidi="ar"/>
                    </w:rPr>
                    <w:t>m</w:t>
                  </w:r>
                </w:p>
              </w:tc>
              <w:tc>
                <w:tcPr>
                  <w:tcW w:w="805" w:type="pct"/>
                  <w:vAlign w:val="center"/>
                </w:tcPr>
                <w:p w14:paraId="5ACD1BC5">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sz w:val="21"/>
                      <w:szCs w:val="21"/>
                      <w:lang w:val="en-US" w:eastAsia="zh-CN"/>
                    </w:rPr>
                    <w:t>6</w:t>
                  </w:r>
                </w:p>
              </w:tc>
              <w:tc>
                <w:tcPr>
                  <w:tcW w:w="874" w:type="pct"/>
                  <w:vAlign w:val="center"/>
                </w:tcPr>
                <w:p w14:paraId="55B3E1A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30</w:t>
                  </w:r>
                </w:p>
              </w:tc>
              <w:tc>
                <w:tcPr>
                  <w:tcW w:w="1668" w:type="dxa"/>
                  <w:vAlign w:val="center"/>
                </w:tcPr>
                <w:p w14:paraId="06283C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2430</w:t>
                  </w:r>
                </w:p>
              </w:tc>
            </w:tr>
            <w:tr w14:paraId="44847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1" w:type="pct"/>
                  <w:gridSpan w:val="4"/>
                  <w:shd w:val="clear" w:color="auto" w:fill="auto"/>
                  <w:vAlign w:val="center"/>
                </w:tcPr>
                <w:p w14:paraId="2FF2729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合计</w:t>
                  </w:r>
                </w:p>
              </w:tc>
              <w:tc>
                <w:tcPr>
                  <w:tcW w:w="1668" w:type="dxa"/>
                  <w:vAlign w:val="center"/>
                </w:tcPr>
                <w:p w14:paraId="7688392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8730</w:t>
                  </w:r>
                </w:p>
              </w:tc>
            </w:tr>
          </w:tbl>
          <w:p w14:paraId="0D390D90">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综上所述，项目喷粉房风机风量为</w:t>
            </w:r>
            <w:r>
              <w:rPr>
                <w:rFonts w:hint="eastAsia" w:cs="Times New Roman"/>
                <w:color w:val="000000" w:themeColor="text1"/>
                <w:sz w:val="24"/>
                <w:lang w:val="en-US" w:eastAsia="zh-CN"/>
                <w14:textFill>
                  <w14:solidFill>
                    <w14:schemeClr w14:val="tx1"/>
                  </w14:solidFill>
                </w14:textFill>
              </w:rPr>
              <w:t>8730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综合考虑风阻损耗等影响，按计算风量的1.2倍取值，则喷粉房风机风量为</w:t>
            </w:r>
            <w:r>
              <w:rPr>
                <w:rFonts w:hint="eastAsia" w:cs="Times New Roman"/>
                <w:color w:val="000000" w:themeColor="text1"/>
                <w:sz w:val="24"/>
                <w:lang w:val="en-US" w:eastAsia="zh-CN"/>
                <w14:textFill>
                  <w14:solidFill>
                    <w14:schemeClr w14:val="tx1"/>
                  </w14:solidFill>
                </w14:textFill>
              </w:rPr>
              <w:t>10476</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/h，取整为</w:t>
            </w:r>
            <w:r>
              <w:rPr>
                <w:rFonts w:hint="eastAsia" w:cs="Times New Roman"/>
                <w:color w:val="000000" w:themeColor="text1"/>
                <w:sz w:val="24"/>
                <w:lang w:val="en-US" w:eastAsia="zh-CN"/>
                <w14:textFill>
                  <w14:solidFill>
                    <w14:schemeClr w14:val="tx1"/>
                  </w14:solidFill>
                </w14:textFill>
              </w:rPr>
              <w:t>11</w:t>
            </w:r>
            <w:r>
              <w:rPr>
                <w:rFonts w:hint="default" w:ascii="Times New Roman" w:hAnsi="Times New Roman" w:cs="Times New Roman"/>
                <w:color w:val="000000" w:themeColor="text1"/>
                <w:sz w:val="24"/>
                <w14:textFill>
                  <w14:solidFill>
                    <w14:schemeClr w14:val="tx1"/>
                  </w14:solidFill>
                </w14:textFill>
              </w:rPr>
              <w:t>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60CA0715">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项目喷粉工序年运行</w:t>
            </w:r>
            <w:r>
              <w:rPr>
                <w:rFonts w:hint="eastAsia" w:cs="Times New Roman"/>
                <w:color w:val="000000" w:themeColor="text1"/>
                <w:kern w:val="0"/>
                <w:sz w:val="24"/>
                <w:lang w:val="en-US" w:eastAsia="zh-CN"/>
                <w14:textFill>
                  <w14:solidFill>
                    <w14:schemeClr w14:val="tx1"/>
                  </w14:solidFill>
                </w14:textFill>
              </w:rPr>
              <w:t>512</w:t>
            </w:r>
            <w:r>
              <w:rPr>
                <w:rFonts w:hint="default" w:ascii="Times New Roman" w:hAnsi="Times New Roman" w:cs="Times New Roman"/>
                <w:color w:val="000000" w:themeColor="text1"/>
                <w:kern w:val="0"/>
                <w:sz w:val="24"/>
                <w14:textFill>
                  <w14:solidFill>
                    <w14:schemeClr w14:val="tx1"/>
                  </w14:solidFill>
                </w14:textFill>
              </w:rPr>
              <w:t>0h，喷粉</w:t>
            </w:r>
            <w:r>
              <w:rPr>
                <w:rFonts w:hint="default" w:ascii="Times New Roman" w:hAnsi="Times New Roman" w:cs="Times New Roman"/>
                <w:color w:val="000000" w:themeColor="text1"/>
                <w:sz w:val="24"/>
                <w14:textFill>
                  <w14:solidFill>
                    <w14:schemeClr w14:val="tx1"/>
                  </w14:solidFill>
                </w14:textFill>
              </w:rPr>
              <w:t>工序风机风量为</w:t>
            </w:r>
            <w:r>
              <w:rPr>
                <w:rFonts w:hint="eastAsia" w:cs="Times New Roman"/>
                <w:color w:val="000000" w:themeColor="text1"/>
                <w:sz w:val="24"/>
                <w:lang w:val="en-US" w:eastAsia="zh-CN"/>
                <w14:textFill>
                  <w14:solidFill>
                    <w14:schemeClr w14:val="tx1"/>
                  </w14:solidFill>
                </w14:textFill>
              </w:rPr>
              <w:t>110</w:t>
            </w:r>
            <w:r>
              <w:rPr>
                <w:rFonts w:hint="default" w:ascii="Times New Roman" w:hAnsi="Times New Roman" w:cs="Times New Roman"/>
                <w:color w:val="000000" w:themeColor="text1"/>
                <w:sz w:val="24"/>
                <w14:textFill>
                  <w14:solidFill>
                    <w14:schemeClr w14:val="tx1"/>
                  </w14:solidFill>
                </w14:textFill>
              </w:rPr>
              <w:t>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r>
              <w:rPr>
                <w:rFonts w:hint="default" w:ascii="Times New Roman" w:hAnsi="Times New Roman" w:cs="Times New Roman"/>
                <w:color w:val="000000" w:themeColor="text1"/>
                <w:kern w:val="0"/>
                <w:sz w:val="24"/>
                <w14:textFill>
                  <w14:solidFill>
                    <w14:schemeClr w14:val="tx1"/>
                  </w14:solidFill>
                </w14:textFill>
              </w:rPr>
              <w:t>喷粉粉尘颗粒物产生</w:t>
            </w:r>
            <w:r>
              <w:rPr>
                <w:rFonts w:hint="default" w:ascii="Times New Roman" w:hAnsi="Times New Roman" w:eastAsia="宋体" w:cs="Times New Roman"/>
                <w:color w:val="000000" w:themeColor="text1"/>
                <w:kern w:val="0"/>
                <w:sz w:val="24"/>
                <w14:textFill>
                  <w14:solidFill>
                    <w14:schemeClr w14:val="tx1"/>
                  </w14:solidFill>
                </w14:textFill>
              </w:rPr>
              <w:t>总量为</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54.352</w:t>
            </w:r>
            <w:r>
              <w:rPr>
                <w:rFonts w:hint="default" w:ascii="Times New Roman" w:hAnsi="Times New Roman" w:eastAsia="宋体" w:cs="Times New Roman"/>
                <w:color w:val="000000" w:themeColor="text1"/>
                <w:kern w:val="0"/>
                <w:sz w:val="24"/>
                <w14:textFill>
                  <w14:solidFill>
                    <w14:schemeClr w14:val="tx1"/>
                  </w14:solidFill>
                </w14:textFill>
              </w:rPr>
              <w:t>t/a。</w:t>
            </w:r>
            <w:r>
              <w:rPr>
                <w:rFonts w:hint="default" w:ascii="Times New Roman" w:hAnsi="Times New Roman" w:cs="Times New Roman"/>
                <w:color w:val="000000" w:themeColor="text1"/>
                <w:kern w:val="0"/>
                <w:sz w:val="24"/>
                <w14:textFill>
                  <w14:solidFill>
                    <w14:schemeClr w14:val="tx1"/>
                  </w14:solidFill>
                </w14:textFill>
              </w:rPr>
              <w:t>喷粉粉尘经喷粉房密闭负压收集+滤筒+脉冲布袋除尘器处理后通过1根</w:t>
            </w:r>
            <w:r>
              <w:rPr>
                <w:rFonts w:hint="default" w:ascii="Times New Roman" w:hAnsi="Times New Roman" w:eastAsia="宋体" w:cs="Times New Roman"/>
                <w:color w:val="000000" w:themeColor="text1"/>
                <w:kern w:val="0"/>
                <w:sz w:val="24"/>
                <w:lang w:eastAsia="zh-CN"/>
                <w14:textFill>
                  <w14:solidFill>
                    <w14:schemeClr w14:val="tx1"/>
                  </w14:solidFill>
                </w14:textFill>
              </w:rPr>
              <w:t>15m</w:t>
            </w:r>
            <w:r>
              <w:rPr>
                <w:rFonts w:hint="default" w:ascii="Times New Roman" w:hAnsi="Times New Roman" w:eastAsia="宋体" w:cs="Times New Roman"/>
                <w:color w:val="000000" w:themeColor="text1"/>
                <w:kern w:val="0"/>
                <w:sz w:val="24"/>
                <w14:textFill>
                  <w14:solidFill>
                    <w14:schemeClr w14:val="tx1"/>
                  </w14:solidFill>
                </w14:textFill>
              </w:rPr>
              <w:t>高的排气筒DA00</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14:textFill>
                  <w14:solidFill>
                    <w14:schemeClr w14:val="tx1"/>
                  </w14:solidFill>
                </w14:textFill>
              </w:rPr>
              <w:t>排放。废气收集效率按95%计，滤筒+脉冲布袋除尘器处理效</w:t>
            </w:r>
            <w:r>
              <w:rPr>
                <w:rFonts w:hint="default" w:ascii="Times New Roman" w:hAnsi="Times New Roman" w:cs="Times New Roman"/>
                <w:color w:val="000000" w:themeColor="text1"/>
                <w:kern w:val="0"/>
                <w:sz w:val="24"/>
                <w14:textFill>
                  <w14:solidFill>
                    <w14:schemeClr w14:val="tx1"/>
                  </w14:solidFill>
                </w14:textFill>
              </w:rPr>
              <w:t>率按99%计。</w:t>
            </w:r>
          </w:p>
          <w:p w14:paraId="417E8C31">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cs="Times New Roman"/>
                <w:b/>
                <w:color w:val="000000" w:themeColor="text1"/>
                <w:kern w:val="0"/>
                <w:sz w:val="24"/>
                <w:lang w:val="en-US" w:eastAsia="zh-CN"/>
                <w14:textFill>
                  <w14:solidFill>
                    <w14:schemeClr w14:val="tx1"/>
                  </w14:solidFill>
                </w14:textFill>
              </w:rPr>
              <w:t>13</w:t>
            </w:r>
            <w:r>
              <w:rPr>
                <w:rFonts w:hint="default" w:ascii="Times New Roman" w:hAnsi="Times New Roman" w:cs="Times New Roman"/>
                <w:b/>
                <w:color w:val="000000" w:themeColor="text1"/>
                <w:kern w:val="0"/>
                <w:sz w:val="24"/>
                <w14:textFill>
                  <w14:solidFill>
                    <w14:schemeClr w14:val="tx1"/>
                  </w14:solidFill>
                </w14:textFill>
              </w:rPr>
              <w:t xml:space="preserve">  项目喷粉序有组织排放</w:t>
            </w:r>
            <w:r>
              <w:rPr>
                <w:rFonts w:hint="default" w:ascii="Times New Roman" w:hAnsi="Times New Roman" w:cs="Times New Roman"/>
                <w:b/>
                <w:color w:val="000000" w:themeColor="text1"/>
                <w:kern w:val="0"/>
                <w:sz w:val="24"/>
                <w:lang w:val="en-GB"/>
                <w14:textFill>
                  <w14:solidFill>
                    <w14:schemeClr w14:val="tx1"/>
                  </w14:solidFill>
                </w14:textFill>
              </w:rPr>
              <w:t>产生及排放情况</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584"/>
              <w:gridCol w:w="524"/>
              <w:gridCol w:w="794"/>
              <w:gridCol w:w="613"/>
              <w:gridCol w:w="689"/>
              <w:gridCol w:w="800"/>
              <w:gridCol w:w="1158"/>
              <w:gridCol w:w="689"/>
              <w:gridCol w:w="689"/>
              <w:gridCol w:w="798"/>
              <w:gridCol w:w="937"/>
            </w:tblGrid>
            <w:tr w14:paraId="3F85B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restart"/>
                  <w:vAlign w:val="center"/>
                </w:tcPr>
                <w:p w14:paraId="2ED50C4B">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污染源</w:t>
                  </w:r>
                </w:p>
              </w:tc>
              <w:tc>
                <w:tcPr>
                  <w:tcW w:w="524" w:type="dxa"/>
                  <w:vMerge w:val="restart"/>
                  <w:vAlign w:val="center"/>
                </w:tcPr>
                <w:p w14:paraId="3E456094">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污染物</w:t>
                  </w:r>
                </w:p>
              </w:tc>
              <w:tc>
                <w:tcPr>
                  <w:tcW w:w="794" w:type="dxa"/>
                  <w:vMerge w:val="restart"/>
                  <w:vAlign w:val="center"/>
                </w:tcPr>
                <w:p w14:paraId="0696E49D">
                  <w:pPr>
                    <w:keepNext w:val="0"/>
                    <w:keepLines w:val="0"/>
                    <w:suppressLineNumbers w:val="0"/>
                    <w:tabs>
                      <w:tab w:val="left" w:pos="2200"/>
                      <w:tab w:val="left" w:pos="3960"/>
                      <w:tab w:val="left" w:pos="5280"/>
                    </w:tabs>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排气量m</w:t>
                  </w:r>
                  <w:r>
                    <w:rPr>
                      <w:rFonts w:hint="default" w:ascii="Times New Roman" w:hAnsi="Times New Roman" w:cs="Times New Roman"/>
                      <w:b/>
                      <w:color w:val="000000" w:themeColor="text1"/>
                      <w:szCs w:val="18"/>
                      <w:vertAlign w:val="superscript"/>
                      <w14:textFill>
                        <w14:solidFill>
                          <w14:schemeClr w14:val="tx1"/>
                        </w14:solidFill>
                      </w14:textFill>
                    </w:rPr>
                    <w:t>3</w:t>
                  </w:r>
                  <w:r>
                    <w:rPr>
                      <w:rFonts w:hint="default" w:ascii="Times New Roman" w:hAnsi="Times New Roman" w:cs="Times New Roman"/>
                      <w:b/>
                      <w:color w:val="000000" w:themeColor="text1"/>
                      <w:szCs w:val="18"/>
                      <w14:textFill>
                        <w14:solidFill>
                          <w14:schemeClr w14:val="tx1"/>
                        </w14:solidFill>
                      </w14:textFill>
                    </w:rPr>
                    <w:t>/h</w:t>
                  </w:r>
                </w:p>
              </w:tc>
              <w:tc>
                <w:tcPr>
                  <w:tcW w:w="2102" w:type="dxa"/>
                  <w:gridSpan w:val="3"/>
                  <w:vAlign w:val="center"/>
                </w:tcPr>
                <w:p w14:paraId="65CCFC2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产生情况</w:t>
                  </w:r>
                </w:p>
              </w:tc>
              <w:tc>
                <w:tcPr>
                  <w:tcW w:w="1158" w:type="dxa"/>
                  <w:vMerge w:val="restart"/>
                  <w:vAlign w:val="center"/>
                </w:tcPr>
                <w:p w14:paraId="03F248F3">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拟采取的污染治理措施</w:t>
                  </w:r>
                </w:p>
              </w:tc>
              <w:tc>
                <w:tcPr>
                  <w:tcW w:w="2176" w:type="dxa"/>
                  <w:gridSpan w:val="3"/>
                  <w:vAlign w:val="center"/>
                </w:tcPr>
                <w:p w14:paraId="00E55185">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排放情况</w:t>
                  </w:r>
                </w:p>
              </w:tc>
              <w:tc>
                <w:tcPr>
                  <w:tcW w:w="937" w:type="dxa"/>
                  <w:vMerge w:val="restart"/>
                  <w:vAlign w:val="center"/>
                </w:tcPr>
                <w:p w14:paraId="78751A7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排气筒参数</w:t>
                  </w:r>
                </w:p>
              </w:tc>
            </w:tr>
            <w:tr w14:paraId="3829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continue"/>
                  <w:vAlign w:val="center"/>
                </w:tcPr>
                <w:p w14:paraId="09069BBF">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524" w:type="dxa"/>
                  <w:vMerge w:val="continue"/>
                  <w:vAlign w:val="center"/>
                </w:tcPr>
                <w:p w14:paraId="5D91A94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794" w:type="dxa"/>
                  <w:vMerge w:val="continue"/>
                  <w:vAlign w:val="center"/>
                </w:tcPr>
                <w:p w14:paraId="38180028">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613" w:type="dxa"/>
                  <w:vAlign w:val="center"/>
                </w:tcPr>
                <w:p w14:paraId="0BCABF93">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7C2410F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800" w:type="dxa"/>
                  <w:vAlign w:val="center"/>
                </w:tcPr>
                <w:p w14:paraId="0EACA8A8">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1158" w:type="dxa"/>
                  <w:vMerge w:val="continue"/>
                  <w:vAlign w:val="center"/>
                </w:tcPr>
                <w:p w14:paraId="10CEFA7E">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c>
                <w:tcPr>
                  <w:tcW w:w="689" w:type="dxa"/>
                  <w:vAlign w:val="center"/>
                </w:tcPr>
                <w:p w14:paraId="6F6C75DC">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2EF25AB4">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798" w:type="dxa"/>
                  <w:vAlign w:val="center"/>
                </w:tcPr>
                <w:p w14:paraId="228E86E1">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937" w:type="dxa"/>
                  <w:vMerge w:val="continue"/>
                  <w:vAlign w:val="center"/>
                </w:tcPr>
                <w:p w14:paraId="50D9374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18"/>
                      <w14:textFill>
                        <w14:solidFill>
                          <w14:schemeClr w14:val="tx1"/>
                        </w14:solidFill>
                      </w14:textFill>
                    </w:rPr>
                  </w:pPr>
                </w:p>
              </w:tc>
            </w:tr>
            <w:tr w14:paraId="3C3FD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Align w:val="center"/>
                </w:tcPr>
                <w:p w14:paraId="373BD23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p>
              </w:tc>
              <w:tc>
                <w:tcPr>
                  <w:tcW w:w="524" w:type="dxa"/>
                  <w:vAlign w:val="center"/>
                </w:tcPr>
                <w:p w14:paraId="0CFC52F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94" w:type="dxa"/>
                  <w:vAlign w:val="center"/>
                </w:tcPr>
                <w:p w14:paraId="4708609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11</w:t>
                  </w:r>
                  <w:r>
                    <w:rPr>
                      <w:rFonts w:hint="default" w:ascii="Times New Roman" w:hAnsi="Times New Roman" w:cs="Times New Roman"/>
                      <w:color w:val="000000" w:themeColor="text1"/>
                      <w:kern w:val="0"/>
                      <w:szCs w:val="21"/>
                      <w:lang w:bidi="ar"/>
                      <w14:textFill>
                        <w14:solidFill>
                          <w14:schemeClr w14:val="tx1"/>
                        </w14:solidFill>
                      </w14:textFill>
                    </w:rPr>
                    <w:t>000</w:t>
                  </w:r>
                </w:p>
              </w:tc>
              <w:tc>
                <w:tcPr>
                  <w:tcW w:w="613" w:type="dxa"/>
                  <w:vAlign w:val="center"/>
                </w:tcPr>
                <w:p w14:paraId="276D7E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10.085</w:t>
                  </w:r>
                </w:p>
              </w:tc>
              <w:tc>
                <w:tcPr>
                  <w:tcW w:w="689" w:type="dxa"/>
                  <w:vAlign w:val="center"/>
                </w:tcPr>
                <w:p w14:paraId="2E972C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51.634</w:t>
                  </w:r>
                </w:p>
              </w:tc>
              <w:tc>
                <w:tcPr>
                  <w:tcW w:w="800" w:type="dxa"/>
                  <w:vAlign w:val="center"/>
                </w:tcPr>
                <w:p w14:paraId="789516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916.797</w:t>
                  </w:r>
                </w:p>
              </w:tc>
              <w:tc>
                <w:tcPr>
                  <w:tcW w:w="1158" w:type="dxa"/>
                  <w:vAlign w:val="center"/>
                </w:tcPr>
                <w:p w14:paraId="0A7CFCF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滤筒+脉冲布袋除尘器</w:t>
                  </w:r>
                </w:p>
              </w:tc>
              <w:tc>
                <w:tcPr>
                  <w:tcW w:w="689" w:type="dxa"/>
                  <w:vAlign w:val="center"/>
                </w:tcPr>
                <w:p w14:paraId="780097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0.101</w:t>
                  </w:r>
                </w:p>
              </w:tc>
              <w:tc>
                <w:tcPr>
                  <w:tcW w:w="689" w:type="dxa"/>
                  <w:vAlign w:val="center"/>
                </w:tcPr>
                <w:p w14:paraId="49B442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0.516</w:t>
                  </w:r>
                </w:p>
              </w:tc>
              <w:tc>
                <w:tcPr>
                  <w:tcW w:w="798" w:type="dxa"/>
                  <w:vAlign w:val="center"/>
                </w:tcPr>
                <w:p w14:paraId="2375BD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9.162</w:t>
                  </w:r>
                </w:p>
              </w:tc>
              <w:tc>
                <w:tcPr>
                  <w:tcW w:w="937" w:type="dxa"/>
                  <w:vAlign w:val="center"/>
                </w:tcPr>
                <w:p w14:paraId="76FA61D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w:t>
                  </w:r>
                  <w:r>
                    <w:rPr>
                      <w:rFonts w:hint="eastAsia" w:cs="Times New Roman"/>
                      <w:color w:val="000000" w:themeColor="text1"/>
                      <w:kern w:val="0"/>
                      <w:szCs w:val="21"/>
                      <w:lang w:val="en-US" w:eastAsia="zh-CN" w:bidi="ar"/>
                      <w14:textFill>
                        <w14:solidFill>
                          <w14:schemeClr w14:val="tx1"/>
                        </w14:solidFill>
                      </w14:textFill>
                    </w:rPr>
                    <w:t>4</w:t>
                  </w:r>
                </w:p>
                <w:p w14:paraId="7E87BC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H:</w:t>
                  </w:r>
                  <w:r>
                    <w:rPr>
                      <w:rFonts w:hint="default" w:ascii="Times New Roman" w:hAnsi="Times New Roman" w:cs="Times New Roman"/>
                      <w:color w:val="000000" w:themeColor="text1"/>
                      <w:kern w:val="0"/>
                      <w:szCs w:val="21"/>
                      <w:lang w:eastAsia="zh-CN" w:bidi="ar"/>
                      <w14:textFill>
                        <w14:solidFill>
                          <w14:schemeClr w14:val="tx1"/>
                        </w14:solidFill>
                      </w14:textFill>
                    </w:rPr>
                    <w:t>15m</w:t>
                  </w:r>
                </w:p>
                <w:p w14:paraId="3858A85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18"/>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ф:0.</w:t>
                  </w:r>
                  <w:r>
                    <w:rPr>
                      <w:rFonts w:hint="eastAsia" w:cs="Times New Roman"/>
                      <w:color w:val="000000" w:themeColor="text1"/>
                      <w:kern w:val="0"/>
                      <w:szCs w:val="21"/>
                      <w:lang w:val="en-US" w:eastAsia="zh-CN" w:bidi="ar"/>
                      <w14:textFill>
                        <w14:solidFill>
                          <w14:schemeClr w14:val="tx1"/>
                        </w14:solidFill>
                      </w14:textFill>
                    </w:rPr>
                    <w:t>6</w:t>
                  </w:r>
                  <w:r>
                    <w:rPr>
                      <w:rFonts w:hint="default" w:ascii="Times New Roman" w:hAnsi="Times New Roman" w:cs="Times New Roman"/>
                      <w:color w:val="000000" w:themeColor="text1"/>
                      <w:kern w:val="0"/>
                      <w:szCs w:val="21"/>
                      <w:lang w:bidi="ar"/>
                      <w14:textFill>
                        <w14:solidFill>
                          <w14:schemeClr w14:val="tx1"/>
                        </w14:solidFill>
                      </w14:textFill>
                    </w:rPr>
                    <w:t>m</w:t>
                  </w:r>
                </w:p>
              </w:tc>
            </w:tr>
          </w:tbl>
          <w:p w14:paraId="77C6F3E1">
            <w:pPr>
              <w:keepNext w:val="0"/>
              <w:keepLines w:val="0"/>
              <w:suppressLineNumbers w:val="0"/>
              <w:spacing w:before="120" w:beforeLines="5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w:t>
            </w:r>
            <w:r>
              <w:rPr>
                <w:rFonts w:hint="default" w:ascii="Times New Roman" w:hAnsi="Times New Roman" w:cs="Times New Roman"/>
                <w:b/>
                <w:color w:val="000000" w:themeColor="text1"/>
                <w:kern w:val="0"/>
                <w:sz w:val="24"/>
                <w14:textFill>
                  <w14:solidFill>
                    <w14:schemeClr w14:val="tx1"/>
                  </w14:solidFill>
                </w14:textFill>
              </w:rPr>
              <w:t>4-</w:t>
            </w:r>
            <w:r>
              <w:rPr>
                <w:rFonts w:hint="eastAsia" w:cs="Times New Roman"/>
                <w:b/>
                <w:color w:val="000000" w:themeColor="text1"/>
                <w:kern w:val="0"/>
                <w:sz w:val="24"/>
                <w:lang w:val="en-US" w:eastAsia="zh-CN"/>
                <w14:textFill>
                  <w14:solidFill>
                    <w14:schemeClr w14:val="tx1"/>
                  </w14:solidFill>
                </w14:textFill>
              </w:rPr>
              <w:t>14</w:t>
            </w:r>
            <w:r>
              <w:rPr>
                <w:rFonts w:hint="default" w:ascii="Times New Roman" w:hAnsi="Times New Roman" w:cs="Times New Roman"/>
                <w:b/>
                <w:color w:val="000000" w:themeColor="text1"/>
                <w:kern w:val="0"/>
                <w:sz w:val="24"/>
                <w14:textFill>
                  <w14:solidFill>
                    <w14:schemeClr w14:val="tx1"/>
                  </w14:solidFill>
                </w14:textFill>
              </w:rPr>
              <w:t xml:space="preserve">  项目喷粉工序无组织</w:t>
            </w:r>
            <w:r>
              <w:rPr>
                <w:rFonts w:hint="default" w:ascii="Times New Roman" w:hAnsi="Times New Roman" w:cs="Times New Roman"/>
                <w:b/>
                <w:color w:val="000000" w:themeColor="text1"/>
                <w:kern w:val="0"/>
                <w:sz w:val="24"/>
                <w:lang w:val="zh-CN"/>
                <w14:textFill>
                  <w14:solidFill>
                    <w14:schemeClr w14:val="tx1"/>
                  </w14:solidFill>
                </w14:textFill>
              </w:rPr>
              <w:t>产排情况一览表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1536"/>
              <w:gridCol w:w="1273"/>
              <w:gridCol w:w="1205"/>
              <w:gridCol w:w="1282"/>
              <w:gridCol w:w="1223"/>
            </w:tblGrid>
            <w:tr w14:paraId="18E15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2686FB59">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928" w:type="pct"/>
                  <w:vMerge w:val="restart"/>
                  <w:vAlign w:val="center"/>
                </w:tcPr>
                <w:p w14:paraId="23653B82">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7" w:type="pct"/>
                  <w:gridSpan w:val="2"/>
                  <w:vAlign w:val="center"/>
                </w:tcPr>
                <w:p w14:paraId="7DA8AA36">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4A96DE77">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78444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17D421D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928" w:type="pct"/>
                  <w:vMerge w:val="continue"/>
                  <w:vAlign w:val="center"/>
                </w:tcPr>
                <w:p w14:paraId="4023632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p>
              </w:tc>
              <w:tc>
                <w:tcPr>
                  <w:tcW w:w="769" w:type="pct"/>
                  <w:vAlign w:val="center"/>
                </w:tcPr>
                <w:p w14:paraId="28A01A3A">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7" w:type="pct"/>
                  <w:vAlign w:val="center"/>
                </w:tcPr>
                <w:p w14:paraId="211ADFF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5" w:type="pct"/>
                  <w:vAlign w:val="center"/>
                </w:tcPr>
                <w:p w14:paraId="1F0FBA3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39" w:type="pct"/>
                  <w:vAlign w:val="center"/>
                </w:tcPr>
                <w:p w14:paraId="39687B05">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7BBBF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0" w:type="pct"/>
                  <w:vAlign w:val="center"/>
                </w:tcPr>
                <w:p w14:paraId="6E39CB7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Cs/>
                      <w:color w:val="000000" w:themeColor="text1"/>
                      <w:szCs w:val="18"/>
                      <w:lang w:val="en-GB"/>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p>
              </w:tc>
              <w:tc>
                <w:tcPr>
                  <w:tcW w:w="928" w:type="pct"/>
                  <w:vAlign w:val="center"/>
                </w:tcPr>
                <w:p w14:paraId="3A4052E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69" w:type="pct"/>
                  <w:vAlign w:val="center"/>
                </w:tcPr>
                <w:p w14:paraId="50B92F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0.531</w:t>
                  </w:r>
                </w:p>
              </w:tc>
              <w:tc>
                <w:tcPr>
                  <w:tcW w:w="727" w:type="pct"/>
                  <w:vAlign w:val="center"/>
                </w:tcPr>
                <w:p w14:paraId="6B5960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2.718</w:t>
                  </w:r>
                </w:p>
              </w:tc>
              <w:tc>
                <w:tcPr>
                  <w:tcW w:w="1282" w:type="dxa"/>
                  <w:vAlign w:val="center"/>
                </w:tcPr>
                <w:p w14:paraId="5EE9A71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0.531</w:t>
                  </w:r>
                </w:p>
              </w:tc>
              <w:tc>
                <w:tcPr>
                  <w:tcW w:w="1223" w:type="dxa"/>
                  <w:vAlign w:val="center"/>
                </w:tcPr>
                <w:p w14:paraId="44BC029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2.718</w:t>
                  </w:r>
                </w:p>
              </w:tc>
            </w:tr>
          </w:tbl>
          <w:p w14:paraId="67C45E6F">
            <w:pPr>
              <w:keepNext w:val="0"/>
              <w:keepLines w:val="0"/>
              <w:pageBreakBefore w:val="0"/>
              <w:widowControl w:val="0"/>
              <w:suppressLineNumbers w:val="0"/>
              <w:kinsoku/>
              <w:wordWrap/>
              <w:overflowPunct/>
              <w:topLinePunct w:val="0"/>
              <w:bidi w:val="0"/>
              <w:snapToGrid/>
              <w:spacing w:before="0" w:beforeAutospacing="0" w:after="0" w:afterAutospacing="0" w:line="312" w:lineRule="auto"/>
              <w:ind w:left="420" w:leftChars="200" w:right="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）危废库废气</w:t>
            </w:r>
          </w:p>
          <w:p w14:paraId="5EA66BCA">
            <w:pPr>
              <w:pStyle w:val="77"/>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textAlignment w:val="auto"/>
              <w:rPr>
                <w:rFonts w:hint="default" w:ascii="Times New Roman" w:hAnsi="Times New Roman" w:cs="Times New Roman" w:eastAsiaTheme="minorEastAsia"/>
                <w:color w:val="000000" w:themeColor="text1"/>
                <w:kern w:val="0"/>
                <w:highlight w:val="none"/>
                <w14:textFill>
                  <w14:solidFill>
                    <w14:schemeClr w14:val="tx1"/>
                  </w14:solidFill>
                </w14:textFill>
              </w:rPr>
            </w:pPr>
            <w:r>
              <w:rPr>
                <w:rFonts w:hint="default" w:ascii="Times New Roman" w:hAnsi="Times New Roman" w:cs="Times New Roman" w:eastAsiaTheme="minorEastAsia"/>
                <w:color w:val="000000" w:themeColor="text1"/>
                <w:kern w:val="0"/>
                <w:highlight w:val="none"/>
                <w14:textFill>
                  <w14:solidFill>
                    <w14:schemeClr w14:val="tx1"/>
                  </w14:solidFill>
                </w14:textFill>
              </w:rPr>
              <w:t>本项目危废仓库内</w:t>
            </w:r>
            <w:r>
              <w:rPr>
                <w:rFonts w:hint="default" w:ascii="Times New Roman" w:hAnsi="Times New Roman" w:cs="Times New Roman"/>
                <w:bCs/>
                <w:color w:val="000000" w:themeColor="text1"/>
                <w:szCs w:val="21"/>
                <w14:textFill>
                  <w14:solidFill>
                    <w14:schemeClr w14:val="tx1"/>
                  </w14:solidFill>
                </w14:textFill>
              </w:rPr>
              <w:t>废活性炭、</w:t>
            </w:r>
            <w:r>
              <w:rPr>
                <w:rFonts w:hint="default" w:ascii="Times New Roman" w:hAnsi="Times New Roman" w:cs="Times New Roman"/>
                <w:color w:val="000000" w:themeColor="text1"/>
                <w14:textFill>
                  <w14:solidFill>
                    <w14:schemeClr w14:val="tx1"/>
                  </w14:solidFill>
                </w14:textFill>
              </w:rPr>
              <w:t>废过滤棉、废切削液、废润滑油、废液压油、废化学品包装桶、废油桶、</w:t>
            </w:r>
            <w:r>
              <w:rPr>
                <w:rFonts w:hint="eastAsia" w:ascii="Times New Roman" w:hAnsi="Times New Roman" w:cs="Times New Roman"/>
                <w:color w:val="000000" w:themeColor="text1"/>
                <w:lang w:val="en-US" w:eastAsia="zh-CN"/>
                <w14:textFill>
                  <w14:solidFill>
                    <w14:schemeClr w14:val="tx1"/>
                  </w14:solidFill>
                </w14:textFill>
              </w:rPr>
              <w:t>槽渣</w:t>
            </w:r>
            <w:r>
              <w:rPr>
                <w:rFonts w:hint="default"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污泥</w:t>
            </w:r>
            <w:r>
              <w:rPr>
                <w:rFonts w:hint="default" w:ascii="Times New Roman" w:hAnsi="Times New Roman" w:cs="Times New Roman" w:eastAsiaTheme="minorEastAsia"/>
                <w:color w:val="000000" w:themeColor="text1"/>
                <w:kern w:val="0"/>
                <w:highlight w:val="none"/>
                <w14:textFill>
                  <w14:solidFill>
                    <w14:schemeClr w14:val="tx1"/>
                  </w14:solidFill>
                </w14:textFill>
              </w:rPr>
              <w:t>等液态危险废物采用包装桶密闭存储，废活性炭采用包装袋密闭存储。项目危险废物密封保存，废气挥发的可能性较小，因此，危废仓库废气忽略不计。危废仓库按照《危险废物贮存污染控制标准》（GB18597-2023）</w:t>
            </w:r>
            <w:r>
              <w:rPr>
                <w:rFonts w:hint="eastAsia" w:ascii="Times New Roman" w:cs="Times New Roman" w:eastAsiaTheme="minorEastAsia"/>
                <w:color w:val="000000" w:themeColor="text1"/>
                <w:kern w:val="0"/>
                <w:highlight w:val="none"/>
                <w:lang w:val="en-US" w:eastAsia="zh-CN"/>
                <w14:textFill>
                  <w14:solidFill>
                    <w14:schemeClr w14:val="tx1"/>
                  </w14:solidFill>
                </w14:textFill>
              </w:rPr>
              <w:t>等</w:t>
            </w:r>
            <w:r>
              <w:rPr>
                <w:rFonts w:hint="default" w:ascii="Times New Roman" w:hAnsi="Times New Roman" w:cs="Times New Roman" w:eastAsiaTheme="minorEastAsia"/>
                <w:color w:val="000000" w:themeColor="text1"/>
                <w:kern w:val="0"/>
                <w:highlight w:val="none"/>
                <w14:textFill>
                  <w14:solidFill>
                    <w14:schemeClr w14:val="tx1"/>
                  </w14:solidFill>
                </w14:textFill>
              </w:rPr>
              <w:t>相关文件的要求建设。</w:t>
            </w:r>
          </w:p>
          <w:p w14:paraId="46A7CB4B">
            <w:pPr>
              <w:pStyle w:val="79"/>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0"/>
                <w:highlight w:val="none"/>
                <w14:textFill>
                  <w14:solidFill>
                    <w14:schemeClr w14:val="tx1"/>
                  </w14:solidFill>
                </w14:textFill>
              </w:rPr>
            </w:pPr>
          </w:p>
          <w:p w14:paraId="6C901DDE">
            <w:pPr>
              <w:pStyle w:val="29"/>
              <w:keepNext w:val="0"/>
              <w:keepLines w:val="0"/>
              <w:suppressLineNumbers w:val="0"/>
              <w:spacing w:before="0" w:beforeAutospacing="0" w:afterAutospacing="0"/>
              <w:rPr>
                <w:rFonts w:hint="default" w:ascii="Times New Roman" w:hAnsi="Times New Roman" w:cs="Times New Roman" w:eastAsiaTheme="minorEastAsia"/>
                <w:color w:val="000000" w:themeColor="text1"/>
                <w:kern w:val="0"/>
                <w:highlight w:val="none"/>
                <w14:textFill>
                  <w14:solidFill>
                    <w14:schemeClr w14:val="tx1"/>
                  </w14:solidFill>
                </w14:textFill>
              </w:rPr>
            </w:pPr>
          </w:p>
          <w:p w14:paraId="692D1CE9">
            <w:pPr>
              <w:pStyle w:val="29"/>
              <w:keepNext w:val="0"/>
              <w:keepLines w:val="0"/>
              <w:suppressLineNumbers w:val="0"/>
              <w:spacing w:before="0" w:beforeAutospacing="0" w:afterAutospacing="0"/>
              <w:rPr>
                <w:rFonts w:hint="default" w:ascii="Times New Roman" w:hAnsi="Times New Roman" w:cs="Times New Roman" w:eastAsiaTheme="minorEastAsia"/>
                <w:color w:val="000000" w:themeColor="text1"/>
                <w:kern w:val="0"/>
                <w:highlight w:val="none"/>
                <w14:textFill>
                  <w14:solidFill>
                    <w14:schemeClr w14:val="tx1"/>
                  </w14:solidFill>
                </w14:textFill>
              </w:rPr>
            </w:pPr>
          </w:p>
        </w:tc>
      </w:tr>
    </w:tbl>
    <w:p w14:paraId="2B929B8E">
      <w:pPr>
        <w:rPr>
          <w:rFonts w:hint="default" w:ascii="Times New Roman" w:hAnsi="Times New Roman" w:cs="Times New Roman"/>
          <w:color w:val="auto"/>
          <w:sz w:val="24"/>
          <w:highlight w:val="none"/>
        </w:rPr>
        <w:sectPr>
          <w:pgSz w:w="11905" w:h="16838"/>
          <w:pgMar w:top="1701" w:right="1531" w:bottom="2126" w:left="1531" w:header="851" w:footer="850" w:gutter="0"/>
          <w:pgBorders>
            <w:top w:val="none" w:sz="0" w:space="0"/>
            <w:left w:val="none" w:sz="0" w:space="0"/>
            <w:bottom w:val="none" w:sz="0" w:space="0"/>
            <w:right w:val="none" w:sz="0" w:space="0"/>
          </w:pgBorders>
          <w:cols w:space="0" w:num="1"/>
          <w:docGrid w:linePitch="312" w:charSpace="0"/>
        </w:sectPr>
      </w:pPr>
    </w:p>
    <w:tbl>
      <w:tblPr>
        <w:tblStyle w:val="61"/>
        <w:tblW w:w="132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71"/>
      </w:tblGrid>
      <w:tr w14:paraId="2E3F5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37" w:hRule="atLeast"/>
        </w:trPr>
        <w:tc>
          <w:tcPr>
            <w:tcW w:w="456" w:type="dxa"/>
            <w:shd w:val="clear" w:color="auto" w:fill="auto"/>
            <w:vAlign w:val="center"/>
          </w:tcPr>
          <w:p w14:paraId="55E92B3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运营</w:t>
            </w:r>
          </w:p>
          <w:p w14:paraId="22440DB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期环</w:t>
            </w:r>
          </w:p>
          <w:p w14:paraId="58C6CA7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境影</w:t>
            </w:r>
          </w:p>
          <w:p w14:paraId="3F7BD6D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响和</w:t>
            </w:r>
          </w:p>
          <w:p w14:paraId="5C004D9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保护</w:t>
            </w:r>
          </w:p>
          <w:p w14:paraId="3EBA3001">
            <w:pPr>
              <w:keepNext w:val="0"/>
              <w:keepLines w:val="0"/>
              <w:suppressLineNumbers w:val="0"/>
              <w:tabs>
                <w:tab w:val="left" w:pos="1077"/>
              </w:tabs>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kern w:val="0"/>
                <w:sz w:val="24"/>
                <w:highlight w:val="none"/>
              </w:rPr>
              <w:t>措施</w:t>
            </w:r>
          </w:p>
        </w:tc>
        <w:tc>
          <w:tcPr>
            <w:tcW w:w="12771" w:type="dxa"/>
            <w:shd w:val="clear" w:color="auto" w:fill="auto"/>
            <w:vAlign w:val="center"/>
          </w:tcPr>
          <w:p w14:paraId="2016C40E">
            <w:pPr>
              <w:keepNext w:val="0"/>
              <w:keepLines w:val="0"/>
              <w:suppressLineNumbers w:val="0"/>
              <w:spacing w:before="100" w:beforeAutospacing="1" w:after="0" w:afterAutospacing="0"/>
              <w:ind w:left="0" w:right="0"/>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表4-</w:t>
            </w:r>
            <w:r>
              <w:rPr>
                <w:rFonts w:hint="eastAsia" w:cs="Times New Roman"/>
                <w:b/>
                <w:bCs/>
                <w:color w:val="auto"/>
                <w:sz w:val="24"/>
                <w:highlight w:val="none"/>
                <w:lang w:val="en-US" w:eastAsia="zh-CN"/>
              </w:rPr>
              <w:t>15</w:t>
            </w:r>
            <w:r>
              <w:rPr>
                <w:rFonts w:hint="default" w:ascii="Times New Roman" w:hAnsi="Times New Roman" w:cs="Times New Roman"/>
                <w:b/>
                <w:bCs/>
                <w:color w:val="auto"/>
                <w:sz w:val="24"/>
                <w:highlight w:val="none"/>
              </w:rPr>
              <w:t xml:space="preserve">  项目有组织</w:t>
            </w:r>
            <w:r>
              <w:rPr>
                <w:rFonts w:hint="default"/>
              </w:rPr>
              <w:commentReference w:id="32"/>
            </w:r>
            <w:r>
              <w:rPr>
                <w:rFonts w:hint="default" w:ascii="Times New Roman" w:hAnsi="Times New Roman" w:cs="Times New Roman"/>
                <w:b/>
                <w:bCs/>
                <w:color w:val="auto"/>
                <w:sz w:val="24"/>
                <w:highlight w:val="none"/>
              </w:rPr>
              <w:t>废气产生、治理及排放状况表</w:t>
            </w:r>
          </w:p>
          <w:tbl>
            <w:tblPr>
              <w:tblStyle w:val="61"/>
              <w:tblW w:w="497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646"/>
              <w:gridCol w:w="918"/>
              <w:gridCol w:w="856"/>
              <w:gridCol w:w="583"/>
              <w:gridCol w:w="793"/>
              <w:gridCol w:w="718"/>
              <w:gridCol w:w="691"/>
              <w:gridCol w:w="420"/>
              <w:gridCol w:w="450"/>
              <w:gridCol w:w="418"/>
              <w:gridCol w:w="793"/>
              <w:gridCol w:w="793"/>
              <w:gridCol w:w="648"/>
              <w:gridCol w:w="591"/>
              <w:gridCol w:w="408"/>
              <w:gridCol w:w="318"/>
              <w:gridCol w:w="243"/>
              <w:gridCol w:w="288"/>
              <w:gridCol w:w="258"/>
              <w:gridCol w:w="576"/>
              <w:gridCol w:w="463"/>
              <w:gridCol w:w="623"/>
            </w:tblGrid>
            <w:tr w14:paraId="44D2CC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258" w:type="pct"/>
                  <w:vMerge w:val="restart"/>
                  <w:vAlign w:val="center"/>
                </w:tcPr>
                <w:p w14:paraId="7B0936D8">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排放源编号</w:t>
                  </w:r>
                </w:p>
              </w:tc>
              <w:tc>
                <w:tcPr>
                  <w:tcW w:w="367" w:type="pct"/>
                  <w:vMerge w:val="restart"/>
                  <w:vAlign w:val="center"/>
                </w:tcPr>
                <w:p w14:paraId="2B89F7E1">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污染源</w:t>
                  </w:r>
                </w:p>
              </w:tc>
              <w:tc>
                <w:tcPr>
                  <w:tcW w:w="342" w:type="pct"/>
                  <w:vMerge w:val="restart"/>
                  <w:vAlign w:val="center"/>
                </w:tcPr>
                <w:p w14:paraId="66F72C82">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污染物</w:t>
                  </w:r>
                </w:p>
                <w:p w14:paraId="337352CA">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名称</w:t>
                  </w:r>
                </w:p>
              </w:tc>
              <w:tc>
                <w:tcPr>
                  <w:tcW w:w="837" w:type="pct"/>
                  <w:gridSpan w:val="3"/>
                  <w:vAlign w:val="center"/>
                </w:tcPr>
                <w:p w14:paraId="6A3BE7DF">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产生状况</w:t>
                  </w:r>
                </w:p>
              </w:tc>
              <w:tc>
                <w:tcPr>
                  <w:tcW w:w="276" w:type="pct"/>
                  <w:vMerge w:val="restart"/>
                  <w:vAlign w:val="center"/>
                </w:tcPr>
                <w:p w14:paraId="173B43B6">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处理措施</w:t>
                  </w:r>
                </w:p>
              </w:tc>
              <w:tc>
                <w:tcPr>
                  <w:tcW w:w="168" w:type="pct"/>
                  <w:vMerge w:val="restart"/>
                  <w:vAlign w:val="center"/>
                </w:tcPr>
                <w:p w14:paraId="57A14D98">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是否为可行技术</w:t>
                  </w:r>
                </w:p>
              </w:tc>
              <w:tc>
                <w:tcPr>
                  <w:tcW w:w="180" w:type="pct"/>
                  <w:vMerge w:val="restart"/>
                  <w:vAlign w:val="center"/>
                </w:tcPr>
                <w:p w14:paraId="622AAE10">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收集效率</w:t>
                  </w:r>
                </w:p>
              </w:tc>
              <w:tc>
                <w:tcPr>
                  <w:tcW w:w="167" w:type="pct"/>
                  <w:vMerge w:val="restart"/>
                  <w:vAlign w:val="center"/>
                </w:tcPr>
                <w:p w14:paraId="1A648098">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去除率</w:t>
                  </w:r>
                </w:p>
              </w:tc>
              <w:tc>
                <w:tcPr>
                  <w:tcW w:w="893" w:type="pct"/>
                  <w:gridSpan w:val="3"/>
                  <w:vAlign w:val="center"/>
                </w:tcPr>
                <w:p w14:paraId="1CA60676">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排放状况</w:t>
                  </w:r>
                </w:p>
              </w:tc>
              <w:tc>
                <w:tcPr>
                  <w:tcW w:w="399" w:type="pct"/>
                  <w:gridSpan w:val="2"/>
                  <w:vAlign w:val="center"/>
                </w:tcPr>
                <w:p w14:paraId="28529C09">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执行标准</w:t>
                  </w:r>
                </w:p>
              </w:tc>
              <w:tc>
                <w:tcPr>
                  <w:tcW w:w="127" w:type="pct"/>
                  <w:vMerge w:val="restart"/>
                  <w:vAlign w:val="center"/>
                </w:tcPr>
                <w:p w14:paraId="0438BD78">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达标情况</w:t>
                  </w:r>
                </w:p>
              </w:tc>
              <w:tc>
                <w:tcPr>
                  <w:tcW w:w="731" w:type="pct"/>
                  <w:gridSpan w:val="5"/>
                  <w:vAlign w:val="center"/>
                </w:tcPr>
                <w:p w14:paraId="0FC960EA">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排气筒参数</w:t>
                  </w:r>
                </w:p>
              </w:tc>
              <w:tc>
                <w:tcPr>
                  <w:tcW w:w="249" w:type="pct"/>
                  <w:vMerge w:val="restart"/>
                  <w:vAlign w:val="center"/>
                </w:tcPr>
                <w:p w14:paraId="3B97ACF3">
                  <w:pPr>
                    <w:keepNext w:val="0"/>
                    <w:keepLines w:val="0"/>
                    <w:suppressLineNumbers w:val="0"/>
                    <w:overflowPunct w:val="0"/>
                    <w:adjustRightInd w:val="0"/>
                    <w:snapToGrid w:val="0"/>
                    <w:spacing w:before="40" w:beforeAutospacing="0" w:after="60" w:afterAutospacing="0" w:line="200" w:lineRule="atLeast"/>
                    <w:ind w:left="0" w:right="0"/>
                    <w:jc w:val="center"/>
                    <w:textAlignment w:val="baseline"/>
                    <w:rPr>
                      <w:rFonts w:hint="default"/>
                      <w:b/>
                      <w:bCs/>
                      <w:color w:val="auto"/>
                    </w:rPr>
                  </w:pPr>
                  <w:r>
                    <w:rPr>
                      <w:rFonts w:hint="default"/>
                      <w:b/>
                      <w:bCs/>
                      <w:color w:val="auto"/>
                    </w:rPr>
                    <w:t>年排放时间</w:t>
                  </w:r>
                </w:p>
              </w:tc>
            </w:tr>
            <w:tr w14:paraId="7EF2BDC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258" w:type="pct"/>
                  <w:vMerge w:val="continue"/>
                  <w:vAlign w:val="center"/>
                </w:tcPr>
                <w:p w14:paraId="65ECFBE0">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367" w:type="pct"/>
                  <w:vMerge w:val="continue"/>
                  <w:vAlign w:val="center"/>
                </w:tcPr>
                <w:p w14:paraId="4F87B8EF">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342" w:type="pct"/>
                  <w:vMerge w:val="continue"/>
                  <w:vAlign w:val="center"/>
                </w:tcPr>
                <w:p w14:paraId="24CE8CA1">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233" w:type="pct"/>
                  <w:vAlign w:val="center"/>
                </w:tcPr>
                <w:p w14:paraId="22F5D43B">
                  <w:pPr>
                    <w:keepNext w:val="0"/>
                    <w:keepLines w:val="0"/>
                    <w:widowControl/>
                    <w:suppressLineNumbers w:val="0"/>
                    <w:spacing w:before="0" w:beforeAutospacing="0" w:after="0" w:afterAutospacing="0"/>
                    <w:ind w:left="0" w:right="0"/>
                    <w:jc w:val="center"/>
                    <w:rPr>
                      <w:rFonts w:hint="default"/>
                      <w:b/>
                      <w:bCs/>
                      <w:color w:val="auto"/>
                    </w:rPr>
                  </w:pPr>
                  <w:r>
                    <w:rPr>
                      <w:rFonts w:hint="default"/>
                      <w:b/>
                      <w:bCs/>
                      <w:color w:val="auto"/>
                    </w:rPr>
                    <w:t>kg/h</w:t>
                  </w:r>
                </w:p>
              </w:tc>
              <w:tc>
                <w:tcPr>
                  <w:tcW w:w="317" w:type="pct"/>
                  <w:vAlign w:val="center"/>
                </w:tcPr>
                <w:p w14:paraId="4BDBA9CF">
                  <w:pPr>
                    <w:keepNext w:val="0"/>
                    <w:keepLines w:val="0"/>
                    <w:widowControl/>
                    <w:suppressLineNumbers w:val="0"/>
                    <w:spacing w:before="0" w:beforeAutospacing="0" w:after="0" w:afterAutospacing="0"/>
                    <w:ind w:left="0" w:right="0"/>
                    <w:jc w:val="center"/>
                    <w:rPr>
                      <w:rFonts w:hint="default"/>
                      <w:b/>
                      <w:bCs/>
                      <w:color w:val="auto"/>
                    </w:rPr>
                  </w:pPr>
                  <w:r>
                    <w:rPr>
                      <w:rFonts w:hint="default"/>
                      <w:b/>
                      <w:bCs/>
                      <w:color w:val="auto"/>
                    </w:rPr>
                    <w:t>t/a</w:t>
                  </w:r>
                </w:p>
              </w:tc>
              <w:tc>
                <w:tcPr>
                  <w:tcW w:w="287" w:type="pct"/>
                  <w:vAlign w:val="center"/>
                </w:tcPr>
                <w:p w14:paraId="450E43E3">
                  <w:pPr>
                    <w:keepNext w:val="0"/>
                    <w:keepLines w:val="0"/>
                    <w:widowControl/>
                    <w:suppressLineNumbers w:val="0"/>
                    <w:spacing w:before="0" w:beforeAutospacing="0" w:after="0" w:afterAutospacing="0"/>
                    <w:ind w:left="0" w:right="0"/>
                    <w:jc w:val="center"/>
                    <w:rPr>
                      <w:rFonts w:hint="default"/>
                      <w:b/>
                      <w:bCs/>
                      <w:color w:val="auto"/>
                    </w:rPr>
                  </w:pPr>
                  <w:r>
                    <w:rPr>
                      <w:rFonts w:hint="default"/>
                      <w:b/>
                      <w:bCs/>
                      <w:color w:val="auto"/>
                    </w:rPr>
                    <w:t>mg/m</w:t>
                  </w:r>
                  <w:r>
                    <w:rPr>
                      <w:rFonts w:hint="default"/>
                      <w:b/>
                      <w:bCs/>
                      <w:color w:val="auto"/>
                      <w:sz w:val="22"/>
                      <w:szCs w:val="28"/>
                      <w:vertAlign w:val="superscript"/>
                    </w:rPr>
                    <w:t>3</w:t>
                  </w:r>
                </w:p>
              </w:tc>
              <w:tc>
                <w:tcPr>
                  <w:tcW w:w="276" w:type="pct"/>
                  <w:vMerge w:val="continue"/>
                  <w:vAlign w:val="center"/>
                </w:tcPr>
                <w:p w14:paraId="4F4F4590">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168" w:type="pct"/>
                  <w:vMerge w:val="continue"/>
                  <w:vAlign w:val="center"/>
                </w:tcPr>
                <w:p w14:paraId="2F2C86F2">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180" w:type="pct"/>
                  <w:vMerge w:val="continue"/>
                  <w:vAlign w:val="center"/>
                </w:tcPr>
                <w:p w14:paraId="5A41BF63">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167" w:type="pct"/>
                  <w:vMerge w:val="continue"/>
                  <w:vAlign w:val="center"/>
                </w:tcPr>
                <w:p w14:paraId="27583220">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317" w:type="pct"/>
                  <w:vAlign w:val="center"/>
                </w:tcPr>
                <w:p w14:paraId="7D87C472">
                  <w:pPr>
                    <w:keepNext w:val="0"/>
                    <w:keepLines w:val="0"/>
                    <w:widowControl/>
                    <w:suppressLineNumbers w:val="0"/>
                    <w:spacing w:before="0" w:beforeAutospacing="0" w:after="0" w:afterAutospacing="0"/>
                    <w:ind w:left="0" w:right="0"/>
                    <w:jc w:val="center"/>
                    <w:rPr>
                      <w:rFonts w:hint="default"/>
                      <w:b/>
                      <w:bCs/>
                      <w:color w:val="auto"/>
                    </w:rPr>
                  </w:pPr>
                  <w:r>
                    <w:rPr>
                      <w:rFonts w:hint="default"/>
                      <w:b/>
                      <w:bCs/>
                      <w:color w:val="auto"/>
                    </w:rPr>
                    <w:t>kg/h</w:t>
                  </w:r>
                </w:p>
              </w:tc>
              <w:tc>
                <w:tcPr>
                  <w:tcW w:w="317" w:type="pct"/>
                  <w:vAlign w:val="center"/>
                </w:tcPr>
                <w:p w14:paraId="5C884CE9">
                  <w:pPr>
                    <w:keepNext w:val="0"/>
                    <w:keepLines w:val="0"/>
                    <w:widowControl/>
                    <w:suppressLineNumbers w:val="0"/>
                    <w:spacing w:before="0" w:beforeAutospacing="0" w:after="0" w:afterAutospacing="0"/>
                    <w:ind w:left="0" w:right="0"/>
                    <w:jc w:val="center"/>
                    <w:rPr>
                      <w:rFonts w:hint="default"/>
                      <w:b/>
                      <w:bCs/>
                      <w:color w:val="auto"/>
                    </w:rPr>
                  </w:pPr>
                  <w:r>
                    <w:rPr>
                      <w:rFonts w:hint="default"/>
                      <w:b/>
                      <w:bCs/>
                      <w:color w:val="auto"/>
                    </w:rPr>
                    <w:t>t/a</w:t>
                  </w:r>
                </w:p>
              </w:tc>
              <w:tc>
                <w:tcPr>
                  <w:tcW w:w="259" w:type="pct"/>
                  <w:vAlign w:val="center"/>
                </w:tcPr>
                <w:p w14:paraId="73FB7E74">
                  <w:pPr>
                    <w:keepNext w:val="0"/>
                    <w:keepLines w:val="0"/>
                    <w:widowControl/>
                    <w:suppressLineNumbers w:val="0"/>
                    <w:spacing w:before="0" w:beforeAutospacing="0" w:after="0" w:afterAutospacing="0"/>
                    <w:ind w:left="0" w:right="0"/>
                    <w:jc w:val="center"/>
                    <w:rPr>
                      <w:rFonts w:hint="default"/>
                      <w:b/>
                      <w:bCs/>
                      <w:color w:val="auto"/>
                    </w:rPr>
                  </w:pPr>
                  <w:r>
                    <w:rPr>
                      <w:rFonts w:hint="default"/>
                      <w:b/>
                      <w:bCs/>
                      <w:color w:val="auto"/>
                    </w:rPr>
                    <w:t>mg/m</w:t>
                  </w:r>
                  <w:r>
                    <w:rPr>
                      <w:rFonts w:hint="default"/>
                      <w:b/>
                      <w:bCs/>
                      <w:color w:val="auto"/>
                      <w:sz w:val="22"/>
                      <w:szCs w:val="28"/>
                      <w:vertAlign w:val="superscript"/>
                    </w:rPr>
                    <w:t>3</w:t>
                  </w:r>
                </w:p>
              </w:tc>
              <w:tc>
                <w:tcPr>
                  <w:tcW w:w="236" w:type="pct"/>
                  <w:vAlign w:val="center"/>
                </w:tcPr>
                <w:p w14:paraId="122F12FE">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mg/m</w:t>
                  </w:r>
                  <w:r>
                    <w:rPr>
                      <w:rFonts w:hint="default"/>
                      <w:b/>
                      <w:bCs/>
                      <w:color w:val="auto"/>
                      <w:sz w:val="22"/>
                      <w:szCs w:val="28"/>
                      <w:vertAlign w:val="superscript"/>
                    </w:rPr>
                    <w:t>3</w:t>
                  </w:r>
                </w:p>
              </w:tc>
              <w:tc>
                <w:tcPr>
                  <w:tcW w:w="163" w:type="pct"/>
                  <w:vAlign w:val="center"/>
                </w:tcPr>
                <w:p w14:paraId="32F84EA6">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color w:val="auto"/>
                      <w:kern w:val="0"/>
                      <w:szCs w:val="21"/>
                    </w:rPr>
                    <w:t>kg/h</w:t>
                  </w:r>
                </w:p>
              </w:tc>
              <w:tc>
                <w:tcPr>
                  <w:tcW w:w="127" w:type="pct"/>
                  <w:vMerge w:val="continue"/>
                  <w:vAlign w:val="center"/>
                </w:tcPr>
                <w:p w14:paraId="7AEE0EDE">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c>
                <w:tcPr>
                  <w:tcW w:w="97" w:type="pct"/>
                  <w:vAlign w:val="center"/>
                </w:tcPr>
                <w:p w14:paraId="19BD4F51">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高度</w:t>
                  </w:r>
                </w:p>
                <w:p w14:paraId="0E9882DD">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m</w:t>
                  </w:r>
                </w:p>
              </w:tc>
              <w:tc>
                <w:tcPr>
                  <w:tcW w:w="115" w:type="pct"/>
                  <w:vAlign w:val="center"/>
                </w:tcPr>
                <w:p w14:paraId="0BE100C0">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直径</w:t>
                  </w:r>
                </w:p>
                <w:p w14:paraId="51E67C86">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m</w:t>
                  </w:r>
                </w:p>
              </w:tc>
              <w:tc>
                <w:tcPr>
                  <w:tcW w:w="103" w:type="pct"/>
                  <w:vAlign w:val="center"/>
                </w:tcPr>
                <w:p w14:paraId="1243F20E">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温度</w:t>
                  </w:r>
                </w:p>
                <w:p w14:paraId="53A9C09A">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w:t>
                  </w:r>
                </w:p>
              </w:tc>
              <w:tc>
                <w:tcPr>
                  <w:tcW w:w="230" w:type="pct"/>
                  <w:vAlign w:val="center"/>
                </w:tcPr>
                <w:p w14:paraId="324EB2A8">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排气量</w:t>
                  </w:r>
                </w:p>
                <w:p w14:paraId="1028A14A">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Nm</w:t>
                  </w:r>
                  <w:r>
                    <w:rPr>
                      <w:rFonts w:hint="default"/>
                      <w:b/>
                      <w:bCs/>
                      <w:color w:val="auto"/>
                      <w:vertAlign w:val="superscript"/>
                    </w:rPr>
                    <w:t>3</w:t>
                  </w:r>
                  <w:r>
                    <w:rPr>
                      <w:rFonts w:hint="default"/>
                      <w:b/>
                      <w:bCs/>
                      <w:color w:val="auto"/>
                    </w:rPr>
                    <w:t>/h</w:t>
                  </w:r>
                </w:p>
              </w:tc>
              <w:tc>
                <w:tcPr>
                  <w:tcW w:w="185" w:type="pct"/>
                  <w:vAlign w:val="center"/>
                </w:tcPr>
                <w:p w14:paraId="01C04796">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r>
                    <w:rPr>
                      <w:rFonts w:hint="default"/>
                      <w:b/>
                      <w:bCs/>
                      <w:color w:val="auto"/>
                    </w:rPr>
                    <w:t>流速m/s</w:t>
                  </w:r>
                </w:p>
              </w:tc>
              <w:tc>
                <w:tcPr>
                  <w:tcW w:w="249" w:type="pct"/>
                  <w:vMerge w:val="continue"/>
                  <w:vAlign w:val="center"/>
                </w:tcPr>
                <w:p w14:paraId="488705B5">
                  <w:pPr>
                    <w:keepNext w:val="0"/>
                    <w:keepLines w:val="0"/>
                    <w:suppressLineNumbers w:val="0"/>
                    <w:overflowPunct w:val="0"/>
                    <w:adjustRightInd w:val="0"/>
                    <w:snapToGrid w:val="0"/>
                    <w:spacing w:before="0" w:beforeAutospacing="0" w:after="0" w:afterAutospacing="0"/>
                    <w:ind w:left="0" w:right="0"/>
                    <w:jc w:val="center"/>
                    <w:textAlignment w:val="baseline"/>
                    <w:rPr>
                      <w:rFonts w:hint="default"/>
                      <w:b/>
                      <w:bCs/>
                      <w:color w:val="auto"/>
                    </w:rPr>
                  </w:pPr>
                </w:p>
              </w:tc>
            </w:tr>
            <w:tr w14:paraId="071E165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258" w:type="pct"/>
                  <w:vAlign w:val="center"/>
                </w:tcPr>
                <w:p w14:paraId="41678802">
                  <w:pPr>
                    <w:keepNext w:val="0"/>
                    <w:keepLines w:val="0"/>
                    <w:suppressLineNumbers w:val="0"/>
                    <w:adjustRightInd w:val="0"/>
                    <w:snapToGrid w:val="0"/>
                    <w:spacing w:before="0" w:beforeAutospacing="0" w:after="0" w:afterAutospacing="0"/>
                    <w:ind w:left="0" w:right="0"/>
                    <w:jc w:val="center"/>
                    <w:rPr>
                      <w:rFonts w:hint="default"/>
                      <w:color w:val="auto"/>
                      <w:kern w:val="0"/>
                      <w:szCs w:val="21"/>
                      <w:lang w:bidi="ar"/>
                    </w:rPr>
                  </w:pPr>
                  <w:r>
                    <w:rPr>
                      <w:rFonts w:hint="default"/>
                      <w:color w:val="auto"/>
                      <w:kern w:val="0"/>
                      <w:szCs w:val="21"/>
                      <w:lang w:bidi="ar"/>
                    </w:rPr>
                    <w:t>DA001</w:t>
                  </w:r>
                </w:p>
              </w:tc>
              <w:tc>
                <w:tcPr>
                  <w:tcW w:w="367" w:type="pct"/>
                  <w:shd w:val="clear" w:color="auto" w:fill="auto"/>
                  <w:vAlign w:val="center"/>
                </w:tcPr>
                <w:p w14:paraId="3BD9935D">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w:t>
                  </w:r>
                </w:p>
              </w:tc>
              <w:tc>
                <w:tcPr>
                  <w:tcW w:w="342" w:type="pct"/>
                  <w:shd w:val="clear" w:color="auto" w:fill="auto"/>
                  <w:vAlign w:val="center"/>
                </w:tcPr>
                <w:p w14:paraId="24F71A13">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ascii="Times New Roman" w:hAnsi="Times New Roman" w:cs="Times New Roman"/>
                      <w:bCs/>
                      <w:color w:val="000000" w:themeColor="text1"/>
                      <w:szCs w:val="18"/>
                      <w:lang w:eastAsia="zh-CN"/>
                      <w14:textFill>
                        <w14:solidFill>
                          <w14:schemeClr w14:val="tx1"/>
                        </w14:solidFill>
                      </w14:textFill>
                    </w:rPr>
                    <w:t>颗粒物</w:t>
                  </w:r>
                </w:p>
              </w:tc>
              <w:tc>
                <w:tcPr>
                  <w:tcW w:w="233" w:type="pct"/>
                  <w:shd w:val="clear" w:color="auto" w:fill="auto"/>
                  <w:vAlign w:val="center"/>
                </w:tcPr>
                <w:p w14:paraId="36B002BA">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1.093</w:t>
                  </w:r>
                </w:p>
              </w:tc>
              <w:tc>
                <w:tcPr>
                  <w:tcW w:w="317" w:type="pct"/>
                  <w:shd w:val="clear" w:color="auto" w:fill="auto"/>
                  <w:vAlign w:val="center"/>
                </w:tcPr>
                <w:p w14:paraId="19655969">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2.799</w:t>
                  </w:r>
                </w:p>
              </w:tc>
              <w:tc>
                <w:tcPr>
                  <w:tcW w:w="287" w:type="pct"/>
                  <w:shd w:val="clear" w:color="auto" w:fill="auto"/>
                  <w:vAlign w:val="center"/>
                </w:tcPr>
                <w:p w14:paraId="6023E1B1">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30.371</w:t>
                  </w:r>
                </w:p>
              </w:tc>
              <w:tc>
                <w:tcPr>
                  <w:tcW w:w="276" w:type="pct"/>
                  <w:shd w:val="clear" w:color="auto" w:fill="auto"/>
                  <w:vAlign w:val="center"/>
                </w:tcPr>
                <w:p w14:paraId="5B962741">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eastAsia="宋体" w:cs="Times New Roman"/>
                      <w:color w:val="000000"/>
                      <w:szCs w:val="21"/>
                      <w:lang w:val="en-US" w:eastAsia="zh-CN"/>
                    </w:rPr>
                    <w:t>布袋除尘器处理</w:t>
                  </w:r>
                </w:p>
              </w:tc>
              <w:tc>
                <w:tcPr>
                  <w:tcW w:w="168" w:type="pct"/>
                  <w:shd w:val="clear" w:color="auto" w:fill="auto"/>
                  <w:vAlign w:val="center"/>
                </w:tcPr>
                <w:p w14:paraId="2A6CCE4B">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shd w:val="clear" w:color="auto" w:fill="auto"/>
                  <w:vAlign w:val="center"/>
                </w:tcPr>
                <w:p w14:paraId="2B32D961">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0</w:t>
                  </w:r>
                  <w:r>
                    <w:rPr>
                      <w:rFonts w:hint="default"/>
                      <w:color w:val="auto"/>
                    </w:rPr>
                    <w:t>%</w:t>
                  </w:r>
                </w:p>
              </w:tc>
              <w:tc>
                <w:tcPr>
                  <w:tcW w:w="167" w:type="pct"/>
                  <w:shd w:val="clear" w:color="auto" w:fill="auto"/>
                  <w:vAlign w:val="center"/>
                </w:tcPr>
                <w:p w14:paraId="58CA38AD">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9</w:t>
                  </w:r>
                  <w:r>
                    <w:rPr>
                      <w:rFonts w:hint="default"/>
                      <w:color w:val="auto"/>
                    </w:rPr>
                    <w:t>%</w:t>
                  </w:r>
                </w:p>
              </w:tc>
              <w:tc>
                <w:tcPr>
                  <w:tcW w:w="317" w:type="pct"/>
                  <w:shd w:val="clear" w:color="auto" w:fill="auto"/>
                  <w:vAlign w:val="center"/>
                </w:tcPr>
                <w:p w14:paraId="60ED27E7">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0.011</w:t>
                  </w:r>
                </w:p>
              </w:tc>
              <w:tc>
                <w:tcPr>
                  <w:tcW w:w="317" w:type="pct"/>
                  <w:shd w:val="clear" w:color="auto" w:fill="auto"/>
                  <w:vAlign w:val="center"/>
                </w:tcPr>
                <w:p w14:paraId="0520A7B5">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0.028</w:t>
                  </w:r>
                </w:p>
              </w:tc>
              <w:tc>
                <w:tcPr>
                  <w:tcW w:w="259" w:type="pct"/>
                  <w:shd w:val="clear" w:color="auto" w:fill="auto"/>
                  <w:vAlign w:val="center"/>
                </w:tcPr>
                <w:p w14:paraId="50CE759D">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0.304</w:t>
                  </w:r>
                </w:p>
              </w:tc>
              <w:tc>
                <w:tcPr>
                  <w:tcW w:w="236" w:type="pct"/>
                  <w:shd w:val="clear" w:color="auto" w:fill="auto"/>
                  <w:vAlign w:val="center"/>
                </w:tcPr>
                <w:p w14:paraId="1B82DDFB">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120</w:t>
                  </w:r>
                </w:p>
              </w:tc>
              <w:tc>
                <w:tcPr>
                  <w:tcW w:w="163" w:type="pct"/>
                  <w:shd w:val="clear" w:color="auto" w:fill="auto"/>
                  <w:vAlign w:val="center"/>
                </w:tcPr>
                <w:p w14:paraId="068AA6C7">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3.5</w:t>
                  </w:r>
                </w:p>
              </w:tc>
              <w:tc>
                <w:tcPr>
                  <w:tcW w:w="127" w:type="pct"/>
                  <w:shd w:val="clear" w:color="auto" w:fill="auto"/>
                  <w:vAlign w:val="center"/>
                </w:tcPr>
                <w:p w14:paraId="102CC370">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达标</w:t>
                  </w:r>
                </w:p>
              </w:tc>
              <w:tc>
                <w:tcPr>
                  <w:tcW w:w="97" w:type="pct"/>
                  <w:vAlign w:val="center"/>
                </w:tcPr>
                <w:p w14:paraId="20525A6F">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15</w:t>
                  </w:r>
                </w:p>
              </w:tc>
              <w:tc>
                <w:tcPr>
                  <w:tcW w:w="115" w:type="pct"/>
                  <w:vAlign w:val="center"/>
                </w:tcPr>
                <w:p w14:paraId="12641763">
                  <w:pPr>
                    <w:keepNext w:val="0"/>
                    <w:keepLines w:val="0"/>
                    <w:widowControl/>
                    <w:suppressLineNumbers w:val="0"/>
                    <w:spacing w:before="0" w:beforeAutospacing="0" w:after="0" w:afterAutospacing="0"/>
                    <w:ind w:left="0" w:right="0"/>
                    <w:jc w:val="center"/>
                    <w:rPr>
                      <w:rFonts w:hint="eastAsia" w:eastAsia="宋体"/>
                      <w:color w:val="auto"/>
                      <w:lang w:val="en-US" w:eastAsia="zh-CN"/>
                    </w:rPr>
                  </w:pPr>
                  <w:r>
                    <w:rPr>
                      <w:rFonts w:hint="eastAsia"/>
                      <w:color w:val="auto"/>
                      <w:lang w:val="en-US" w:eastAsia="zh-CN"/>
                    </w:rPr>
                    <w:t>1</w:t>
                  </w:r>
                </w:p>
              </w:tc>
              <w:tc>
                <w:tcPr>
                  <w:tcW w:w="103" w:type="pct"/>
                  <w:vAlign w:val="center"/>
                </w:tcPr>
                <w:p w14:paraId="24E1FA3F">
                  <w:pPr>
                    <w:keepNext w:val="0"/>
                    <w:keepLines w:val="0"/>
                    <w:suppressLineNumbers w:val="0"/>
                    <w:spacing w:before="0" w:beforeAutospacing="0" w:after="0" w:afterAutospacing="0"/>
                    <w:ind w:left="0" w:right="0"/>
                    <w:jc w:val="center"/>
                    <w:rPr>
                      <w:rFonts w:hint="default"/>
                      <w:color w:val="auto"/>
                    </w:rPr>
                  </w:pPr>
                  <w:r>
                    <w:rPr>
                      <w:rFonts w:hint="default"/>
                      <w:color w:val="auto"/>
                    </w:rPr>
                    <w:t>25</w:t>
                  </w:r>
                </w:p>
              </w:tc>
              <w:tc>
                <w:tcPr>
                  <w:tcW w:w="230" w:type="pct"/>
                  <w:vAlign w:val="center"/>
                </w:tcPr>
                <w:p w14:paraId="0C4A0F18">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36</w:t>
                  </w:r>
                  <w:r>
                    <w:rPr>
                      <w:rFonts w:hint="default"/>
                      <w:color w:val="auto"/>
                    </w:rPr>
                    <w:t>000</w:t>
                  </w:r>
                </w:p>
              </w:tc>
              <w:tc>
                <w:tcPr>
                  <w:tcW w:w="185" w:type="pct"/>
                  <w:vAlign w:val="center"/>
                </w:tcPr>
                <w:p w14:paraId="1031B4C8">
                  <w:pPr>
                    <w:keepNext w:val="0"/>
                    <w:keepLines w:val="0"/>
                    <w:widowControl/>
                    <w:suppressLineNumbers w:val="0"/>
                    <w:spacing w:before="0" w:beforeAutospacing="0" w:after="0" w:afterAutospacing="0"/>
                    <w:ind w:left="0" w:right="0"/>
                    <w:jc w:val="center"/>
                    <w:rPr>
                      <w:rFonts w:hint="eastAsia" w:eastAsia="宋体"/>
                      <w:color w:val="auto"/>
                      <w:lang w:eastAsia="zh-CN"/>
                    </w:rPr>
                  </w:pPr>
                  <w:r>
                    <w:rPr>
                      <w:rFonts w:hint="default"/>
                      <w:color w:val="auto"/>
                    </w:rPr>
                    <w:t>1</w:t>
                  </w:r>
                  <w:r>
                    <w:rPr>
                      <w:rFonts w:hint="eastAsia"/>
                      <w:color w:val="auto"/>
                      <w:lang w:val="en-US" w:eastAsia="zh-CN"/>
                    </w:rPr>
                    <w:t>3</w:t>
                  </w:r>
                </w:p>
              </w:tc>
              <w:tc>
                <w:tcPr>
                  <w:tcW w:w="249" w:type="pct"/>
                  <w:vAlign w:val="center"/>
                </w:tcPr>
                <w:p w14:paraId="5DF124D0">
                  <w:pPr>
                    <w:keepNext w:val="0"/>
                    <w:keepLines w:val="0"/>
                    <w:suppressLineNumbers w:val="0"/>
                    <w:spacing w:before="0" w:beforeAutospacing="0" w:after="0" w:afterAutospacing="0"/>
                    <w:ind w:left="0" w:right="0"/>
                    <w:jc w:val="center"/>
                    <w:rPr>
                      <w:rFonts w:hint="default"/>
                      <w:color w:val="auto"/>
                    </w:rPr>
                  </w:pPr>
                  <w:r>
                    <w:rPr>
                      <w:rFonts w:hint="eastAsia"/>
                      <w:color w:val="auto"/>
                      <w:lang w:val="en-US" w:eastAsia="zh-CN"/>
                    </w:rPr>
                    <w:t>2560</w:t>
                  </w:r>
                  <w:r>
                    <w:rPr>
                      <w:rFonts w:hint="default"/>
                      <w:color w:val="auto"/>
                    </w:rPr>
                    <w:t>h</w:t>
                  </w:r>
                </w:p>
              </w:tc>
            </w:tr>
            <w:tr w14:paraId="7458092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258" w:type="pct"/>
                  <w:vMerge w:val="restart"/>
                  <w:vAlign w:val="center"/>
                </w:tcPr>
                <w:p w14:paraId="23F7B5AD">
                  <w:pPr>
                    <w:keepNext w:val="0"/>
                    <w:keepLines w:val="0"/>
                    <w:suppressLineNumbers w:val="0"/>
                    <w:adjustRightInd w:val="0"/>
                    <w:snapToGrid w:val="0"/>
                    <w:spacing w:before="0" w:beforeAutospacing="0" w:after="0" w:afterAutospacing="0"/>
                    <w:ind w:left="0" w:right="0"/>
                    <w:jc w:val="center"/>
                    <w:rPr>
                      <w:rFonts w:hint="eastAsia" w:eastAsia="宋体"/>
                      <w:color w:val="auto"/>
                      <w:lang w:eastAsia="zh-CN"/>
                    </w:rPr>
                  </w:pPr>
                  <w:r>
                    <w:rPr>
                      <w:rFonts w:hint="default"/>
                      <w:color w:val="auto"/>
                      <w:kern w:val="0"/>
                      <w:szCs w:val="21"/>
                      <w:lang w:bidi="ar"/>
                    </w:rPr>
                    <w:t>DA00</w:t>
                  </w:r>
                  <w:r>
                    <w:rPr>
                      <w:rFonts w:hint="eastAsia"/>
                      <w:color w:val="auto"/>
                      <w:kern w:val="0"/>
                      <w:szCs w:val="21"/>
                      <w:lang w:val="en-US" w:eastAsia="zh-CN" w:bidi="ar"/>
                    </w:rPr>
                    <w:t>2</w:t>
                  </w:r>
                </w:p>
              </w:tc>
              <w:tc>
                <w:tcPr>
                  <w:tcW w:w="367" w:type="pct"/>
                  <w:vAlign w:val="center"/>
                </w:tcPr>
                <w:p w14:paraId="71016957">
                  <w:pPr>
                    <w:keepNext w:val="0"/>
                    <w:keepLines w:val="0"/>
                    <w:suppressLineNumbers w:val="0"/>
                    <w:spacing w:before="0" w:beforeAutospacing="0" w:after="0" w:afterAutospacing="0"/>
                    <w:ind w:left="0" w:right="0"/>
                    <w:jc w:val="center"/>
                    <w:rPr>
                      <w:rFonts w:hint="default"/>
                      <w:color w:val="auto"/>
                      <w:kern w:val="0"/>
                      <w:szCs w:val="21"/>
                      <w:lang w:bidi="ar"/>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p>
              </w:tc>
              <w:tc>
                <w:tcPr>
                  <w:tcW w:w="342" w:type="pct"/>
                  <w:shd w:val="clear" w:color="auto" w:fill="auto"/>
                  <w:vAlign w:val="center"/>
                </w:tcPr>
                <w:p w14:paraId="5E3310FC">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color w:val="auto"/>
                      <w:szCs w:val="21"/>
                    </w:rPr>
                    <w:t>非甲烷总烃</w:t>
                  </w:r>
                </w:p>
              </w:tc>
              <w:tc>
                <w:tcPr>
                  <w:tcW w:w="233" w:type="pct"/>
                  <w:shd w:val="clear" w:color="auto" w:fill="auto"/>
                  <w:vAlign w:val="center"/>
                </w:tcPr>
                <w:p w14:paraId="681F80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0.052</w:t>
                  </w:r>
                </w:p>
              </w:tc>
              <w:tc>
                <w:tcPr>
                  <w:tcW w:w="317" w:type="pct"/>
                  <w:shd w:val="clear" w:color="auto" w:fill="auto"/>
                  <w:vAlign w:val="center"/>
                </w:tcPr>
                <w:p w14:paraId="1B8E5F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0.264</w:t>
                  </w:r>
                </w:p>
              </w:tc>
              <w:tc>
                <w:tcPr>
                  <w:tcW w:w="287" w:type="pct"/>
                  <w:shd w:val="clear" w:color="auto" w:fill="auto"/>
                  <w:vAlign w:val="center"/>
                </w:tcPr>
                <w:p w14:paraId="3FFD96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1.563</w:t>
                  </w:r>
                </w:p>
              </w:tc>
              <w:tc>
                <w:tcPr>
                  <w:tcW w:w="276" w:type="pct"/>
                  <w:shd w:val="clear" w:color="auto" w:fill="auto"/>
                  <w:vAlign w:val="center"/>
                </w:tcPr>
                <w:p w14:paraId="7E904A0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两级活性炭吸附装置</w:t>
                  </w:r>
                </w:p>
              </w:tc>
              <w:tc>
                <w:tcPr>
                  <w:tcW w:w="168" w:type="pct"/>
                  <w:vAlign w:val="center"/>
                </w:tcPr>
                <w:p w14:paraId="00752140">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vAlign w:val="center"/>
                </w:tcPr>
                <w:p w14:paraId="28894FF8">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0</w:t>
                  </w:r>
                  <w:r>
                    <w:rPr>
                      <w:rFonts w:hint="default"/>
                      <w:color w:val="auto"/>
                    </w:rPr>
                    <w:t>%</w:t>
                  </w:r>
                </w:p>
              </w:tc>
              <w:tc>
                <w:tcPr>
                  <w:tcW w:w="167" w:type="pct"/>
                  <w:vAlign w:val="center"/>
                </w:tcPr>
                <w:p w14:paraId="36CDAE05">
                  <w:pPr>
                    <w:keepNext w:val="0"/>
                    <w:keepLines w:val="0"/>
                    <w:suppressLineNumbers w:val="0"/>
                    <w:spacing w:before="0" w:beforeAutospacing="0" w:after="0" w:afterAutospacing="0"/>
                    <w:ind w:left="0" w:right="0"/>
                    <w:jc w:val="center"/>
                    <w:rPr>
                      <w:rFonts w:hint="default"/>
                      <w:color w:val="auto"/>
                    </w:rPr>
                  </w:pPr>
                  <w:r>
                    <w:rPr>
                      <w:rFonts w:hint="default"/>
                      <w:color w:val="auto"/>
                    </w:rPr>
                    <w:t>90%</w:t>
                  </w:r>
                </w:p>
              </w:tc>
              <w:tc>
                <w:tcPr>
                  <w:tcW w:w="317" w:type="pct"/>
                  <w:shd w:val="clear" w:color="auto" w:fill="auto"/>
                  <w:vAlign w:val="center"/>
                </w:tcPr>
                <w:p w14:paraId="0B99BB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0.005</w:t>
                  </w:r>
                </w:p>
              </w:tc>
              <w:tc>
                <w:tcPr>
                  <w:tcW w:w="317" w:type="pct"/>
                  <w:shd w:val="clear" w:color="auto" w:fill="auto"/>
                  <w:vAlign w:val="center"/>
                </w:tcPr>
                <w:p w14:paraId="23B6A4B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0.026</w:t>
                  </w:r>
                </w:p>
              </w:tc>
              <w:tc>
                <w:tcPr>
                  <w:tcW w:w="259" w:type="pct"/>
                  <w:shd w:val="clear" w:color="auto" w:fill="auto"/>
                  <w:vAlign w:val="center"/>
                </w:tcPr>
                <w:p w14:paraId="30DA2C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0.154</w:t>
                  </w:r>
                </w:p>
              </w:tc>
              <w:tc>
                <w:tcPr>
                  <w:tcW w:w="236" w:type="pct"/>
                  <w:shd w:val="clear" w:color="auto" w:fill="auto"/>
                  <w:vAlign w:val="center"/>
                </w:tcPr>
                <w:p w14:paraId="3CE1FFFB">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60</w:t>
                  </w:r>
                </w:p>
              </w:tc>
              <w:tc>
                <w:tcPr>
                  <w:tcW w:w="163" w:type="pct"/>
                  <w:shd w:val="clear" w:color="auto" w:fill="auto"/>
                  <w:vAlign w:val="center"/>
                </w:tcPr>
                <w:p w14:paraId="452605A4">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127" w:type="pct"/>
                  <w:vAlign w:val="center"/>
                </w:tcPr>
                <w:p w14:paraId="5EB34D07">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达标</w:t>
                  </w:r>
                </w:p>
              </w:tc>
              <w:tc>
                <w:tcPr>
                  <w:tcW w:w="97" w:type="pct"/>
                  <w:vAlign w:val="center"/>
                </w:tcPr>
                <w:p w14:paraId="1F9EE754">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15</w:t>
                  </w:r>
                </w:p>
              </w:tc>
              <w:tc>
                <w:tcPr>
                  <w:tcW w:w="115" w:type="pct"/>
                  <w:vAlign w:val="center"/>
                </w:tcPr>
                <w:p w14:paraId="2E1D3691">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1</w:t>
                  </w:r>
                </w:p>
              </w:tc>
              <w:tc>
                <w:tcPr>
                  <w:tcW w:w="103" w:type="pct"/>
                  <w:vAlign w:val="center"/>
                </w:tcPr>
                <w:p w14:paraId="31C3233B">
                  <w:pPr>
                    <w:keepNext w:val="0"/>
                    <w:keepLines w:val="0"/>
                    <w:suppressLineNumbers w:val="0"/>
                    <w:spacing w:before="0" w:beforeAutospacing="0" w:after="0" w:afterAutospacing="0"/>
                    <w:ind w:left="0" w:right="0"/>
                    <w:jc w:val="center"/>
                    <w:rPr>
                      <w:rFonts w:hint="default"/>
                      <w:color w:val="auto"/>
                    </w:rPr>
                  </w:pPr>
                  <w:r>
                    <w:rPr>
                      <w:rFonts w:hint="default"/>
                      <w:color w:val="auto"/>
                    </w:rPr>
                    <w:t>25</w:t>
                  </w:r>
                </w:p>
              </w:tc>
              <w:tc>
                <w:tcPr>
                  <w:tcW w:w="230" w:type="pct"/>
                  <w:vAlign w:val="center"/>
                </w:tcPr>
                <w:p w14:paraId="262B5E02">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33</w:t>
                  </w:r>
                  <w:r>
                    <w:rPr>
                      <w:rFonts w:hint="default"/>
                      <w:color w:val="auto"/>
                    </w:rPr>
                    <w:t>000</w:t>
                  </w:r>
                </w:p>
              </w:tc>
              <w:tc>
                <w:tcPr>
                  <w:tcW w:w="185" w:type="pct"/>
                  <w:vAlign w:val="center"/>
                </w:tcPr>
                <w:p w14:paraId="68C248D1">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w:t>
                  </w:r>
                </w:p>
              </w:tc>
              <w:tc>
                <w:tcPr>
                  <w:tcW w:w="249" w:type="pct"/>
                  <w:vAlign w:val="center"/>
                </w:tcPr>
                <w:p w14:paraId="00706ED1">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5120</w:t>
                  </w:r>
                  <w:r>
                    <w:rPr>
                      <w:rFonts w:hint="default" w:ascii="Times New Roman" w:hAnsi="Times New Roman" w:eastAsia="宋体" w:cs="Times New Roman"/>
                      <w:color w:val="auto"/>
                      <w:lang w:val="en-US" w:eastAsia="zh-CN"/>
                    </w:rPr>
                    <w:t>h</w:t>
                  </w:r>
                </w:p>
              </w:tc>
            </w:tr>
            <w:tr w14:paraId="1D3FD5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258" w:type="pct"/>
                  <w:vMerge w:val="continue"/>
                  <w:vAlign w:val="center"/>
                </w:tcPr>
                <w:p w14:paraId="7065584B">
                  <w:pPr>
                    <w:keepNext w:val="0"/>
                    <w:keepLines w:val="0"/>
                    <w:suppressLineNumbers w:val="0"/>
                    <w:adjustRightInd w:val="0"/>
                    <w:snapToGrid w:val="0"/>
                    <w:spacing w:before="0" w:beforeAutospacing="0" w:after="0" w:afterAutospacing="0"/>
                    <w:ind w:left="0" w:right="0"/>
                    <w:jc w:val="center"/>
                    <w:rPr>
                      <w:rFonts w:hint="default"/>
                      <w:color w:val="auto"/>
                    </w:rPr>
                  </w:pPr>
                </w:p>
              </w:tc>
              <w:tc>
                <w:tcPr>
                  <w:tcW w:w="367" w:type="pct"/>
                  <w:vMerge w:val="restart"/>
                  <w:vAlign w:val="center"/>
                </w:tcPr>
                <w:p w14:paraId="7AF9232A">
                  <w:pPr>
                    <w:keepNext w:val="0"/>
                    <w:keepLines w:val="0"/>
                    <w:suppressLineNumbers w:val="0"/>
                    <w:spacing w:before="0" w:beforeAutospacing="0" w:after="0" w:afterAutospacing="0"/>
                    <w:ind w:left="0" w:right="0"/>
                    <w:jc w:val="center"/>
                    <w:rPr>
                      <w:rFonts w:hint="default"/>
                      <w:color w:val="auto"/>
                      <w:kern w:val="0"/>
                      <w:szCs w:val="21"/>
                      <w:lang w:bidi="ar"/>
                    </w:rPr>
                  </w:pP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p>
              </w:tc>
              <w:tc>
                <w:tcPr>
                  <w:tcW w:w="342" w:type="pct"/>
                  <w:shd w:val="clear" w:color="auto" w:fill="auto"/>
                  <w:vAlign w:val="center"/>
                </w:tcPr>
                <w:p w14:paraId="42C6EE14">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color w:val="auto"/>
                      <w:kern w:val="0"/>
                      <w:szCs w:val="21"/>
                      <w:lang w:bidi="ar"/>
                    </w:rPr>
                    <w:t>颗粒物</w:t>
                  </w:r>
                </w:p>
              </w:tc>
              <w:tc>
                <w:tcPr>
                  <w:tcW w:w="233" w:type="pct"/>
                  <w:shd w:val="clear" w:color="auto" w:fill="auto"/>
                  <w:vAlign w:val="center"/>
                </w:tcPr>
                <w:p w14:paraId="64A85D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0.006</w:t>
                  </w:r>
                </w:p>
              </w:tc>
              <w:tc>
                <w:tcPr>
                  <w:tcW w:w="317" w:type="pct"/>
                  <w:shd w:val="clear" w:color="auto" w:fill="auto"/>
                  <w:vAlign w:val="center"/>
                </w:tcPr>
                <w:p w14:paraId="2A22F7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0.031</w:t>
                  </w:r>
                </w:p>
              </w:tc>
              <w:tc>
                <w:tcPr>
                  <w:tcW w:w="287" w:type="pct"/>
                  <w:shd w:val="clear" w:color="auto" w:fill="auto"/>
                  <w:vAlign w:val="center"/>
                </w:tcPr>
                <w:p w14:paraId="1A6FAA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0.183</w:t>
                  </w:r>
                </w:p>
              </w:tc>
              <w:tc>
                <w:tcPr>
                  <w:tcW w:w="276" w:type="pct"/>
                  <w:shd w:val="clear" w:color="auto" w:fill="auto"/>
                  <w:vAlign w:val="center"/>
                </w:tcPr>
                <w:p w14:paraId="48F246D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过滤棉</w:t>
                  </w:r>
                </w:p>
              </w:tc>
              <w:tc>
                <w:tcPr>
                  <w:tcW w:w="168" w:type="pct"/>
                  <w:vAlign w:val="center"/>
                </w:tcPr>
                <w:p w14:paraId="1195A511">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vAlign w:val="center"/>
                </w:tcPr>
                <w:p w14:paraId="34EA3EAA">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0</w:t>
                  </w:r>
                  <w:r>
                    <w:rPr>
                      <w:rFonts w:hint="default"/>
                      <w:color w:val="auto"/>
                    </w:rPr>
                    <w:t>%</w:t>
                  </w:r>
                </w:p>
              </w:tc>
              <w:tc>
                <w:tcPr>
                  <w:tcW w:w="167" w:type="pct"/>
                  <w:vAlign w:val="center"/>
                </w:tcPr>
                <w:p w14:paraId="1972D029">
                  <w:pPr>
                    <w:keepNext w:val="0"/>
                    <w:keepLines w:val="0"/>
                    <w:suppressLineNumbers w:val="0"/>
                    <w:spacing w:before="0" w:beforeAutospacing="0" w:after="0" w:afterAutospacing="0"/>
                    <w:ind w:left="0" w:right="0"/>
                    <w:jc w:val="center"/>
                    <w:rPr>
                      <w:rFonts w:hint="default"/>
                      <w:color w:val="auto"/>
                    </w:rPr>
                  </w:pPr>
                  <w:r>
                    <w:rPr>
                      <w:rFonts w:hint="default"/>
                      <w:color w:val="auto"/>
                    </w:rPr>
                    <w:t>95%</w:t>
                  </w:r>
                </w:p>
              </w:tc>
              <w:tc>
                <w:tcPr>
                  <w:tcW w:w="317" w:type="pct"/>
                  <w:shd w:val="clear" w:color="auto" w:fill="auto"/>
                  <w:vAlign w:val="center"/>
                </w:tcPr>
                <w:p w14:paraId="64A864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0.0004</w:t>
                  </w:r>
                </w:p>
              </w:tc>
              <w:tc>
                <w:tcPr>
                  <w:tcW w:w="317" w:type="pct"/>
                  <w:shd w:val="clear" w:color="auto" w:fill="auto"/>
                  <w:vAlign w:val="center"/>
                </w:tcPr>
                <w:p w14:paraId="2B263CC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0.002</w:t>
                  </w:r>
                </w:p>
              </w:tc>
              <w:tc>
                <w:tcPr>
                  <w:tcW w:w="259" w:type="pct"/>
                  <w:shd w:val="clear" w:color="auto" w:fill="auto"/>
                  <w:vAlign w:val="center"/>
                </w:tcPr>
                <w:p w14:paraId="74F68A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0.012</w:t>
                  </w:r>
                </w:p>
              </w:tc>
              <w:tc>
                <w:tcPr>
                  <w:tcW w:w="236" w:type="pct"/>
                  <w:shd w:val="clear" w:color="auto" w:fill="auto"/>
                  <w:vAlign w:val="center"/>
                </w:tcPr>
                <w:p w14:paraId="311A831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30</w:t>
                  </w:r>
                </w:p>
              </w:tc>
              <w:tc>
                <w:tcPr>
                  <w:tcW w:w="163" w:type="pct"/>
                  <w:shd w:val="clear" w:color="auto" w:fill="auto"/>
                  <w:vAlign w:val="center"/>
                </w:tcPr>
                <w:p w14:paraId="6124D583">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w:t>
                  </w:r>
                </w:p>
              </w:tc>
              <w:tc>
                <w:tcPr>
                  <w:tcW w:w="127" w:type="pct"/>
                  <w:vAlign w:val="center"/>
                </w:tcPr>
                <w:p w14:paraId="5D1FE498">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达标</w:t>
                  </w:r>
                </w:p>
              </w:tc>
              <w:tc>
                <w:tcPr>
                  <w:tcW w:w="97" w:type="pct"/>
                  <w:vAlign w:val="center"/>
                </w:tcPr>
                <w:p w14:paraId="2B918B8A">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15</w:t>
                  </w:r>
                </w:p>
              </w:tc>
              <w:tc>
                <w:tcPr>
                  <w:tcW w:w="115" w:type="pct"/>
                  <w:vAlign w:val="center"/>
                </w:tcPr>
                <w:p w14:paraId="09A2EB54">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1</w:t>
                  </w:r>
                </w:p>
              </w:tc>
              <w:tc>
                <w:tcPr>
                  <w:tcW w:w="103" w:type="pct"/>
                  <w:vAlign w:val="center"/>
                </w:tcPr>
                <w:p w14:paraId="4A2A9FDA">
                  <w:pPr>
                    <w:keepNext w:val="0"/>
                    <w:keepLines w:val="0"/>
                    <w:suppressLineNumbers w:val="0"/>
                    <w:spacing w:before="0" w:beforeAutospacing="0" w:after="0" w:afterAutospacing="0"/>
                    <w:ind w:left="0" w:right="0"/>
                    <w:jc w:val="center"/>
                    <w:rPr>
                      <w:rFonts w:hint="default"/>
                      <w:color w:val="auto"/>
                    </w:rPr>
                  </w:pPr>
                  <w:r>
                    <w:rPr>
                      <w:rFonts w:hint="default"/>
                      <w:color w:val="auto"/>
                    </w:rPr>
                    <w:t>25</w:t>
                  </w:r>
                </w:p>
              </w:tc>
              <w:tc>
                <w:tcPr>
                  <w:tcW w:w="230" w:type="pct"/>
                  <w:vAlign w:val="center"/>
                </w:tcPr>
                <w:p w14:paraId="604339B9">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33</w:t>
                  </w:r>
                  <w:r>
                    <w:rPr>
                      <w:rFonts w:hint="default"/>
                      <w:color w:val="auto"/>
                    </w:rPr>
                    <w:t>000</w:t>
                  </w:r>
                </w:p>
              </w:tc>
              <w:tc>
                <w:tcPr>
                  <w:tcW w:w="185" w:type="pct"/>
                  <w:vAlign w:val="center"/>
                </w:tcPr>
                <w:p w14:paraId="0E0A4BA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w:t>
                  </w:r>
                </w:p>
              </w:tc>
              <w:tc>
                <w:tcPr>
                  <w:tcW w:w="249" w:type="pct"/>
                  <w:vAlign w:val="center"/>
                </w:tcPr>
                <w:p w14:paraId="3C04BFD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5120</w:t>
                  </w:r>
                  <w:r>
                    <w:rPr>
                      <w:rFonts w:hint="default" w:ascii="Times New Roman" w:hAnsi="Times New Roman" w:eastAsia="宋体" w:cs="Times New Roman"/>
                      <w:color w:val="auto"/>
                      <w:lang w:val="en-US" w:eastAsia="zh-CN"/>
                    </w:rPr>
                    <w:t>h</w:t>
                  </w:r>
                </w:p>
              </w:tc>
            </w:tr>
            <w:tr w14:paraId="2A94E9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258" w:type="pct"/>
                  <w:vMerge w:val="continue"/>
                  <w:vAlign w:val="center"/>
                </w:tcPr>
                <w:p w14:paraId="34DD0D91">
                  <w:pPr>
                    <w:keepNext w:val="0"/>
                    <w:keepLines w:val="0"/>
                    <w:suppressLineNumbers w:val="0"/>
                    <w:adjustRightInd w:val="0"/>
                    <w:snapToGrid w:val="0"/>
                    <w:spacing w:before="0" w:beforeAutospacing="0" w:after="0" w:afterAutospacing="0"/>
                    <w:ind w:left="0" w:right="0"/>
                    <w:jc w:val="center"/>
                    <w:rPr>
                      <w:rFonts w:hint="default"/>
                      <w:color w:val="auto"/>
                      <w:kern w:val="0"/>
                      <w:szCs w:val="21"/>
                      <w:lang w:bidi="ar"/>
                    </w:rPr>
                  </w:pPr>
                </w:p>
              </w:tc>
              <w:tc>
                <w:tcPr>
                  <w:tcW w:w="367" w:type="pct"/>
                  <w:vMerge w:val="continue"/>
                  <w:vAlign w:val="center"/>
                </w:tcPr>
                <w:p w14:paraId="1F5E5635">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p>
              </w:tc>
              <w:tc>
                <w:tcPr>
                  <w:tcW w:w="342" w:type="pct"/>
                  <w:shd w:val="clear" w:color="auto" w:fill="auto"/>
                  <w:vAlign w:val="center"/>
                </w:tcPr>
                <w:p w14:paraId="011E03A1">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SO</w:t>
                  </w:r>
                  <w:r>
                    <w:rPr>
                      <w:rFonts w:hint="default"/>
                      <w:color w:val="auto"/>
                      <w:szCs w:val="21"/>
                      <w:vertAlign w:val="subscript"/>
                    </w:rPr>
                    <w:t>2</w:t>
                  </w:r>
                </w:p>
              </w:tc>
              <w:tc>
                <w:tcPr>
                  <w:tcW w:w="233" w:type="pct"/>
                  <w:shd w:val="clear" w:color="auto" w:fill="auto"/>
                  <w:vAlign w:val="center"/>
                </w:tcPr>
                <w:p w14:paraId="777DD8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0.004</w:t>
                  </w:r>
                </w:p>
              </w:tc>
              <w:tc>
                <w:tcPr>
                  <w:tcW w:w="317" w:type="pct"/>
                  <w:shd w:val="clear" w:color="auto" w:fill="auto"/>
                  <w:vAlign w:val="center"/>
                </w:tcPr>
                <w:p w14:paraId="31F436B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0.022</w:t>
                  </w:r>
                </w:p>
              </w:tc>
              <w:tc>
                <w:tcPr>
                  <w:tcW w:w="287" w:type="pct"/>
                  <w:shd w:val="clear" w:color="auto" w:fill="auto"/>
                  <w:vAlign w:val="center"/>
                </w:tcPr>
                <w:p w14:paraId="00E355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0.13</w:t>
                  </w:r>
                </w:p>
              </w:tc>
              <w:tc>
                <w:tcPr>
                  <w:tcW w:w="276" w:type="pct"/>
                  <w:shd w:val="clear" w:color="auto" w:fill="auto"/>
                  <w:vAlign w:val="center"/>
                </w:tcPr>
                <w:p w14:paraId="2C5FA57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w:t>
                  </w:r>
                </w:p>
              </w:tc>
              <w:tc>
                <w:tcPr>
                  <w:tcW w:w="168" w:type="pct"/>
                  <w:vAlign w:val="center"/>
                </w:tcPr>
                <w:p w14:paraId="6C5A9F37">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vAlign w:val="center"/>
                </w:tcPr>
                <w:p w14:paraId="6B9AEB0A">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0</w:t>
                  </w:r>
                  <w:r>
                    <w:rPr>
                      <w:rFonts w:hint="default"/>
                      <w:color w:val="auto"/>
                    </w:rPr>
                    <w:t>%</w:t>
                  </w:r>
                </w:p>
              </w:tc>
              <w:tc>
                <w:tcPr>
                  <w:tcW w:w="167" w:type="pct"/>
                  <w:vAlign w:val="center"/>
                </w:tcPr>
                <w:p w14:paraId="3137D000">
                  <w:pPr>
                    <w:keepNext w:val="0"/>
                    <w:keepLines w:val="0"/>
                    <w:suppressLineNumbers w:val="0"/>
                    <w:spacing w:before="0" w:beforeAutospacing="0" w:after="0" w:afterAutospacing="0"/>
                    <w:ind w:left="0" w:right="0"/>
                    <w:jc w:val="center"/>
                    <w:rPr>
                      <w:rFonts w:hint="default"/>
                      <w:color w:val="auto"/>
                    </w:rPr>
                  </w:pPr>
                  <w:r>
                    <w:rPr>
                      <w:rFonts w:hint="default"/>
                      <w:color w:val="auto"/>
                    </w:rPr>
                    <w:t>/</w:t>
                  </w:r>
                </w:p>
              </w:tc>
              <w:tc>
                <w:tcPr>
                  <w:tcW w:w="317" w:type="pct"/>
                  <w:shd w:val="clear" w:color="auto" w:fill="auto"/>
                  <w:vAlign w:val="center"/>
                </w:tcPr>
                <w:p w14:paraId="453363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0.004</w:t>
                  </w:r>
                </w:p>
              </w:tc>
              <w:tc>
                <w:tcPr>
                  <w:tcW w:w="317" w:type="pct"/>
                  <w:shd w:val="clear" w:color="auto" w:fill="auto"/>
                  <w:vAlign w:val="center"/>
                </w:tcPr>
                <w:p w14:paraId="5F6D7A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0.022</w:t>
                  </w:r>
                </w:p>
              </w:tc>
              <w:tc>
                <w:tcPr>
                  <w:tcW w:w="259" w:type="pct"/>
                  <w:shd w:val="clear" w:color="auto" w:fill="auto"/>
                  <w:vAlign w:val="center"/>
                </w:tcPr>
                <w:p w14:paraId="05FE27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0.13</w:t>
                  </w:r>
                </w:p>
              </w:tc>
              <w:tc>
                <w:tcPr>
                  <w:tcW w:w="236" w:type="pct"/>
                  <w:shd w:val="clear" w:color="auto" w:fill="auto"/>
                  <w:vAlign w:val="center"/>
                </w:tcPr>
                <w:p w14:paraId="023F128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200</w:t>
                  </w:r>
                </w:p>
              </w:tc>
              <w:tc>
                <w:tcPr>
                  <w:tcW w:w="163" w:type="pct"/>
                  <w:shd w:val="clear" w:color="auto" w:fill="auto"/>
                  <w:vAlign w:val="center"/>
                </w:tcPr>
                <w:p w14:paraId="48B78104">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w:t>
                  </w:r>
                </w:p>
              </w:tc>
              <w:tc>
                <w:tcPr>
                  <w:tcW w:w="127" w:type="pct"/>
                  <w:vAlign w:val="center"/>
                </w:tcPr>
                <w:p w14:paraId="42DD4F78">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达标</w:t>
                  </w:r>
                </w:p>
              </w:tc>
              <w:tc>
                <w:tcPr>
                  <w:tcW w:w="97" w:type="pct"/>
                  <w:vAlign w:val="center"/>
                </w:tcPr>
                <w:p w14:paraId="3F3E9758">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15</w:t>
                  </w:r>
                </w:p>
              </w:tc>
              <w:tc>
                <w:tcPr>
                  <w:tcW w:w="115" w:type="pct"/>
                  <w:vAlign w:val="center"/>
                </w:tcPr>
                <w:p w14:paraId="5F40E242">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1</w:t>
                  </w:r>
                </w:p>
              </w:tc>
              <w:tc>
                <w:tcPr>
                  <w:tcW w:w="103" w:type="pct"/>
                  <w:vAlign w:val="center"/>
                </w:tcPr>
                <w:p w14:paraId="5734EF44">
                  <w:pPr>
                    <w:keepNext w:val="0"/>
                    <w:keepLines w:val="0"/>
                    <w:suppressLineNumbers w:val="0"/>
                    <w:spacing w:before="0" w:beforeAutospacing="0" w:after="0" w:afterAutospacing="0"/>
                    <w:ind w:left="0" w:right="0"/>
                    <w:jc w:val="center"/>
                    <w:rPr>
                      <w:rFonts w:hint="default"/>
                      <w:color w:val="auto"/>
                    </w:rPr>
                  </w:pPr>
                  <w:r>
                    <w:rPr>
                      <w:rFonts w:hint="default"/>
                      <w:color w:val="auto"/>
                    </w:rPr>
                    <w:t>25</w:t>
                  </w:r>
                </w:p>
              </w:tc>
              <w:tc>
                <w:tcPr>
                  <w:tcW w:w="230" w:type="pct"/>
                  <w:vAlign w:val="center"/>
                </w:tcPr>
                <w:p w14:paraId="24CBF61F">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33</w:t>
                  </w:r>
                  <w:r>
                    <w:rPr>
                      <w:rFonts w:hint="default"/>
                      <w:color w:val="auto"/>
                    </w:rPr>
                    <w:t>000</w:t>
                  </w:r>
                </w:p>
              </w:tc>
              <w:tc>
                <w:tcPr>
                  <w:tcW w:w="185" w:type="pct"/>
                  <w:vAlign w:val="center"/>
                </w:tcPr>
                <w:p w14:paraId="3FADC4C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w:t>
                  </w:r>
                </w:p>
              </w:tc>
              <w:tc>
                <w:tcPr>
                  <w:tcW w:w="249" w:type="pct"/>
                  <w:vAlign w:val="center"/>
                </w:tcPr>
                <w:p w14:paraId="0861CA27">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5120</w:t>
                  </w:r>
                  <w:r>
                    <w:rPr>
                      <w:rFonts w:hint="default" w:ascii="Times New Roman" w:hAnsi="Times New Roman" w:eastAsia="宋体" w:cs="Times New Roman"/>
                      <w:color w:val="auto"/>
                      <w:lang w:val="en-US" w:eastAsia="zh-CN"/>
                    </w:rPr>
                    <w:t>h</w:t>
                  </w:r>
                </w:p>
              </w:tc>
            </w:tr>
            <w:tr w14:paraId="06EA268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258" w:type="pct"/>
                  <w:vMerge w:val="continue"/>
                  <w:vAlign w:val="center"/>
                </w:tcPr>
                <w:p w14:paraId="2DDB0B36">
                  <w:pPr>
                    <w:keepNext w:val="0"/>
                    <w:keepLines w:val="0"/>
                    <w:suppressLineNumbers w:val="0"/>
                    <w:adjustRightInd w:val="0"/>
                    <w:snapToGrid w:val="0"/>
                    <w:spacing w:before="0" w:beforeAutospacing="0" w:after="0" w:afterAutospacing="0"/>
                    <w:ind w:left="0" w:right="0"/>
                    <w:jc w:val="center"/>
                    <w:rPr>
                      <w:rFonts w:hint="default"/>
                      <w:color w:val="auto"/>
                      <w:kern w:val="0"/>
                      <w:szCs w:val="21"/>
                      <w:lang w:bidi="ar"/>
                    </w:rPr>
                  </w:pPr>
                </w:p>
              </w:tc>
              <w:tc>
                <w:tcPr>
                  <w:tcW w:w="367" w:type="pct"/>
                  <w:vMerge w:val="continue"/>
                  <w:vAlign w:val="center"/>
                </w:tcPr>
                <w:p w14:paraId="4749DC00">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p>
              </w:tc>
              <w:tc>
                <w:tcPr>
                  <w:tcW w:w="342" w:type="pct"/>
                  <w:shd w:val="clear" w:color="auto" w:fill="auto"/>
                  <w:vAlign w:val="center"/>
                </w:tcPr>
                <w:p w14:paraId="7789CD7B">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NOx</w:t>
                  </w:r>
                </w:p>
              </w:tc>
              <w:tc>
                <w:tcPr>
                  <w:tcW w:w="233" w:type="pct"/>
                  <w:shd w:val="clear" w:color="auto" w:fill="auto"/>
                  <w:vAlign w:val="center"/>
                </w:tcPr>
                <w:p w14:paraId="7C9CCD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0.04</w:t>
                  </w:r>
                </w:p>
              </w:tc>
              <w:tc>
                <w:tcPr>
                  <w:tcW w:w="317" w:type="pct"/>
                  <w:shd w:val="clear" w:color="auto" w:fill="auto"/>
                  <w:vAlign w:val="center"/>
                </w:tcPr>
                <w:p w14:paraId="2687CE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0.202</w:t>
                  </w:r>
                </w:p>
              </w:tc>
              <w:tc>
                <w:tcPr>
                  <w:tcW w:w="287" w:type="pct"/>
                  <w:shd w:val="clear" w:color="auto" w:fill="auto"/>
                  <w:vAlign w:val="center"/>
                </w:tcPr>
                <w:p w14:paraId="430B05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1.196</w:t>
                  </w:r>
                </w:p>
              </w:tc>
              <w:tc>
                <w:tcPr>
                  <w:tcW w:w="276" w:type="pct"/>
                  <w:shd w:val="clear" w:color="auto" w:fill="auto"/>
                  <w:vAlign w:val="center"/>
                </w:tcPr>
                <w:p w14:paraId="18E103B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低氮燃烧</w:t>
                  </w:r>
                </w:p>
              </w:tc>
              <w:tc>
                <w:tcPr>
                  <w:tcW w:w="168" w:type="pct"/>
                  <w:vAlign w:val="center"/>
                </w:tcPr>
                <w:p w14:paraId="0B591366">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vAlign w:val="center"/>
                </w:tcPr>
                <w:p w14:paraId="7349EA32">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0</w:t>
                  </w:r>
                  <w:r>
                    <w:rPr>
                      <w:rFonts w:hint="default"/>
                      <w:color w:val="auto"/>
                    </w:rPr>
                    <w:t>%</w:t>
                  </w:r>
                </w:p>
              </w:tc>
              <w:tc>
                <w:tcPr>
                  <w:tcW w:w="167" w:type="pct"/>
                  <w:vAlign w:val="center"/>
                </w:tcPr>
                <w:p w14:paraId="75AA7E91">
                  <w:pPr>
                    <w:keepNext w:val="0"/>
                    <w:keepLines w:val="0"/>
                    <w:suppressLineNumbers w:val="0"/>
                    <w:spacing w:before="0" w:beforeAutospacing="0" w:after="0" w:afterAutospacing="0"/>
                    <w:ind w:left="0" w:right="0"/>
                    <w:jc w:val="center"/>
                    <w:rPr>
                      <w:rFonts w:hint="default"/>
                      <w:color w:val="auto"/>
                    </w:rPr>
                  </w:pPr>
                  <w:r>
                    <w:rPr>
                      <w:rFonts w:hint="default"/>
                      <w:color w:val="auto"/>
                    </w:rPr>
                    <w:t>50%</w:t>
                  </w:r>
                </w:p>
              </w:tc>
              <w:tc>
                <w:tcPr>
                  <w:tcW w:w="317" w:type="pct"/>
                  <w:shd w:val="clear" w:color="auto" w:fill="auto"/>
                  <w:vAlign w:val="center"/>
                </w:tcPr>
                <w:p w14:paraId="28C66B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0.02</w:t>
                  </w:r>
                </w:p>
              </w:tc>
              <w:tc>
                <w:tcPr>
                  <w:tcW w:w="317" w:type="pct"/>
                  <w:shd w:val="clear" w:color="auto" w:fill="auto"/>
                  <w:vAlign w:val="center"/>
                </w:tcPr>
                <w:p w14:paraId="5F03AF3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0.101</w:t>
                  </w:r>
                </w:p>
              </w:tc>
              <w:tc>
                <w:tcPr>
                  <w:tcW w:w="259" w:type="pct"/>
                  <w:shd w:val="clear" w:color="auto" w:fill="auto"/>
                  <w:vAlign w:val="center"/>
                </w:tcPr>
                <w:p w14:paraId="2B66F25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0.598</w:t>
                  </w:r>
                </w:p>
              </w:tc>
              <w:tc>
                <w:tcPr>
                  <w:tcW w:w="236" w:type="pct"/>
                  <w:shd w:val="clear" w:color="auto" w:fill="auto"/>
                  <w:vAlign w:val="center"/>
                </w:tcPr>
                <w:p w14:paraId="276B76A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300</w:t>
                  </w:r>
                </w:p>
              </w:tc>
              <w:tc>
                <w:tcPr>
                  <w:tcW w:w="163" w:type="pct"/>
                  <w:shd w:val="clear" w:color="auto" w:fill="auto"/>
                  <w:vAlign w:val="center"/>
                </w:tcPr>
                <w:p w14:paraId="60B4B5D8">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w:t>
                  </w:r>
                </w:p>
              </w:tc>
              <w:tc>
                <w:tcPr>
                  <w:tcW w:w="127" w:type="pct"/>
                  <w:vAlign w:val="center"/>
                </w:tcPr>
                <w:p w14:paraId="0FB107FF">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达标</w:t>
                  </w:r>
                </w:p>
              </w:tc>
              <w:tc>
                <w:tcPr>
                  <w:tcW w:w="97" w:type="pct"/>
                  <w:vAlign w:val="center"/>
                </w:tcPr>
                <w:p w14:paraId="158C8407">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15</w:t>
                  </w:r>
                </w:p>
              </w:tc>
              <w:tc>
                <w:tcPr>
                  <w:tcW w:w="115" w:type="pct"/>
                  <w:vAlign w:val="center"/>
                </w:tcPr>
                <w:p w14:paraId="4AB1B179">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1</w:t>
                  </w:r>
                </w:p>
              </w:tc>
              <w:tc>
                <w:tcPr>
                  <w:tcW w:w="103" w:type="pct"/>
                  <w:vAlign w:val="center"/>
                </w:tcPr>
                <w:p w14:paraId="1DF239E3">
                  <w:pPr>
                    <w:keepNext w:val="0"/>
                    <w:keepLines w:val="0"/>
                    <w:suppressLineNumbers w:val="0"/>
                    <w:spacing w:before="0" w:beforeAutospacing="0" w:after="0" w:afterAutospacing="0"/>
                    <w:ind w:left="0" w:right="0"/>
                    <w:jc w:val="center"/>
                    <w:rPr>
                      <w:rFonts w:hint="default"/>
                      <w:color w:val="auto"/>
                    </w:rPr>
                  </w:pPr>
                  <w:r>
                    <w:rPr>
                      <w:rFonts w:hint="default"/>
                      <w:color w:val="auto"/>
                    </w:rPr>
                    <w:t>25</w:t>
                  </w:r>
                </w:p>
              </w:tc>
              <w:tc>
                <w:tcPr>
                  <w:tcW w:w="230" w:type="pct"/>
                  <w:vAlign w:val="center"/>
                </w:tcPr>
                <w:p w14:paraId="70A38584">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33</w:t>
                  </w:r>
                  <w:r>
                    <w:rPr>
                      <w:rFonts w:hint="default"/>
                      <w:color w:val="auto"/>
                    </w:rPr>
                    <w:t>000</w:t>
                  </w:r>
                </w:p>
              </w:tc>
              <w:tc>
                <w:tcPr>
                  <w:tcW w:w="185" w:type="pct"/>
                  <w:vAlign w:val="center"/>
                </w:tcPr>
                <w:p w14:paraId="4C4600C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w:t>
                  </w:r>
                </w:p>
              </w:tc>
              <w:tc>
                <w:tcPr>
                  <w:tcW w:w="249" w:type="pct"/>
                  <w:vAlign w:val="center"/>
                </w:tcPr>
                <w:p w14:paraId="3499AF6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5120</w:t>
                  </w:r>
                  <w:r>
                    <w:rPr>
                      <w:rFonts w:hint="default" w:ascii="Times New Roman" w:hAnsi="Times New Roman" w:eastAsia="宋体" w:cs="Times New Roman"/>
                      <w:color w:val="auto"/>
                      <w:lang w:val="en-US" w:eastAsia="zh-CN"/>
                    </w:rPr>
                    <w:t>h</w:t>
                  </w:r>
                </w:p>
              </w:tc>
            </w:tr>
            <w:tr w14:paraId="53117B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258" w:type="pct"/>
                  <w:vMerge w:val="restart"/>
                  <w:shd w:val="clear" w:color="auto" w:fill="auto"/>
                  <w:vAlign w:val="center"/>
                </w:tcPr>
                <w:p w14:paraId="5FD5FB43">
                  <w:pPr>
                    <w:keepNext w:val="0"/>
                    <w:keepLines w:val="0"/>
                    <w:suppressLineNumbers w:val="0"/>
                    <w:adjustRightInd w:val="0"/>
                    <w:snapToGrid w:val="0"/>
                    <w:spacing w:before="0" w:beforeAutospacing="0" w:after="0" w:afterAutospacing="0"/>
                    <w:ind w:left="0" w:right="0"/>
                    <w:jc w:val="center"/>
                    <w:rPr>
                      <w:rFonts w:hint="eastAsia" w:eastAsia="宋体"/>
                      <w:color w:val="auto"/>
                      <w:kern w:val="0"/>
                      <w:szCs w:val="21"/>
                      <w:lang w:eastAsia="zh-CN" w:bidi="ar"/>
                    </w:rPr>
                  </w:pPr>
                  <w:r>
                    <w:rPr>
                      <w:rFonts w:hint="default"/>
                      <w:color w:val="auto"/>
                      <w:kern w:val="0"/>
                      <w:szCs w:val="21"/>
                      <w:lang w:bidi="ar"/>
                    </w:rPr>
                    <w:t>DA00</w:t>
                  </w:r>
                  <w:r>
                    <w:rPr>
                      <w:rFonts w:hint="eastAsia"/>
                      <w:color w:val="auto"/>
                      <w:kern w:val="0"/>
                      <w:szCs w:val="21"/>
                      <w:lang w:val="en-US" w:eastAsia="zh-CN" w:bidi="ar"/>
                    </w:rPr>
                    <w:t>3</w:t>
                  </w:r>
                </w:p>
              </w:tc>
              <w:tc>
                <w:tcPr>
                  <w:tcW w:w="367" w:type="pct"/>
                  <w:vMerge w:val="restart"/>
                  <w:vAlign w:val="center"/>
                </w:tcPr>
                <w:p w14:paraId="2F1525D6">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p>
              </w:tc>
              <w:tc>
                <w:tcPr>
                  <w:tcW w:w="342" w:type="pct"/>
                  <w:shd w:val="clear" w:color="auto" w:fill="auto"/>
                  <w:vAlign w:val="center"/>
                </w:tcPr>
                <w:p w14:paraId="59595D2E">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default"/>
                      <w:color w:val="auto"/>
                      <w:szCs w:val="21"/>
                    </w:rPr>
                    <w:t>非甲烷总烃</w:t>
                  </w:r>
                </w:p>
              </w:tc>
              <w:tc>
                <w:tcPr>
                  <w:tcW w:w="233" w:type="pct"/>
                  <w:shd w:val="clear" w:color="auto" w:fill="auto"/>
                  <w:vAlign w:val="center"/>
                </w:tcPr>
                <w:p w14:paraId="545890C4">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0.048</w:t>
                  </w:r>
                </w:p>
              </w:tc>
              <w:tc>
                <w:tcPr>
                  <w:tcW w:w="317" w:type="pct"/>
                  <w:shd w:val="clear" w:color="auto" w:fill="auto"/>
                  <w:vAlign w:val="center"/>
                </w:tcPr>
                <w:p w14:paraId="64B68DFC">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0.245</w:t>
                  </w:r>
                </w:p>
              </w:tc>
              <w:tc>
                <w:tcPr>
                  <w:tcW w:w="287" w:type="pct"/>
                  <w:shd w:val="clear" w:color="auto" w:fill="auto"/>
                  <w:vAlign w:val="center"/>
                </w:tcPr>
                <w:p w14:paraId="4A71F422">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3.988</w:t>
                  </w:r>
                </w:p>
              </w:tc>
              <w:tc>
                <w:tcPr>
                  <w:tcW w:w="276" w:type="pct"/>
                  <w:vMerge w:val="restart"/>
                  <w:vAlign w:val="center"/>
                </w:tcPr>
                <w:p w14:paraId="10AF924C">
                  <w:pPr>
                    <w:keepNext w:val="0"/>
                    <w:keepLines w:val="0"/>
                    <w:suppressLineNumbers w:val="0"/>
                    <w:spacing w:before="0" w:beforeAutospacing="0" w:after="0" w:afterAutospacing="0"/>
                    <w:ind w:left="0" w:right="0"/>
                    <w:jc w:val="center"/>
                    <w:rPr>
                      <w:rFonts w:hint="default"/>
                      <w:color w:val="auto"/>
                      <w:szCs w:val="21"/>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水帘柜+干式过滤+</w:t>
                  </w:r>
                  <w:r>
                    <w:rPr>
                      <w:rFonts w:hint="default" w:ascii="Times New Roman" w:hAnsi="Times New Roman" w:eastAsia="宋体" w:cs="Times New Roman"/>
                      <w:color w:val="000000" w:themeColor="text1"/>
                      <w:szCs w:val="21"/>
                      <w:lang w:eastAsia="zh-CN"/>
                      <w14:textFill>
                        <w14:solidFill>
                          <w14:schemeClr w14:val="tx1"/>
                        </w14:solidFill>
                      </w14:textFill>
                    </w:rPr>
                    <w:t>两级活性炭吸附装置</w:t>
                  </w:r>
                </w:p>
              </w:tc>
              <w:tc>
                <w:tcPr>
                  <w:tcW w:w="168" w:type="pct"/>
                  <w:shd w:val="clear" w:color="auto" w:fill="auto"/>
                  <w:vAlign w:val="center"/>
                </w:tcPr>
                <w:p w14:paraId="3A8C2E33">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shd w:val="clear" w:color="auto" w:fill="auto"/>
                  <w:vAlign w:val="center"/>
                </w:tcPr>
                <w:p w14:paraId="2ED52409">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5</w:t>
                  </w:r>
                  <w:r>
                    <w:rPr>
                      <w:rFonts w:hint="default"/>
                      <w:color w:val="auto"/>
                    </w:rPr>
                    <w:t>%</w:t>
                  </w:r>
                </w:p>
              </w:tc>
              <w:tc>
                <w:tcPr>
                  <w:tcW w:w="167" w:type="pct"/>
                  <w:shd w:val="clear" w:color="auto" w:fill="auto"/>
                  <w:vAlign w:val="center"/>
                </w:tcPr>
                <w:p w14:paraId="41D42803">
                  <w:pPr>
                    <w:keepNext w:val="0"/>
                    <w:keepLines w:val="0"/>
                    <w:suppressLineNumbers w:val="0"/>
                    <w:spacing w:before="0" w:beforeAutospacing="0" w:after="0" w:afterAutospacing="0"/>
                    <w:ind w:left="0" w:right="0"/>
                    <w:jc w:val="center"/>
                    <w:rPr>
                      <w:rFonts w:hint="default"/>
                      <w:color w:val="auto"/>
                    </w:rPr>
                  </w:pPr>
                  <w:r>
                    <w:rPr>
                      <w:rFonts w:hint="default"/>
                      <w:color w:val="auto"/>
                    </w:rPr>
                    <w:t>90%</w:t>
                  </w:r>
                </w:p>
              </w:tc>
              <w:tc>
                <w:tcPr>
                  <w:tcW w:w="317" w:type="pct"/>
                  <w:shd w:val="clear" w:color="auto" w:fill="auto"/>
                  <w:vAlign w:val="center"/>
                </w:tcPr>
                <w:p w14:paraId="030FE485">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0.005</w:t>
                  </w:r>
                </w:p>
              </w:tc>
              <w:tc>
                <w:tcPr>
                  <w:tcW w:w="317" w:type="pct"/>
                  <w:shd w:val="clear" w:color="auto" w:fill="auto"/>
                  <w:vAlign w:val="center"/>
                </w:tcPr>
                <w:p w14:paraId="13BE653C">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0.0245</w:t>
                  </w:r>
                </w:p>
              </w:tc>
              <w:tc>
                <w:tcPr>
                  <w:tcW w:w="259" w:type="pct"/>
                  <w:shd w:val="clear" w:color="auto" w:fill="auto"/>
                  <w:vAlign w:val="center"/>
                </w:tcPr>
                <w:p w14:paraId="0A3E7B01">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0.399</w:t>
                  </w:r>
                </w:p>
              </w:tc>
              <w:tc>
                <w:tcPr>
                  <w:tcW w:w="236" w:type="pct"/>
                  <w:shd w:val="clear" w:color="auto" w:fill="auto"/>
                  <w:vAlign w:val="center"/>
                </w:tcPr>
                <w:p w14:paraId="1A01956E">
                  <w:pPr>
                    <w:keepNext w:val="0"/>
                    <w:keepLines w:val="0"/>
                    <w:widowControl/>
                    <w:suppressLineNumbers w:val="0"/>
                    <w:snapToGrid w:val="0"/>
                    <w:spacing w:before="0" w:beforeAutospacing="0" w:after="0" w:afterAutospacing="0"/>
                    <w:ind w:left="0" w:leftChars="0" w:right="0" w:rightChars="0"/>
                    <w:jc w:val="center"/>
                    <w:rPr>
                      <w:rFonts w:hint="default"/>
                      <w:color w:val="auto"/>
                      <w:kern w:val="0"/>
                      <w:szCs w:val="21"/>
                    </w:rPr>
                  </w:pPr>
                  <w:r>
                    <w:rPr>
                      <w:rFonts w:hint="default" w:ascii="Times New Roman" w:hAnsi="Times New Roman" w:cs="Times New Roman"/>
                      <w:color w:val="000000" w:themeColor="text1"/>
                      <w:kern w:val="0"/>
                      <w:sz w:val="21"/>
                      <w:szCs w:val="21"/>
                      <w14:textFill>
                        <w14:solidFill>
                          <w14:schemeClr w14:val="tx1"/>
                        </w14:solidFill>
                      </w14:textFill>
                    </w:rPr>
                    <w:t>60</w:t>
                  </w:r>
                </w:p>
              </w:tc>
              <w:tc>
                <w:tcPr>
                  <w:tcW w:w="163" w:type="pct"/>
                  <w:shd w:val="clear" w:color="auto" w:fill="auto"/>
                  <w:vAlign w:val="center"/>
                </w:tcPr>
                <w:p w14:paraId="49CE5C0D">
                  <w:pPr>
                    <w:keepNext w:val="0"/>
                    <w:keepLines w:val="0"/>
                    <w:widowControl/>
                    <w:suppressLineNumbers w:val="0"/>
                    <w:snapToGrid w:val="0"/>
                    <w:spacing w:before="0" w:beforeAutospacing="0" w:after="0" w:afterAutospacing="0"/>
                    <w:ind w:left="0" w:leftChars="0" w:right="0" w:rightChars="0"/>
                    <w:jc w:val="center"/>
                    <w:rPr>
                      <w:rFonts w:hint="default"/>
                      <w:color w:val="auto"/>
                      <w:kern w:val="0"/>
                      <w:szCs w:val="21"/>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127" w:type="pct"/>
                  <w:vMerge w:val="restart"/>
                  <w:shd w:val="clear" w:color="auto" w:fill="auto"/>
                  <w:vAlign w:val="center"/>
                </w:tcPr>
                <w:p w14:paraId="0CAE3651">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达标</w:t>
                  </w:r>
                </w:p>
              </w:tc>
              <w:tc>
                <w:tcPr>
                  <w:tcW w:w="97" w:type="pct"/>
                  <w:vMerge w:val="restart"/>
                  <w:shd w:val="clear" w:color="auto" w:fill="auto"/>
                  <w:vAlign w:val="center"/>
                </w:tcPr>
                <w:p w14:paraId="126681DE">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15</w:t>
                  </w:r>
                </w:p>
              </w:tc>
              <w:tc>
                <w:tcPr>
                  <w:tcW w:w="115" w:type="pct"/>
                  <w:vMerge w:val="restart"/>
                  <w:shd w:val="clear" w:color="auto" w:fill="auto"/>
                  <w:vAlign w:val="center"/>
                </w:tcPr>
                <w:p w14:paraId="0190DD38">
                  <w:pPr>
                    <w:keepNext w:val="0"/>
                    <w:keepLines w:val="0"/>
                    <w:widowControl/>
                    <w:suppressLineNumbers w:val="0"/>
                    <w:spacing w:before="0" w:beforeAutospacing="0" w:after="0" w:afterAutospacing="0"/>
                    <w:ind w:left="0" w:right="0"/>
                    <w:jc w:val="center"/>
                    <w:rPr>
                      <w:rFonts w:hint="eastAsia" w:eastAsia="宋体"/>
                      <w:color w:val="auto"/>
                      <w:lang w:eastAsia="zh-CN"/>
                    </w:rPr>
                  </w:pPr>
                  <w:r>
                    <w:rPr>
                      <w:rFonts w:hint="default"/>
                      <w:color w:val="auto"/>
                    </w:rPr>
                    <w:t>0.</w:t>
                  </w:r>
                  <w:r>
                    <w:rPr>
                      <w:rFonts w:hint="eastAsia"/>
                      <w:color w:val="auto"/>
                      <w:lang w:val="en-US" w:eastAsia="zh-CN"/>
                    </w:rPr>
                    <w:t>6</w:t>
                  </w:r>
                </w:p>
              </w:tc>
              <w:tc>
                <w:tcPr>
                  <w:tcW w:w="103" w:type="pct"/>
                  <w:vMerge w:val="restart"/>
                  <w:shd w:val="clear" w:color="auto" w:fill="auto"/>
                  <w:vAlign w:val="center"/>
                </w:tcPr>
                <w:p w14:paraId="2D837055">
                  <w:pPr>
                    <w:keepNext w:val="0"/>
                    <w:keepLines w:val="0"/>
                    <w:suppressLineNumbers w:val="0"/>
                    <w:spacing w:before="0" w:beforeAutospacing="0" w:after="0" w:afterAutospacing="0"/>
                    <w:ind w:left="0" w:right="0"/>
                    <w:jc w:val="center"/>
                    <w:rPr>
                      <w:rFonts w:hint="default"/>
                      <w:color w:val="auto"/>
                    </w:rPr>
                  </w:pPr>
                  <w:r>
                    <w:rPr>
                      <w:rFonts w:hint="default"/>
                      <w:color w:val="auto"/>
                    </w:rPr>
                    <w:t>25</w:t>
                  </w:r>
                </w:p>
              </w:tc>
              <w:tc>
                <w:tcPr>
                  <w:tcW w:w="230" w:type="pct"/>
                  <w:vMerge w:val="restart"/>
                  <w:shd w:val="clear" w:color="auto" w:fill="auto"/>
                  <w:vAlign w:val="center"/>
                </w:tcPr>
                <w:p w14:paraId="26792F32">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12</w:t>
                  </w:r>
                  <w:r>
                    <w:rPr>
                      <w:rFonts w:hint="default"/>
                      <w:color w:val="auto"/>
                    </w:rPr>
                    <w:t>000</w:t>
                  </w:r>
                </w:p>
              </w:tc>
              <w:tc>
                <w:tcPr>
                  <w:tcW w:w="185" w:type="pct"/>
                  <w:vMerge w:val="restart"/>
                  <w:shd w:val="clear" w:color="auto" w:fill="auto"/>
                  <w:vAlign w:val="center"/>
                </w:tcPr>
                <w:p w14:paraId="121446A1">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12</w:t>
                  </w:r>
                </w:p>
              </w:tc>
              <w:tc>
                <w:tcPr>
                  <w:tcW w:w="249" w:type="pct"/>
                  <w:vMerge w:val="restart"/>
                  <w:shd w:val="clear" w:color="auto" w:fill="auto"/>
                  <w:vAlign w:val="center"/>
                </w:tcPr>
                <w:p w14:paraId="2EE645D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5120</w:t>
                  </w:r>
                  <w:r>
                    <w:rPr>
                      <w:rFonts w:hint="default" w:ascii="Times New Roman" w:hAnsi="Times New Roman" w:eastAsia="宋体" w:cs="Times New Roman"/>
                      <w:color w:val="auto"/>
                      <w:lang w:val="en-US" w:eastAsia="zh-CN"/>
                    </w:rPr>
                    <w:t>h</w:t>
                  </w:r>
                </w:p>
              </w:tc>
            </w:tr>
            <w:tr w14:paraId="33B9FF8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069" w:hRule="atLeast"/>
                <w:jc w:val="center"/>
              </w:trPr>
              <w:tc>
                <w:tcPr>
                  <w:tcW w:w="258" w:type="pct"/>
                  <w:vMerge w:val="continue"/>
                  <w:shd w:val="clear" w:color="auto" w:fill="auto"/>
                  <w:vAlign w:val="center"/>
                </w:tcPr>
                <w:p w14:paraId="60C5002D">
                  <w:pPr>
                    <w:keepNext w:val="0"/>
                    <w:keepLines w:val="0"/>
                    <w:suppressLineNumbers w:val="0"/>
                    <w:adjustRightInd w:val="0"/>
                    <w:snapToGrid w:val="0"/>
                    <w:spacing w:before="0" w:beforeAutospacing="0" w:after="0" w:afterAutospacing="0"/>
                    <w:ind w:left="0" w:right="0"/>
                    <w:jc w:val="center"/>
                    <w:rPr>
                      <w:rFonts w:hint="default"/>
                      <w:color w:val="auto"/>
                      <w:kern w:val="0"/>
                      <w:szCs w:val="21"/>
                      <w:lang w:bidi="ar"/>
                    </w:rPr>
                  </w:pPr>
                </w:p>
              </w:tc>
              <w:tc>
                <w:tcPr>
                  <w:tcW w:w="367" w:type="pct"/>
                  <w:vMerge w:val="continue"/>
                  <w:vAlign w:val="center"/>
                </w:tcPr>
                <w:p w14:paraId="00A49FE9">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p>
              </w:tc>
              <w:tc>
                <w:tcPr>
                  <w:tcW w:w="342" w:type="pct"/>
                  <w:shd w:val="clear" w:color="auto" w:fill="auto"/>
                  <w:vAlign w:val="center"/>
                </w:tcPr>
                <w:p w14:paraId="46974DCA">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default"/>
                      <w:color w:val="auto"/>
                      <w:kern w:val="0"/>
                      <w:szCs w:val="21"/>
                      <w:lang w:bidi="ar"/>
                    </w:rPr>
                    <w:t>颗粒物</w:t>
                  </w:r>
                </w:p>
              </w:tc>
              <w:tc>
                <w:tcPr>
                  <w:tcW w:w="233" w:type="pct"/>
                  <w:shd w:val="clear" w:color="auto" w:fill="auto"/>
                  <w:vAlign w:val="center"/>
                </w:tcPr>
                <w:p w14:paraId="3590154D">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0.309</w:t>
                  </w:r>
                </w:p>
              </w:tc>
              <w:tc>
                <w:tcPr>
                  <w:tcW w:w="317" w:type="pct"/>
                  <w:shd w:val="clear" w:color="auto" w:fill="auto"/>
                  <w:vAlign w:val="center"/>
                </w:tcPr>
                <w:p w14:paraId="738E04E2">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1.5809</w:t>
                  </w:r>
                </w:p>
              </w:tc>
              <w:tc>
                <w:tcPr>
                  <w:tcW w:w="287" w:type="pct"/>
                  <w:shd w:val="clear" w:color="auto" w:fill="auto"/>
                  <w:vAlign w:val="center"/>
                </w:tcPr>
                <w:p w14:paraId="2A5E511B">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25.731</w:t>
                  </w:r>
                </w:p>
              </w:tc>
              <w:tc>
                <w:tcPr>
                  <w:tcW w:w="276" w:type="pct"/>
                  <w:vMerge w:val="continue"/>
                  <w:vAlign w:val="center"/>
                </w:tcPr>
                <w:p w14:paraId="7F5A4E26">
                  <w:pPr>
                    <w:keepNext w:val="0"/>
                    <w:keepLines w:val="0"/>
                    <w:suppressLineNumbers w:val="0"/>
                    <w:spacing w:before="0" w:beforeAutospacing="0" w:after="0" w:afterAutospacing="0"/>
                    <w:ind w:left="0" w:right="0"/>
                    <w:jc w:val="center"/>
                    <w:rPr>
                      <w:rFonts w:hint="default"/>
                      <w:color w:val="auto"/>
                      <w:szCs w:val="21"/>
                    </w:rPr>
                  </w:pPr>
                </w:p>
              </w:tc>
              <w:tc>
                <w:tcPr>
                  <w:tcW w:w="168" w:type="pct"/>
                  <w:shd w:val="clear" w:color="auto" w:fill="auto"/>
                  <w:vAlign w:val="center"/>
                </w:tcPr>
                <w:p w14:paraId="467503BC">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shd w:val="clear" w:color="auto" w:fill="auto"/>
                  <w:vAlign w:val="center"/>
                </w:tcPr>
                <w:p w14:paraId="121D2DEC">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5</w:t>
                  </w:r>
                  <w:r>
                    <w:rPr>
                      <w:rFonts w:hint="default"/>
                      <w:color w:val="auto"/>
                    </w:rPr>
                    <w:t>%</w:t>
                  </w:r>
                </w:p>
              </w:tc>
              <w:tc>
                <w:tcPr>
                  <w:tcW w:w="167" w:type="pct"/>
                  <w:shd w:val="clear" w:color="auto" w:fill="auto"/>
                  <w:vAlign w:val="center"/>
                </w:tcPr>
                <w:p w14:paraId="04777C6C">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5</w:t>
                  </w:r>
                  <w:r>
                    <w:rPr>
                      <w:rFonts w:hint="default"/>
                      <w:color w:val="auto"/>
                    </w:rPr>
                    <w:t>%</w:t>
                  </w:r>
                </w:p>
              </w:tc>
              <w:tc>
                <w:tcPr>
                  <w:tcW w:w="317" w:type="pct"/>
                  <w:shd w:val="clear" w:color="auto" w:fill="auto"/>
                  <w:vAlign w:val="center"/>
                </w:tcPr>
                <w:p w14:paraId="76ECEBDC">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0.015</w:t>
                  </w:r>
                </w:p>
              </w:tc>
              <w:tc>
                <w:tcPr>
                  <w:tcW w:w="317" w:type="pct"/>
                  <w:shd w:val="clear" w:color="auto" w:fill="auto"/>
                  <w:vAlign w:val="center"/>
                </w:tcPr>
                <w:p w14:paraId="7A2152B3">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0.079</w:t>
                  </w:r>
                </w:p>
              </w:tc>
              <w:tc>
                <w:tcPr>
                  <w:tcW w:w="259" w:type="pct"/>
                  <w:shd w:val="clear" w:color="auto" w:fill="auto"/>
                  <w:vAlign w:val="center"/>
                </w:tcPr>
                <w:p w14:paraId="6B6E9FED">
                  <w:pPr>
                    <w:keepNext w:val="0"/>
                    <w:keepLines w:val="0"/>
                    <w:suppressLineNumbers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szCs w:val="21"/>
                      <w:lang w:val="en-US" w:eastAsia="zh-CN"/>
                      <w14:textFill>
                        <w14:solidFill>
                          <w14:schemeClr w14:val="tx1"/>
                        </w14:solidFill>
                      </w14:textFill>
                    </w:rPr>
                    <w:t>1.286</w:t>
                  </w:r>
                </w:p>
              </w:tc>
              <w:tc>
                <w:tcPr>
                  <w:tcW w:w="236" w:type="pct"/>
                  <w:shd w:val="clear" w:color="auto" w:fill="auto"/>
                  <w:vAlign w:val="center"/>
                </w:tcPr>
                <w:p w14:paraId="0DFA2D87">
                  <w:pPr>
                    <w:keepNext w:val="0"/>
                    <w:keepLines w:val="0"/>
                    <w:widowControl/>
                    <w:suppressLineNumbers w:val="0"/>
                    <w:snapToGrid w:val="0"/>
                    <w:spacing w:before="0" w:beforeAutospacing="0" w:after="0" w:afterAutospacing="0"/>
                    <w:ind w:left="0" w:leftChars="0" w:right="0" w:rightChars="0"/>
                    <w:jc w:val="center"/>
                    <w:rPr>
                      <w:rFonts w:hint="default"/>
                      <w:color w:val="auto"/>
                      <w:kern w:val="0"/>
                      <w:szCs w:val="21"/>
                    </w:rPr>
                  </w:pPr>
                  <w:r>
                    <w:rPr>
                      <w:rFonts w:hint="default" w:ascii="Times New Roman" w:hAnsi="Times New Roman" w:cs="Times New Roman"/>
                      <w:color w:val="000000" w:themeColor="text1"/>
                      <w:kern w:val="0"/>
                      <w:sz w:val="21"/>
                      <w:szCs w:val="21"/>
                      <w14:textFill>
                        <w14:solidFill>
                          <w14:schemeClr w14:val="tx1"/>
                        </w14:solidFill>
                      </w14:textFill>
                    </w:rPr>
                    <w:t>120</w:t>
                  </w:r>
                </w:p>
              </w:tc>
              <w:tc>
                <w:tcPr>
                  <w:tcW w:w="163" w:type="pct"/>
                  <w:shd w:val="clear" w:color="auto" w:fill="auto"/>
                  <w:vAlign w:val="center"/>
                </w:tcPr>
                <w:p w14:paraId="51B15335">
                  <w:pPr>
                    <w:keepNext w:val="0"/>
                    <w:keepLines w:val="0"/>
                    <w:widowControl/>
                    <w:suppressLineNumbers w:val="0"/>
                    <w:snapToGrid w:val="0"/>
                    <w:spacing w:before="0" w:beforeAutospacing="0" w:after="0" w:afterAutospacing="0"/>
                    <w:ind w:left="0" w:leftChars="0" w:right="0" w:rightChars="0"/>
                    <w:jc w:val="center"/>
                    <w:rPr>
                      <w:rFonts w:hint="default"/>
                      <w:color w:val="auto"/>
                      <w:kern w:val="0"/>
                      <w:szCs w:val="21"/>
                    </w:rPr>
                  </w:pPr>
                  <w:r>
                    <w:rPr>
                      <w:rFonts w:hint="eastAsia" w:cs="Times New Roman"/>
                      <w:color w:val="000000" w:themeColor="text1"/>
                      <w:kern w:val="0"/>
                      <w:sz w:val="21"/>
                      <w:szCs w:val="21"/>
                      <w:lang w:val="en-US" w:eastAsia="zh-CN"/>
                      <w14:textFill>
                        <w14:solidFill>
                          <w14:schemeClr w14:val="tx1"/>
                        </w14:solidFill>
                      </w14:textFill>
                    </w:rPr>
                    <w:t>3.5</w:t>
                  </w:r>
                </w:p>
              </w:tc>
              <w:tc>
                <w:tcPr>
                  <w:tcW w:w="127" w:type="pct"/>
                  <w:vMerge w:val="continue"/>
                  <w:vAlign w:val="center"/>
                </w:tcPr>
                <w:p w14:paraId="1AD1F6D1">
                  <w:pPr>
                    <w:keepNext w:val="0"/>
                    <w:keepLines w:val="0"/>
                    <w:widowControl/>
                    <w:suppressLineNumbers w:val="0"/>
                    <w:spacing w:before="0" w:beforeAutospacing="0" w:after="0" w:afterAutospacing="0"/>
                    <w:ind w:left="0" w:right="0"/>
                    <w:jc w:val="center"/>
                    <w:rPr>
                      <w:rFonts w:hint="default"/>
                      <w:color w:val="auto"/>
                    </w:rPr>
                  </w:pPr>
                </w:p>
              </w:tc>
              <w:tc>
                <w:tcPr>
                  <w:tcW w:w="97" w:type="pct"/>
                  <w:vMerge w:val="continue"/>
                  <w:vAlign w:val="center"/>
                </w:tcPr>
                <w:p w14:paraId="03F66C3F">
                  <w:pPr>
                    <w:keepNext w:val="0"/>
                    <w:keepLines w:val="0"/>
                    <w:widowControl/>
                    <w:suppressLineNumbers w:val="0"/>
                    <w:spacing w:before="0" w:beforeAutospacing="0" w:after="0" w:afterAutospacing="0"/>
                    <w:ind w:left="0" w:right="0"/>
                    <w:jc w:val="center"/>
                    <w:rPr>
                      <w:rFonts w:hint="default"/>
                      <w:color w:val="auto"/>
                    </w:rPr>
                  </w:pPr>
                </w:p>
              </w:tc>
              <w:tc>
                <w:tcPr>
                  <w:tcW w:w="115" w:type="pct"/>
                  <w:vMerge w:val="continue"/>
                  <w:vAlign w:val="center"/>
                </w:tcPr>
                <w:p w14:paraId="1FA368D5">
                  <w:pPr>
                    <w:keepNext w:val="0"/>
                    <w:keepLines w:val="0"/>
                    <w:widowControl/>
                    <w:suppressLineNumbers w:val="0"/>
                    <w:spacing w:before="0" w:beforeAutospacing="0" w:after="0" w:afterAutospacing="0"/>
                    <w:ind w:left="0" w:right="0"/>
                    <w:jc w:val="center"/>
                    <w:rPr>
                      <w:rFonts w:hint="default"/>
                      <w:color w:val="auto"/>
                    </w:rPr>
                  </w:pPr>
                </w:p>
              </w:tc>
              <w:tc>
                <w:tcPr>
                  <w:tcW w:w="103" w:type="pct"/>
                  <w:vMerge w:val="continue"/>
                  <w:vAlign w:val="center"/>
                </w:tcPr>
                <w:p w14:paraId="5AF972D8">
                  <w:pPr>
                    <w:keepNext w:val="0"/>
                    <w:keepLines w:val="0"/>
                    <w:suppressLineNumbers w:val="0"/>
                    <w:spacing w:before="0" w:beforeAutospacing="0" w:after="0" w:afterAutospacing="0"/>
                    <w:ind w:left="0" w:right="0"/>
                    <w:jc w:val="center"/>
                    <w:rPr>
                      <w:rFonts w:hint="default"/>
                      <w:color w:val="auto"/>
                    </w:rPr>
                  </w:pPr>
                </w:p>
              </w:tc>
              <w:tc>
                <w:tcPr>
                  <w:tcW w:w="230" w:type="pct"/>
                  <w:vMerge w:val="continue"/>
                  <w:vAlign w:val="center"/>
                </w:tcPr>
                <w:p w14:paraId="2EB79C8A">
                  <w:pPr>
                    <w:keepNext w:val="0"/>
                    <w:keepLines w:val="0"/>
                    <w:widowControl/>
                    <w:suppressLineNumbers w:val="0"/>
                    <w:spacing w:before="0" w:beforeAutospacing="0" w:after="0" w:afterAutospacing="0"/>
                    <w:ind w:left="0" w:right="0"/>
                    <w:jc w:val="center"/>
                    <w:rPr>
                      <w:rFonts w:hint="default"/>
                      <w:color w:val="auto"/>
                    </w:rPr>
                  </w:pPr>
                </w:p>
              </w:tc>
              <w:tc>
                <w:tcPr>
                  <w:tcW w:w="185" w:type="pct"/>
                  <w:vMerge w:val="continue"/>
                  <w:vAlign w:val="center"/>
                </w:tcPr>
                <w:p w14:paraId="54FD2C54">
                  <w:pPr>
                    <w:keepNext w:val="0"/>
                    <w:keepLines w:val="0"/>
                    <w:widowControl/>
                    <w:suppressLineNumbers w:val="0"/>
                    <w:spacing w:before="0" w:beforeAutospacing="0" w:after="0" w:afterAutospacing="0"/>
                    <w:ind w:left="0" w:right="0"/>
                    <w:jc w:val="center"/>
                    <w:rPr>
                      <w:rFonts w:hint="default"/>
                      <w:color w:val="auto"/>
                    </w:rPr>
                  </w:pPr>
                </w:p>
              </w:tc>
              <w:tc>
                <w:tcPr>
                  <w:tcW w:w="249" w:type="pct"/>
                  <w:vMerge w:val="continue"/>
                  <w:vAlign w:val="center"/>
                </w:tcPr>
                <w:p w14:paraId="0F9A7653">
                  <w:pPr>
                    <w:keepNext w:val="0"/>
                    <w:keepLines w:val="0"/>
                    <w:suppressLineNumbers w:val="0"/>
                    <w:spacing w:before="0" w:beforeAutospacing="0" w:after="0" w:afterAutospacing="0"/>
                    <w:ind w:left="0" w:right="0"/>
                    <w:jc w:val="center"/>
                    <w:rPr>
                      <w:rFonts w:hint="default"/>
                      <w:color w:val="auto"/>
                    </w:rPr>
                  </w:pPr>
                </w:p>
              </w:tc>
            </w:tr>
            <w:tr w14:paraId="7A7D1C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258" w:type="pct"/>
                  <w:shd w:val="clear" w:color="auto" w:fill="auto"/>
                  <w:vAlign w:val="center"/>
                </w:tcPr>
                <w:p w14:paraId="018CD2C9">
                  <w:pPr>
                    <w:keepNext w:val="0"/>
                    <w:keepLines w:val="0"/>
                    <w:suppressLineNumbers w:val="0"/>
                    <w:adjustRightInd w:val="0"/>
                    <w:snapToGrid w:val="0"/>
                    <w:spacing w:before="0" w:beforeAutospacing="0" w:after="0" w:afterAutospacing="0"/>
                    <w:ind w:left="0" w:right="0"/>
                    <w:jc w:val="center"/>
                    <w:rPr>
                      <w:rFonts w:hint="eastAsia" w:eastAsia="宋体"/>
                      <w:color w:val="auto"/>
                      <w:lang w:eastAsia="zh-CN"/>
                    </w:rPr>
                  </w:pPr>
                  <w:r>
                    <w:rPr>
                      <w:rFonts w:hint="default"/>
                      <w:color w:val="auto"/>
                      <w:kern w:val="0"/>
                      <w:szCs w:val="21"/>
                      <w:lang w:bidi="ar"/>
                    </w:rPr>
                    <w:t>DA00</w:t>
                  </w:r>
                  <w:r>
                    <w:rPr>
                      <w:rFonts w:hint="eastAsia"/>
                      <w:color w:val="auto"/>
                      <w:kern w:val="0"/>
                      <w:szCs w:val="21"/>
                      <w:lang w:val="en-US" w:eastAsia="zh-CN" w:bidi="ar"/>
                    </w:rPr>
                    <w:t>4</w:t>
                  </w:r>
                </w:p>
              </w:tc>
              <w:tc>
                <w:tcPr>
                  <w:tcW w:w="367" w:type="pct"/>
                  <w:shd w:val="clear" w:color="auto" w:fill="auto"/>
                  <w:vAlign w:val="center"/>
                </w:tcPr>
                <w:p w14:paraId="127F1C5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p>
              </w:tc>
              <w:tc>
                <w:tcPr>
                  <w:tcW w:w="342" w:type="pct"/>
                  <w:shd w:val="clear" w:color="auto" w:fill="auto"/>
                  <w:vAlign w:val="center"/>
                </w:tcPr>
                <w:p w14:paraId="316F4612">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233" w:type="pct"/>
                  <w:shd w:val="clear" w:color="auto" w:fill="auto"/>
                  <w:vAlign w:val="center"/>
                </w:tcPr>
                <w:p w14:paraId="14DFE75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10.085</w:t>
                  </w:r>
                </w:p>
              </w:tc>
              <w:tc>
                <w:tcPr>
                  <w:tcW w:w="317" w:type="pct"/>
                  <w:shd w:val="clear" w:color="auto" w:fill="auto"/>
                  <w:vAlign w:val="center"/>
                </w:tcPr>
                <w:p w14:paraId="6CB99DD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51.634</w:t>
                  </w:r>
                </w:p>
              </w:tc>
              <w:tc>
                <w:tcPr>
                  <w:tcW w:w="287" w:type="pct"/>
                  <w:shd w:val="clear" w:color="auto" w:fill="auto"/>
                  <w:vAlign w:val="center"/>
                </w:tcPr>
                <w:p w14:paraId="27E87AD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916.797</w:t>
                  </w:r>
                </w:p>
              </w:tc>
              <w:tc>
                <w:tcPr>
                  <w:tcW w:w="276" w:type="pct"/>
                  <w:vAlign w:val="center"/>
                </w:tcPr>
                <w:p w14:paraId="1CBE2C01">
                  <w:pPr>
                    <w:keepNext w:val="0"/>
                    <w:keepLines w:val="0"/>
                    <w:suppressLineNumbers w:val="0"/>
                    <w:spacing w:before="0" w:beforeAutospacing="0" w:after="0" w:afterAutospacing="0"/>
                    <w:ind w:left="0" w:leftChars="0" w:right="0" w:rightChars="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滤筒+脉冲布袋除尘器</w:t>
                  </w:r>
                </w:p>
              </w:tc>
              <w:tc>
                <w:tcPr>
                  <w:tcW w:w="168" w:type="pct"/>
                  <w:shd w:val="clear" w:color="auto" w:fill="auto"/>
                  <w:vAlign w:val="center"/>
                </w:tcPr>
                <w:p w14:paraId="46AAF349">
                  <w:pPr>
                    <w:keepNext w:val="0"/>
                    <w:keepLines w:val="0"/>
                    <w:suppressLineNumbers w:val="0"/>
                    <w:spacing w:before="0" w:beforeAutospacing="0" w:after="0" w:afterAutospacing="0"/>
                    <w:ind w:left="0" w:right="0"/>
                    <w:jc w:val="center"/>
                    <w:rPr>
                      <w:rFonts w:hint="default"/>
                      <w:color w:val="auto"/>
                    </w:rPr>
                  </w:pPr>
                  <w:r>
                    <w:rPr>
                      <w:rFonts w:hint="default"/>
                      <w:color w:val="auto"/>
                    </w:rPr>
                    <w:t>是</w:t>
                  </w:r>
                </w:p>
              </w:tc>
              <w:tc>
                <w:tcPr>
                  <w:tcW w:w="180" w:type="pct"/>
                  <w:shd w:val="clear" w:color="auto" w:fill="auto"/>
                  <w:vAlign w:val="center"/>
                </w:tcPr>
                <w:p w14:paraId="274417F4">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5</w:t>
                  </w:r>
                  <w:r>
                    <w:rPr>
                      <w:rFonts w:hint="default"/>
                      <w:color w:val="auto"/>
                    </w:rPr>
                    <w:t>%</w:t>
                  </w:r>
                </w:p>
              </w:tc>
              <w:tc>
                <w:tcPr>
                  <w:tcW w:w="167" w:type="pct"/>
                  <w:shd w:val="clear" w:color="auto" w:fill="auto"/>
                  <w:vAlign w:val="center"/>
                </w:tcPr>
                <w:p w14:paraId="7A57BCB6">
                  <w:pPr>
                    <w:keepNext w:val="0"/>
                    <w:keepLines w:val="0"/>
                    <w:suppressLineNumbers w:val="0"/>
                    <w:spacing w:before="0" w:beforeAutospacing="0" w:after="0" w:afterAutospacing="0"/>
                    <w:ind w:left="0" w:right="0"/>
                    <w:jc w:val="center"/>
                    <w:rPr>
                      <w:rFonts w:hint="default"/>
                      <w:color w:val="auto"/>
                    </w:rPr>
                  </w:pPr>
                  <w:r>
                    <w:rPr>
                      <w:rFonts w:hint="default"/>
                      <w:color w:val="auto"/>
                    </w:rPr>
                    <w:t>9</w:t>
                  </w:r>
                  <w:r>
                    <w:rPr>
                      <w:rFonts w:hint="eastAsia"/>
                      <w:color w:val="auto"/>
                      <w:lang w:val="en-US" w:eastAsia="zh-CN"/>
                    </w:rPr>
                    <w:t>9</w:t>
                  </w:r>
                  <w:r>
                    <w:rPr>
                      <w:rFonts w:hint="default"/>
                      <w:color w:val="auto"/>
                    </w:rPr>
                    <w:t>%</w:t>
                  </w:r>
                </w:p>
              </w:tc>
              <w:tc>
                <w:tcPr>
                  <w:tcW w:w="317" w:type="pct"/>
                  <w:shd w:val="clear" w:color="auto" w:fill="auto"/>
                  <w:vAlign w:val="center"/>
                </w:tcPr>
                <w:p w14:paraId="12EF807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0.101</w:t>
                  </w:r>
                </w:p>
              </w:tc>
              <w:tc>
                <w:tcPr>
                  <w:tcW w:w="317" w:type="pct"/>
                  <w:shd w:val="clear" w:color="auto" w:fill="auto"/>
                  <w:vAlign w:val="center"/>
                </w:tcPr>
                <w:p w14:paraId="0921045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0.516</w:t>
                  </w:r>
                </w:p>
              </w:tc>
              <w:tc>
                <w:tcPr>
                  <w:tcW w:w="259" w:type="pct"/>
                  <w:shd w:val="clear" w:color="auto" w:fill="auto"/>
                  <w:vAlign w:val="center"/>
                </w:tcPr>
                <w:p w14:paraId="52AF672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9.162</w:t>
                  </w:r>
                </w:p>
              </w:tc>
              <w:tc>
                <w:tcPr>
                  <w:tcW w:w="236" w:type="pct"/>
                  <w:vAlign w:val="center"/>
                </w:tcPr>
                <w:p w14:paraId="2E1500D6">
                  <w:pPr>
                    <w:keepNext w:val="0"/>
                    <w:keepLines w:val="0"/>
                    <w:widowControl/>
                    <w:suppressLineNumbers w:val="0"/>
                    <w:snapToGrid w:val="0"/>
                    <w:spacing w:before="0" w:beforeAutospacing="0" w:after="0" w:afterAutospacing="0"/>
                    <w:ind w:left="0" w:leftChars="0" w:right="0" w:rightChars="0"/>
                    <w:jc w:val="center"/>
                    <w:rPr>
                      <w:rFonts w:hint="default"/>
                      <w:color w:val="auto"/>
                      <w:kern w:val="0"/>
                      <w:szCs w:val="21"/>
                    </w:rPr>
                  </w:pPr>
                  <w:r>
                    <w:rPr>
                      <w:rFonts w:hint="default" w:ascii="Times New Roman" w:hAnsi="Times New Roman" w:cs="Times New Roman"/>
                      <w:color w:val="000000" w:themeColor="text1"/>
                      <w:kern w:val="0"/>
                      <w:sz w:val="21"/>
                      <w:szCs w:val="21"/>
                      <w14:textFill>
                        <w14:solidFill>
                          <w14:schemeClr w14:val="tx1"/>
                        </w14:solidFill>
                      </w14:textFill>
                    </w:rPr>
                    <w:t>120</w:t>
                  </w:r>
                </w:p>
              </w:tc>
              <w:tc>
                <w:tcPr>
                  <w:tcW w:w="163" w:type="pct"/>
                  <w:vAlign w:val="center"/>
                </w:tcPr>
                <w:p w14:paraId="76CDD806">
                  <w:pPr>
                    <w:keepNext w:val="0"/>
                    <w:keepLines w:val="0"/>
                    <w:widowControl/>
                    <w:suppressLineNumbers w:val="0"/>
                    <w:snapToGrid w:val="0"/>
                    <w:spacing w:before="0" w:beforeAutospacing="0" w:after="0" w:afterAutospacing="0"/>
                    <w:ind w:left="0" w:leftChars="0" w:right="0" w:rightChars="0"/>
                    <w:jc w:val="center"/>
                    <w:rPr>
                      <w:rFonts w:hint="default"/>
                      <w:color w:val="auto"/>
                      <w:szCs w:val="21"/>
                    </w:rPr>
                  </w:pPr>
                  <w:r>
                    <w:rPr>
                      <w:rFonts w:hint="eastAsia" w:cs="Times New Roman"/>
                      <w:color w:val="000000" w:themeColor="text1"/>
                      <w:kern w:val="0"/>
                      <w:sz w:val="21"/>
                      <w:szCs w:val="21"/>
                      <w:lang w:val="en-US" w:eastAsia="zh-CN"/>
                      <w14:textFill>
                        <w14:solidFill>
                          <w14:schemeClr w14:val="tx1"/>
                        </w14:solidFill>
                      </w14:textFill>
                    </w:rPr>
                    <w:t>3.5</w:t>
                  </w:r>
                </w:p>
              </w:tc>
              <w:tc>
                <w:tcPr>
                  <w:tcW w:w="127" w:type="pct"/>
                  <w:shd w:val="clear" w:color="auto" w:fill="auto"/>
                  <w:vAlign w:val="center"/>
                </w:tcPr>
                <w:p w14:paraId="51E5468E">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达标</w:t>
                  </w:r>
                </w:p>
              </w:tc>
              <w:tc>
                <w:tcPr>
                  <w:tcW w:w="97" w:type="pct"/>
                  <w:shd w:val="clear" w:color="auto" w:fill="auto"/>
                  <w:vAlign w:val="center"/>
                </w:tcPr>
                <w:p w14:paraId="63D09079">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15</w:t>
                  </w:r>
                </w:p>
              </w:tc>
              <w:tc>
                <w:tcPr>
                  <w:tcW w:w="115" w:type="pct"/>
                  <w:shd w:val="clear" w:color="auto" w:fill="auto"/>
                  <w:vAlign w:val="center"/>
                </w:tcPr>
                <w:p w14:paraId="53435875">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0.6</w:t>
                  </w:r>
                </w:p>
              </w:tc>
              <w:tc>
                <w:tcPr>
                  <w:tcW w:w="103" w:type="pct"/>
                  <w:shd w:val="clear" w:color="auto" w:fill="auto"/>
                  <w:vAlign w:val="center"/>
                </w:tcPr>
                <w:p w14:paraId="59A56CED">
                  <w:pPr>
                    <w:keepNext w:val="0"/>
                    <w:keepLines w:val="0"/>
                    <w:suppressLineNumbers w:val="0"/>
                    <w:spacing w:before="0" w:beforeAutospacing="0" w:after="0" w:afterAutospacing="0"/>
                    <w:ind w:left="0" w:right="0"/>
                    <w:jc w:val="center"/>
                    <w:rPr>
                      <w:rFonts w:hint="default"/>
                      <w:color w:val="auto"/>
                    </w:rPr>
                  </w:pPr>
                  <w:r>
                    <w:rPr>
                      <w:rFonts w:hint="default"/>
                      <w:color w:val="auto"/>
                    </w:rPr>
                    <w:t>25</w:t>
                  </w:r>
                </w:p>
              </w:tc>
              <w:tc>
                <w:tcPr>
                  <w:tcW w:w="230" w:type="pct"/>
                  <w:shd w:val="clear" w:color="auto" w:fill="auto"/>
                  <w:vAlign w:val="center"/>
                </w:tcPr>
                <w:p w14:paraId="3A509392">
                  <w:pPr>
                    <w:keepNext w:val="0"/>
                    <w:keepLines w:val="0"/>
                    <w:widowControl/>
                    <w:suppressLineNumbers w:val="0"/>
                    <w:spacing w:before="0" w:beforeAutospacing="0" w:after="0" w:afterAutospacing="0"/>
                    <w:ind w:left="0" w:right="0"/>
                    <w:jc w:val="center"/>
                    <w:rPr>
                      <w:rFonts w:hint="default"/>
                      <w:color w:val="auto"/>
                    </w:rPr>
                  </w:pPr>
                  <w:r>
                    <w:rPr>
                      <w:rFonts w:hint="eastAsia"/>
                      <w:color w:val="auto"/>
                      <w:lang w:val="en-US" w:eastAsia="zh-CN"/>
                    </w:rPr>
                    <w:t>11</w:t>
                  </w:r>
                  <w:r>
                    <w:rPr>
                      <w:rFonts w:hint="default"/>
                      <w:color w:val="auto"/>
                    </w:rPr>
                    <w:t>000</w:t>
                  </w:r>
                </w:p>
              </w:tc>
              <w:tc>
                <w:tcPr>
                  <w:tcW w:w="185" w:type="pct"/>
                  <w:shd w:val="clear" w:color="auto" w:fill="auto"/>
                  <w:vAlign w:val="center"/>
                </w:tcPr>
                <w:p w14:paraId="403A08DA">
                  <w:pPr>
                    <w:keepNext w:val="0"/>
                    <w:keepLines w:val="0"/>
                    <w:widowControl/>
                    <w:suppressLineNumbers w:val="0"/>
                    <w:spacing w:before="0" w:beforeAutospacing="0" w:after="0" w:afterAutospacing="0"/>
                    <w:ind w:left="0" w:right="0"/>
                    <w:jc w:val="center"/>
                    <w:rPr>
                      <w:rFonts w:hint="default"/>
                      <w:color w:val="auto"/>
                    </w:rPr>
                  </w:pPr>
                  <w:r>
                    <w:rPr>
                      <w:rFonts w:hint="default"/>
                      <w:color w:val="auto"/>
                    </w:rPr>
                    <w:t>12</w:t>
                  </w:r>
                </w:p>
              </w:tc>
              <w:tc>
                <w:tcPr>
                  <w:tcW w:w="249" w:type="pct"/>
                  <w:shd w:val="clear" w:color="auto" w:fill="auto"/>
                  <w:vAlign w:val="center"/>
                </w:tcPr>
                <w:p w14:paraId="0D72719C">
                  <w:pPr>
                    <w:keepNext w:val="0"/>
                    <w:keepLines w:val="0"/>
                    <w:widowControl/>
                    <w:suppressLineNumbers w:val="0"/>
                    <w:spacing w:before="0" w:beforeAutospacing="0" w:after="0" w:afterAutospacing="0"/>
                    <w:ind w:left="0" w:right="0"/>
                    <w:jc w:val="center"/>
                    <w:rPr>
                      <w:rFonts w:hint="default"/>
                      <w:color w:val="auto"/>
                    </w:rPr>
                  </w:pPr>
                  <w:r>
                    <w:rPr>
                      <w:rFonts w:hint="eastAsia" w:ascii="Times New Roman" w:hAnsi="Times New Roman" w:eastAsia="宋体" w:cs="Times New Roman"/>
                      <w:color w:val="auto"/>
                      <w:lang w:val="en-US" w:eastAsia="zh-CN"/>
                    </w:rPr>
                    <w:t>5120</w:t>
                  </w:r>
                  <w:r>
                    <w:rPr>
                      <w:rFonts w:hint="default" w:ascii="Times New Roman" w:hAnsi="Times New Roman" w:eastAsia="宋体" w:cs="Times New Roman"/>
                      <w:color w:val="auto"/>
                      <w:lang w:val="en-US" w:eastAsia="zh-CN"/>
                    </w:rPr>
                    <w:t>h</w:t>
                  </w:r>
                </w:p>
              </w:tc>
            </w:tr>
          </w:tbl>
          <w:p w14:paraId="346113D8">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 w:val="24"/>
                <w:szCs w:val="20"/>
                <w:highlight w:val="none"/>
              </w:rPr>
            </w:pPr>
            <w:r>
              <w:rPr>
                <w:rFonts w:hint="default" w:ascii="Times New Roman" w:hAnsi="Times New Roman" w:cs="Times New Roman"/>
                <w:b/>
                <w:color w:val="auto"/>
                <w:kern w:val="0"/>
                <w:sz w:val="24"/>
                <w:szCs w:val="20"/>
                <w:highlight w:val="none"/>
              </w:rPr>
              <w:t>表4-</w:t>
            </w:r>
            <w:r>
              <w:rPr>
                <w:rFonts w:hint="eastAsia" w:cs="Times New Roman"/>
                <w:b/>
                <w:color w:val="auto"/>
                <w:kern w:val="0"/>
                <w:sz w:val="24"/>
                <w:szCs w:val="20"/>
                <w:highlight w:val="none"/>
                <w:lang w:val="en-US" w:eastAsia="zh-CN"/>
              </w:rPr>
              <w:t>16</w:t>
            </w:r>
            <w:r>
              <w:rPr>
                <w:rFonts w:hint="default" w:ascii="Times New Roman" w:hAnsi="Times New Roman" w:cs="Times New Roman"/>
                <w:b/>
                <w:color w:val="auto"/>
                <w:kern w:val="0"/>
                <w:sz w:val="24"/>
                <w:szCs w:val="20"/>
                <w:highlight w:val="none"/>
              </w:rPr>
              <w:t xml:space="preserve">  建设项目大气污染物有组织排放基本情况表</w:t>
            </w:r>
          </w:p>
          <w:tbl>
            <w:tblPr>
              <w:tblStyle w:val="61"/>
              <w:tblW w:w="12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24"/>
              <w:gridCol w:w="2052"/>
              <w:gridCol w:w="1259"/>
              <w:gridCol w:w="1264"/>
              <w:gridCol w:w="1257"/>
              <w:gridCol w:w="1269"/>
              <w:gridCol w:w="1101"/>
              <w:gridCol w:w="1259"/>
              <w:gridCol w:w="1850"/>
            </w:tblGrid>
            <w:tr w14:paraId="08B9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224" w:type="dxa"/>
                  <w:vMerge w:val="restart"/>
                  <w:vAlign w:val="center"/>
                </w:tcPr>
                <w:p w14:paraId="2461B7C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排放口编号</w:t>
                  </w:r>
                </w:p>
              </w:tc>
              <w:tc>
                <w:tcPr>
                  <w:tcW w:w="2052" w:type="dxa"/>
                  <w:vMerge w:val="restart"/>
                  <w:vAlign w:val="center"/>
                </w:tcPr>
                <w:p w14:paraId="6B8B52FA">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排放口名称</w:t>
                  </w:r>
                </w:p>
              </w:tc>
              <w:tc>
                <w:tcPr>
                  <w:tcW w:w="1259" w:type="dxa"/>
                  <w:vMerge w:val="restart"/>
                  <w:vAlign w:val="center"/>
                </w:tcPr>
                <w:p w14:paraId="20D7DAA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排放口类型</w:t>
                  </w:r>
                </w:p>
              </w:tc>
              <w:tc>
                <w:tcPr>
                  <w:tcW w:w="2521" w:type="dxa"/>
                  <w:gridSpan w:val="2"/>
                  <w:vAlign w:val="center"/>
                </w:tcPr>
                <w:p w14:paraId="158AA4F3">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排放口地理坐标(o)</w:t>
                  </w:r>
                </w:p>
              </w:tc>
              <w:tc>
                <w:tcPr>
                  <w:tcW w:w="1269" w:type="dxa"/>
                  <w:vMerge w:val="restart"/>
                  <w:vAlign w:val="center"/>
                </w:tcPr>
                <w:p w14:paraId="09E9A77A">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污染物</w:t>
                  </w:r>
                </w:p>
                <w:p w14:paraId="6B093724">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名称</w:t>
                  </w:r>
                </w:p>
              </w:tc>
              <w:tc>
                <w:tcPr>
                  <w:tcW w:w="1101" w:type="dxa"/>
                  <w:vMerge w:val="restart"/>
                  <w:vAlign w:val="center"/>
                </w:tcPr>
                <w:p w14:paraId="44A00567">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highlight w:val="none"/>
                      <w:lang w:eastAsia="zh-CN"/>
                    </w:rPr>
                  </w:pPr>
                  <w:r>
                    <w:rPr>
                      <w:rFonts w:hint="default" w:ascii="Times New Roman" w:hAnsi="Times New Roman" w:cs="Times New Roman"/>
                      <w:b/>
                      <w:bCs/>
                      <w:color w:val="auto"/>
                      <w:highlight w:val="none"/>
                    </w:rPr>
                    <w:t>年许可排放量（t/a</w:t>
                  </w:r>
                  <w:r>
                    <w:rPr>
                      <w:rFonts w:hint="eastAsia" w:cs="Times New Roman"/>
                      <w:b/>
                      <w:bCs/>
                      <w:color w:val="auto"/>
                      <w:highlight w:val="none"/>
                      <w:lang w:eastAsia="zh-CN"/>
                    </w:rPr>
                    <w:t>）</w:t>
                  </w:r>
                </w:p>
              </w:tc>
              <w:tc>
                <w:tcPr>
                  <w:tcW w:w="1259" w:type="dxa"/>
                  <w:vMerge w:val="restart"/>
                  <w:vAlign w:val="center"/>
                </w:tcPr>
                <w:p w14:paraId="2F70A45E">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申请特殊排放浓度限值</w:t>
                  </w:r>
                </w:p>
              </w:tc>
              <w:tc>
                <w:tcPr>
                  <w:tcW w:w="1850" w:type="dxa"/>
                  <w:vMerge w:val="restart"/>
                  <w:vAlign w:val="center"/>
                </w:tcPr>
                <w:p w14:paraId="7F1B4C99">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申请特殊时段许可排放量限值</w:t>
                  </w:r>
                </w:p>
              </w:tc>
            </w:tr>
            <w:tr w14:paraId="69DD6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224" w:type="dxa"/>
                  <w:vMerge w:val="continue"/>
                  <w:vAlign w:val="center"/>
                </w:tcPr>
                <w:p w14:paraId="29298240">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p>
              </w:tc>
              <w:tc>
                <w:tcPr>
                  <w:tcW w:w="2052" w:type="dxa"/>
                  <w:vMerge w:val="continue"/>
                  <w:vAlign w:val="center"/>
                </w:tcPr>
                <w:p w14:paraId="4D427B73">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p>
              </w:tc>
              <w:tc>
                <w:tcPr>
                  <w:tcW w:w="1259" w:type="dxa"/>
                  <w:vMerge w:val="continue"/>
                  <w:vAlign w:val="center"/>
                </w:tcPr>
                <w:p w14:paraId="22FC5BAC">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p>
              </w:tc>
              <w:tc>
                <w:tcPr>
                  <w:tcW w:w="1264" w:type="dxa"/>
                  <w:vAlign w:val="center"/>
                </w:tcPr>
                <w:p w14:paraId="3285D371">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经度</w:t>
                  </w:r>
                </w:p>
              </w:tc>
              <w:tc>
                <w:tcPr>
                  <w:tcW w:w="1257" w:type="dxa"/>
                  <w:vAlign w:val="center"/>
                </w:tcPr>
                <w:p w14:paraId="3A3D37B8">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纬度</w:t>
                  </w:r>
                </w:p>
              </w:tc>
              <w:tc>
                <w:tcPr>
                  <w:tcW w:w="1269" w:type="dxa"/>
                  <w:vMerge w:val="continue"/>
                  <w:vAlign w:val="center"/>
                </w:tcPr>
                <w:p w14:paraId="6D7A9A28">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p>
              </w:tc>
              <w:tc>
                <w:tcPr>
                  <w:tcW w:w="1101" w:type="dxa"/>
                  <w:vMerge w:val="continue"/>
                  <w:vAlign w:val="center"/>
                </w:tcPr>
                <w:p w14:paraId="5FC77F46">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p>
              </w:tc>
              <w:tc>
                <w:tcPr>
                  <w:tcW w:w="1259" w:type="dxa"/>
                  <w:vMerge w:val="continue"/>
                  <w:vAlign w:val="center"/>
                </w:tcPr>
                <w:p w14:paraId="1C833D77">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p>
              </w:tc>
              <w:tc>
                <w:tcPr>
                  <w:tcW w:w="1850" w:type="dxa"/>
                  <w:vMerge w:val="continue"/>
                  <w:vAlign w:val="center"/>
                </w:tcPr>
                <w:p w14:paraId="3FADC4C7">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bCs/>
                      <w:color w:val="auto"/>
                      <w:highlight w:val="none"/>
                    </w:rPr>
                  </w:pPr>
                </w:p>
              </w:tc>
            </w:tr>
            <w:tr w14:paraId="75F54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9" w:hRule="atLeast"/>
                <w:jc w:val="center"/>
              </w:trPr>
              <w:tc>
                <w:tcPr>
                  <w:tcW w:w="1224" w:type="dxa"/>
                  <w:vAlign w:val="center"/>
                </w:tcPr>
                <w:p w14:paraId="56B3509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DA001</w:t>
                  </w:r>
                </w:p>
              </w:tc>
              <w:tc>
                <w:tcPr>
                  <w:tcW w:w="2052" w:type="dxa"/>
                  <w:shd w:val="clear" w:color="auto" w:fill="auto"/>
                  <w:vAlign w:val="center"/>
                </w:tcPr>
                <w:p w14:paraId="4393785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val="en-US"/>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抛光粉尘排放口</w:t>
                  </w:r>
                </w:p>
              </w:tc>
              <w:tc>
                <w:tcPr>
                  <w:tcW w:w="1259" w:type="dxa"/>
                  <w:vAlign w:val="center"/>
                </w:tcPr>
                <w:p w14:paraId="5AA343F1">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一般排放口</w:t>
                  </w:r>
                </w:p>
              </w:tc>
              <w:tc>
                <w:tcPr>
                  <w:tcW w:w="1264" w:type="dxa"/>
                  <w:vAlign w:val="center"/>
                </w:tcPr>
                <w:p w14:paraId="3D69B3FE">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r>
                    <w:rPr>
                      <w:rFonts w:hint="default"/>
                    </w:rPr>
                    <w:t>118.57935684</w:t>
                  </w:r>
                </w:p>
              </w:tc>
              <w:tc>
                <w:tcPr>
                  <w:tcW w:w="1257" w:type="dxa"/>
                  <w:vAlign w:val="center"/>
                </w:tcPr>
                <w:p w14:paraId="572AD9A7">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31.17782249</w:t>
                  </w:r>
                </w:p>
              </w:tc>
              <w:tc>
                <w:tcPr>
                  <w:tcW w:w="1269" w:type="dxa"/>
                  <w:shd w:val="clear" w:color="auto" w:fill="auto"/>
                  <w:vAlign w:val="center"/>
                </w:tcPr>
                <w:p w14:paraId="5A5BB8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bCs/>
                      <w:color w:val="000000" w:themeColor="text1"/>
                      <w:szCs w:val="18"/>
                      <w:lang w:eastAsia="zh-CN"/>
                      <w14:textFill>
                        <w14:solidFill>
                          <w14:schemeClr w14:val="tx1"/>
                        </w14:solidFill>
                      </w14:textFill>
                    </w:rPr>
                    <w:t>颗粒物</w:t>
                  </w:r>
                </w:p>
              </w:tc>
              <w:tc>
                <w:tcPr>
                  <w:tcW w:w="1101" w:type="dxa"/>
                  <w:shd w:val="clear" w:color="auto" w:fill="auto"/>
                  <w:vAlign w:val="center"/>
                </w:tcPr>
                <w:p w14:paraId="2C09C8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0.028</w:t>
                  </w:r>
                </w:p>
              </w:tc>
              <w:tc>
                <w:tcPr>
                  <w:tcW w:w="1259" w:type="dxa"/>
                  <w:vAlign w:val="center"/>
                </w:tcPr>
                <w:p w14:paraId="33A7474C">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p>
              </w:tc>
              <w:tc>
                <w:tcPr>
                  <w:tcW w:w="1850" w:type="dxa"/>
                  <w:vAlign w:val="center"/>
                </w:tcPr>
                <w:p w14:paraId="6EA151D8">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r>
            <w:tr w14:paraId="7BF4D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restart"/>
                  <w:vAlign w:val="center"/>
                </w:tcPr>
                <w:p w14:paraId="17B0826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DA00</w:t>
                  </w:r>
                  <w:r>
                    <w:rPr>
                      <w:rFonts w:hint="eastAsia" w:ascii="Times New Roman" w:hAnsi="Times New Roman" w:cs="Times New Roman"/>
                      <w:color w:val="auto"/>
                      <w:highlight w:val="none"/>
                      <w:lang w:val="en-US" w:eastAsia="zh-CN"/>
                    </w:rPr>
                    <w:t>2</w:t>
                  </w:r>
                </w:p>
              </w:tc>
              <w:tc>
                <w:tcPr>
                  <w:tcW w:w="2052" w:type="dxa"/>
                  <w:vAlign w:val="center"/>
                </w:tcPr>
                <w:p w14:paraId="55F7D45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固化废气</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排放口</w:t>
                  </w:r>
                </w:p>
              </w:tc>
              <w:tc>
                <w:tcPr>
                  <w:tcW w:w="1259" w:type="dxa"/>
                  <w:vMerge w:val="restart"/>
                  <w:vAlign w:val="center"/>
                </w:tcPr>
                <w:p w14:paraId="4B34F12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一般排放口</w:t>
                  </w:r>
                </w:p>
              </w:tc>
              <w:tc>
                <w:tcPr>
                  <w:tcW w:w="1264" w:type="dxa"/>
                  <w:vMerge w:val="restart"/>
                  <w:vAlign w:val="center"/>
                </w:tcPr>
                <w:p w14:paraId="4347B75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118.57919590</w:t>
                  </w:r>
                </w:p>
              </w:tc>
              <w:tc>
                <w:tcPr>
                  <w:tcW w:w="1257" w:type="dxa"/>
                  <w:vMerge w:val="restart"/>
                  <w:vAlign w:val="center"/>
                </w:tcPr>
                <w:p w14:paraId="2552FFC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31.17738188</w:t>
                  </w:r>
                </w:p>
              </w:tc>
              <w:tc>
                <w:tcPr>
                  <w:tcW w:w="1269" w:type="dxa"/>
                  <w:shd w:val="clear" w:color="auto" w:fill="auto"/>
                  <w:vAlign w:val="center"/>
                </w:tcPr>
                <w:p w14:paraId="10DB55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color w:val="auto"/>
                      <w:szCs w:val="21"/>
                    </w:rPr>
                    <w:t>非甲烷总烃</w:t>
                  </w:r>
                </w:p>
              </w:tc>
              <w:tc>
                <w:tcPr>
                  <w:tcW w:w="1101" w:type="dxa"/>
                  <w:shd w:val="clear" w:color="auto" w:fill="auto"/>
                  <w:vAlign w:val="center"/>
                </w:tcPr>
                <w:p w14:paraId="0B99617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0.026</w:t>
                  </w:r>
                </w:p>
              </w:tc>
              <w:tc>
                <w:tcPr>
                  <w:tcW w:w="1259" w:type="dxa"/>
                  <w:vAlign w:val="center"/>
                </w:tcPr>
                <w:p w14:paraId="41468F8D">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 w:val="24"/>
                      <w:highlight w:val="none"/>
                    </w:rPr>
                    <w:t>/</w:t>
                  </w:r>
                </w:p>
              </w:tc>
              <w:tc>
                <w:tcPr>
                  <w:tcW w:w="1850" w:type="dxa"/>
                  <w:vAlign w:val="center"/>
                </w:tcPr>
                <w:p w14:paraId="149D9516">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highlight w:val="none"/>
                    </w:rPr>
                    <w:t>/</w:t>
                  </w:r>
                </w:p>
              </w:tc>
            </w:tr>
            <w:tr w14:paraId="356EB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1" w:hRule="atLeast"/>
                <w:jc w:val="center"/>
              </w:trPr>
              <w:tc>
                <w:tcPr>
                  <w:tcW w:w="1224" w:type="dxa"/>
                  <w:vMerge w:val="continue"/>
                  <w:vAlign w:val="center"/>
                </w:tcPr>
                <w:p w14:paraId="4BF4127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highlight w:val="none"/>
                      <w:lang w:val="en-US" w:eastAsia="zh-CN"/>
                    </w:rPr>
                  </w:pPr>
                </w:p>
              </w:tc>
              <w:tc>
                <w:tcPr>
                  <w:tcW w:w="2052" w:type="dxa"/>
                  <w:vMerge w:val="restart"/>
                  <w:vAlign w:val="center"/>
                </w:tcPr>
                <w:p w14:paraId="0AD4020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排放口</w:t>
                  </w:r>
                </w:p>
              </w:tc>
              <w:tc>
                <w:tcPr>
                  <w:tcW w:w="1259" w:type="dxa"/>
                  <w:vMerge w:val="continue"/>
                  <w:vAlign w:val="center"/>
                </w:tcPr>
                <w:p w14:paraId="3666F79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p>
              </w:tc>
              <w:tc>
                <w:tcPr>
                  <w:tcW w:w="1264" w:type="dxa"/>
                  <w:vMerge w:val="continue"/>
                  <w:vAlign w:val="center"/>
                </w:tcPr>
                <w:p w14:paraId="76C8BB9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p>
              </w:tc>
              <w:tc>
                <w:tcPr>
                  <w:tcW w:w="1257" w:type="dxa"/>
                  <w:vMerge w:val="continue"/>
                  <w:vAlign w:val="center"/>
                </w:tcPr>
                <w:p w14:paraId="761A1DC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p>
              </w:tc>
              <w:tc>
                <w:tcPr>
                  <w:tcW w:w="1269" w:type="dxa"/>
                  <w:shd w:val="clear" w:color="auto" w:fill="auto"/>
                  <w:vAlign w:val="center"/>
                </w:tcPr>
                <w:p w14:paraId="198A0F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color w:val="auto"/>
                      <w:kern w:val="0"/>
                      <w:szCs w:val="21"/>
                      <w:lang w:bidi="ar"/>
                    </w:rPr>
                    <w:t>颗粒物</w:t>
                  </w:r>
                </w:p>
              </w:tc>
              <w:tc>
                <w:tcPr>
                  <w:tcW w:w="1101" w:type="dxa"/>
                  <w:shd w:val="clear" w:color="auto" w:fill="auto"/>
                  <w:vAlign w:val="center"/>
                </w:tcPr>
                <w:p w14:paraId="30C2A4E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eastAsia" w:eastAsia="宋体"/>
                      <w:color w:val="auto"/>
                      <w:szCs w:val="21"/>
                      <w:lang w:val="en-US" w:eastAsia="zh-CN"/>
                    </w:rPr>
                    <w:t>0.002</w:t>
                  </w:r>
                </w:p>
              </w:tc>
              <w:tc>
                <w:tcPr>
                  <w:tcW w:w="1259" w:type="dxa"/>
                  <w:vMerge w:val="restart"/>
                  <w:vAlign w:val="center"/>
                </w:tcPr>
                <w:p w14:paraId="68722009">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 w:val="24"/>
                      <w:highlight w:val="none"/>
                    </w:rPr>
                    <w:t>/</w:t>
                  </w:r>
                </w:p>
              </w:tc>
              <w:tc>
                <w:tcPr>
                  <w:tcW w:w="1850" w:type="dxa"/>
                  <w:vMerge w:val="restart"/>
                  <w:vAlign w:val="center"/>
                </w:tcPr>
                <w:p w14:paraId="430C5836">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highlight w:val="none"/>
                    </w:rPr>
                    <w:t>/</w:t>
                  </w:r>
                </w:p>
              </w:tc>
            </w:tr>
            <w:tr w14:paraId="3821A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1" w:hRule="atLeast"/>
                <w:jc w:val="center"/>
              </w:trPr>
              <w:tc>
                <w:tcPr>
                  <w:tcW w:w="1224" w:type="dxa"/>
                  <w:vMerge w:val="continue"/>
                  <w:vAlign w:val="center"/>
                </w:tcPr>
                <w:p w14:paraId="28FCD55E">
                  <w:pPr>
                    <w:keepNext w:val="0"/>
                    <w:keepLines w:val="0"/>
                    <w:widowControl/>
                    <w:suppressLineNumbers w:val="0"/>
                    <w:spacing w:before="0" w:beforeAutospacing="0" w:after="0" w:afterAutospacing="0"/>
                    <w:ind w:left="0" w:right="0"/>
                    <w:jc w:val="center"/>
                    <w:textAlignment w:val="center"/>
                    <w:rPr>
                      <w:rFonts w:hint="default"/>
                    </w:rPr>
                  </w:pPr>
                </w:p>
              </w:tc>
              <w:tc>
                <w:tcPr>
                  <w:tcW w:w="2052" w:type="dxa"/>
                  <w:vMerge w:val="continue"/>
                  <w:vAlign w:val="center"/>
                </w:tcPr>
                <w:p w14:paraId="7D2222BE">
                  <w:pPr>
                    <w:keepNext w:val="0"/>
                    <w:keepLines w:val="0"/>
                    <w:widowControl/>
                    <w:suppressLineNumbers w:val="0"/>
                    <w:spacing w:before="0" w:beforeAutospacing="0" w:after="0" w:afterAutospacing="0"/>
                    <w:ind w:left="0" w:right="0"/>
                    <w:jc w:val="center"/>
                    <w:textAlignment w:val="center"/>
                    <w:rPr>
                      <w:rFonts w:hint="default"/>
                    </w:rPr>
                  </w:pPr>
                </w:p>
              </w:tc>
              <w:tc>
                <w:tcPr>
                  <w:tcW w:w="1259" w:type="dxa"/>
                  <w:vMerge w:val="continue"/>
                  <w:vAlign w:val="center"/>
                </w:tcPr>
                <w:p w14:paraId="4247C0D5">
                  <w:pPr>
                    <w:keepNext w:val="0"/>
                    <w:keepLines w:val="0"/>
                    <w:widowControl/>
                    <w:suppressLineNumbers w:val="0"/>
                    <w:spacing w:before="0" w:beforeAutospacing="0" w:after="0" w:afterAutospacing="0"/>
                    <w:ind w:left="0" w:right="0"/>
                    <w:jc w:val="center"/>
                    <w:textAlignment w:val="center"/>
                    <w:rPr>
                      <w:rFonts w:hint="default"/>
                    </w:rPr>
                  </w:pPr>
                </w:p>
              </w:tc>
              <w:tc>
                <w:tcPr>
                  <w:tcW w:w="1264" w:type="dxa"/>
                  <w:vMerge w:val="continue"/>
                  <w:vAlign w:val="center"/>
                </w:tcPr>
                <w:p w14:paraId="332710C2">
                  <w:pPr>
                    <w:keepNext w:val="0"/>
                    <w:keepLines w:val="0"/>
                    <w:widowControl/>
                    <w:suppressLineNumbers w:val="0"/>
                    <w:spacing w:before="0" w:beforeAutospacing="0" w:after="0" w:afterAutospacing="0"/>
                    <w:ind w:left="0" w:right="0"/>
                    <w:jc w:val="center"/>
                    <w:textAlignment w:val="center"/>
                    <w:rPr>
                      <w:rFonts w:hint="default"/>
                    </w:rPr>
                  </w:pPr>
                </w:p>
              </w:tc>
              <w:tc>
                <w:tcPr>
                  <w:tcW w:w="1257" w:type="dxa"/>
                  <w:vMerge w:val="continue"/>
                  <w:vAlign w:val="center"/>
                </w:tcPr>
                <w:p w14:paraId="22C491DE">
                  <w:pPr>
                    <w:keepNext w:val="0"/>
                    <w:keepLines w:val="0"/>
                    <w:widowControl/>
                    <w:suppressLineNumbers w:val="0"/>
                    <w:spacing w:before="0" w:beforeAutospacing="0" w:after="0" w:afterAutospacing="0"/>
                    <w:ind w:left="0" w:right="0"/>
                    <w:jc w:val="center"/>
                    <w:textAlignment w:val="center"/>
                    <w:rPr>
                      <w:rFonts w:hint="default"/>
                    </w:rPr>
                  </w:pPr>
                </w:p>
              </w:tc>
              <w:tc>
                <w:tcPr>
                  <w:tcW w:w="1269" w:type="dxa"/>
                  <w:shd w:val="clear" w:color="auto" w:fill="auto"/>
                  <w:vAlign w:val="center"/>
                </w:tcPr>
                <w:p w14:paraId="551117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SO</w:t>
                  </w:r>
                  <w:r>
                    <w:rPr>
                      <w:rFonts w:hint="default"/>
                      <w:color w:val="auto"/>
                      <w:szCs w:val="21"/>
                      <w:vertAlign w:val="subscript"/>
                    </w:rPr>
                    <w:t>2</w:t>
                  </w:r>
                </w:p>
              </w:tc>
              <w:tc>
                <w:tcPr>
                  <w:tcW w:w="1101" w:type="dxa"/>
                  <w:shd w:val="clear" w:color="auto" w:fill="auto"/>
                  <w:vAlign w:val="center"/>
                </w:tcPr>
                <w:p w14:paraId="0F5E7F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0.022</w:t>
                  </w:r>
                </w:p>
              </w:tc>
              <w:tc>
                <w:tcPr>
                  <w:tcW w:w="1259" w:type="dxa"/>
                  <w:vMerge w:val="continue"/>
                  <w:vAlign w:val="center"/>
                </w:tcPr>
                <w:p w14:paraId="7636D31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c>
                <w:tcPr>
                  <w:tcW w:w="1850" w:type="dxa"/>
                  <w:vMerge w:val="continue"/>
                  <w:vAlign w:val="center"/>
                </w:tcPr>
                <w:p w14:paraId="73C8696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r>
            <w:tr w14:paraId="4E806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1" w:hRule="atLeast"/>
                <w:jc w:val="center"/>
              </w:trPr>
              <w:tc>
                <w:tcPr>
                  <w:tcW w:w="1224" w:type="dxa"/>
                  <w:vMerge w:val="continue"/>
                  <w:vAlign w:val="center"/>
                </w:tcPr>
                <w:p w14:paraId="355E448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c>
                <w:tcPr>
                  <w:tcW w:w="2052" w:type="dxa"/>
                  <w:vMerge w:val="continue"/>
                  <w:vAlign w:val="center"/>
                </w:tcPr>
                <w:p w14:paraId="22CC43F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c>
                <w:tcPr>
                  <w:tcW w:w="1259" w:type="dxa"/>
                  <w:vMerge w:val="continue"/>
                  <w:vAlign w:val="center"/>
                </w:tcPr>
                <w:p w14:paraId="68FD510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c>
                <w:tcPr>
                  <w:tcW w:w="1264" w:type="dxa"/>
                  <w:vMerge w:val="continue"/>
                  <w:vAlign w:val="center"/>
                </w:tcPr>
                <w:p w14:paraId="670EEB4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c>
                <w:tcPr>
                  <w:tcW w:w="1257" w:type="dxa"/>
                  <w:vMerge w:val="continue"/>
                  <w:vAlign w:val="center"/>
                </w:tcPr>
                <w:p w14:paraId="6A18534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c>
                <w:tcPr>
                  <w:tcW w:w="1269" w:type="dxa"/>
                  <w:shd w:val="clear" w:color="auto" w:fill="auto"/>
                  <w:vAlign w:val="center"/>
                </w:tcPr>
                <w:p w14:paraId="3F2E3E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NOx</w:t>
                  </w:r>
                </w:p>
              </w:tc>
              <w:tc>
                <w:tcPr>
                  <w:tcW w:w="1101" w:type="dxa"/>
                  <w:shd w:val="clear" w:color="auto" w:fill="auto"/>
                  <w:vAlign w:val="center"/>
                </w:tcPr>
                <w:p w14:paraId="3CBEA3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0.101</w:t>
                  </w:r>
                </w:p>
              </w:tc>
              <w:tc>
                <w:tcPr>
                  <w:tcW w:w="1259" w:type="dxa"/>
                  <w:vMerge w:val="continue"/>
                  <w:vAlign w:val="center"/>
                </w:tcPr>
                <w:p w14:paraId="11E257F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c>
                <w:tcPr>
                  <w:tcW w:w="1850" w:type="dxa"/>
                  <w:vMerge w:val="continue"/>
                  <w:vAlign w:val="center"/>
                </w:tcPr>
                <w:p w14:paraId="20CDCC6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p>
              </w:tc>
            </w:tr>
            <w:tr w14:paraId="7A85C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restart"/>
                  <w:shd w:val="clear" w:color="auto" w:fill="auto"/>
                  <w:vAlign w:val="center"/>
                </w:tcPr>
                <w:p w14:paraId="06024692">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highlight w:val="none"/>
                    </w:rPr>
                    <w:t>DA00</w:t>
                  </w:r>
                  <w:r>
                    <w:rPr>
                      <w:rFonts w:hint="eastAsia" w:ascii="Times New Roman" w:hAnsi="Times New Roman" w:cs="Times New Roman"/>
                      <w:color w:val="auto"/>
                      <w:highlight w:val="none"/>
                      <w:lang w:val="en-US" w:eastAsia="zh-CN"/>
                    </w:rPr>
                    <w:t>3</w:t>
                  </w:r>
                </w:p>
              </w:tc>
              <w:tc>
                <w:tcPr>
                  <w:tcW w:w="2052" w:type="dxa"/>
                  <w:vMerge w:val="restart"/>
                  <w:vAlign w:val="center"/>
                </w:tcPr>
                <w:p w14:paraId="0A8260A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r>
                    <w:rPr>
                      <w:rFonts w:hint="default" w:ascii="Times New Roman" w:hAnsi="Times New Roman" w:eastAsia="宋体" w:cs="Times New Roman"/>
                      <w:color w:val="auto"/>
                      <w:szCs w:val="21"/>
                      <w:lang w:val="en-US" w:eastAsia="zh-CN"/>
                    </w:rPr>
                    <w:t>废气</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排放口</w:t>
                  </w:r>
                </w:p>
              </w:tc>
              <w:tc>
                <w:tcPr>
                  <w:tcW w:w="1259" w:type="dxa"/>
                  <w:vMerge w:val="restart"/>
                  <w:vAlign w:val="center"/>
                </w:tcPr>
                <w:p w14:paraId="447ED0D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一般排放口</w:t>
                  </w:r>
                </w:p>
              </w:tc>
              <w:tc>
                <w:tcPr>
                  <w:tcW w:w="1264" w:type="dxa"/>
                  <w:vMerge w:val="restart"/>
                  <w:vAlign w:val="center"/>
                </w:tcPr>
                <w:p w14:paraId="74DDC26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118.57941584</w:t>
                  </w:r>
                </w:p>
              </w:tc>
              <w:tc>
                <w:tcPr>
                  <w:tcW w:w="1257" w:type="dxa"/>
                  <w:vMerge w:val="restart"/>
                  <w:vAlign w:val="center"/>
                </w:tcPr>
                <w:p w14:paraId="1A2BC61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31.17739106</w:t>
                  </w:r>
                </w:p>
              </w:tc>
              <w:tc>
                <w:tcPr>
                  <w:tcW w:w="1269" w:type="dxa"/>
                  <w:shd w:val="clear" w:color="auto" w:fill="auto"/>
                  <w:vAlign w:val="center"/>
                </w:tcPr>
                <w:p w14:paraId="043344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非甲烷总烃</w:t>
                  </w:r>
                </w:p>
              </w:tc>
              <w:tc>
                <w:tcPr>
                  <w:tcW w:w="1101" w:type="dxa"/>
                  <w:shd w:val="clear" w:color="auto" w:fill="auto"/>
                  <w:vAlign w:val="center"/>
                </w:tcPr>
                <w:p w14:paraId="68454D3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000000" w:themeColor="text1"/>
                      <w:szCs w:val="21"/>
                      <w:lang w:val="en-US" w:eastAsia="zh-CN"/>
                      <w14:textFill>
                        <w14:solidFill>
                          <w14:schemeClr w14:val="tx1"/>
                        </w14:solidFill>
                      </w14:textFill>
                    </w:rPr>
                    <w:t>0.0245</w:t>
                  </w:r>
                </w:p>
              </w:tc>
              <w:tc>
                <w:tcPr>
                  <w:tcW w:w="1259" w:type="dxa"/>
                  <w:vAlign w:val="center"/>
                </w:tcPr>
                <w:p w14:paraId="709E4F3D">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 w:val="24"/>
                      <w:highlight w:val="none"/>
                    </w:rPr>
                    <w:t>/</w:t>
                  </w:r>
                </w:p>
              </w:tc>
              <w:tc>
                <w:tcPr>
                  <w:tcW w:w="1850" w:type="dxa"/>
                  <w:vAlign w:val="center"/>
                </w:tcPr>
                <w:p w14:paraId="515842E4">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highlight w:val="none"/>
                    </w:rPr>
                    <w:t>/</w:t>
                  </w:r>
                </w:p>
              </w:tc>
            </w:tr>
            <w:tr w14:paraId="22CA3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continue"/>
                  <w:vAlign w:val="center"/>
                </w:tcPr>
                <w:p w14:paraId="34DBDC0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p>
              </w:tc>
              <w:tc>
                <w:tcPr>
                  <w:tcW w:w="2052" w:type="dxa"/>
                  <w:vMerge w:val="continue"/>
                  <w:vAlign w:val="center"/>
                </w:tcPr>
                <w:p w14:paraId="583229D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259" w:type="dxa"/>
                  <w:vMerge w:val="continue"/>
                  <w:vAlign w:val="center"/>
                </w:tcPr>
                <w:p w14:paraId="038CA6B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p>
              </w:tc>
              <w:tc>
                <w:tcPr>
                  <w:tcW w:w="1264" w:type="dxa"/>
                  <w:vMerge w:val="continue"/>
                  <w:vAlign w:val="center"/>
                </w:tcPr>
                <w:p w14:paraId="1AA4A6C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p>
              </w:tc>
              <w:tc>
                <w:tcPr>
                  <w:tcW w:w="1257" w:type="dxa"/>
                  <w:vMerge w:val="continue"/>
                  <w:vAlign w:val="center"/>
                </w:tcPr>
                <w:p w14:paraId="15A9EDA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p>
              </w:tc>
              <w:tc>
                <w:tcPr>
                  <w:tcW w:w="1269" w:type="dxa"/>
                  <w:shd w:val="clear" w:color="auto" w:fill="auto"/>
                  <w:vAlign w:val="center"/>
                </w:tcPr>
                <w:p w14:paraId="4843EA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color w:val="auto"/>
                      <w:kern w:val="0"/>
                      <w:szCs w:val="21"/>
                      <w:lang w:bidi="ar"/>
                    </w:rPr>
                    <w:t>颗粒物</w:t>
                  </w:r>
                </w:p>
              </w:tc>
              <w:tc>
                <w:tcPr>
                  <w:tcW w:w="1101" w:type="dxa"/>
                  <w:shd w:val="clear" w:color="auto" w:fill="auto"/>
                  <w:vAlign w:val="center"/>
                </w:tcPr>
                <w:p w14:paraId="7B3B0FE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000000" w:themeColor="text1"/>
                      <w:szCs w:val="21"/>
                      <w:lang w:val="en-US" w:eastAsia="zh-CN"/>
                      <w14:textFill>
                        <w14:solidFill>
                          <w14:schemeClr w14:val="tx1"/>
                        </w14:solidFill>
                      </w14:textFill>
                    </w:rPr>
                    <w:t>0.079</w:t>
                  </w:r>
                </w:p>
              </w:tc>
              <w:tc>
                <w:tcPr>
                  <w:tcW w:w="1259" w:type="dxa"/>
                  <w:vAlign w:val="center"/>
                </w:tcPr>
                <w:p w14:paraId="77CF34AD">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 w:val="24"/>
                      <w:highlight w:val="none"/>
                    </w:rPr>
                    <w:t>/</w:t>
                  </w:r>
                </w:p>
              </w:tc>
              <w:tc>
                <w:tcPr>
                  <w:tcW w:w="1850" w:type="dxa"/>
                  <w:vAlign w:val="center"/>
                </w:tcPr>
                <w:p w14:paraId="7CF897C8">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highlight w:val="none"/>
                    </w:rPr>
                    <w:t>/</w:t>
                  </w:r>
                </w:p>
              </w:tc>
            </w:tr>
            <w:tr w14:paraId="299C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0" w:type="auto"/>
                </w:tcPr>
                <w:p w14:paraId="77B119B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DA00</w:t>
                  </w:r>
                  <w:r>
                    <w:rPr>
                      <w:rFonts w:hint="eastAsia" w:ascii="Times New Roman" w:hAnsi="Times New Roman" w:cs="Times New Roman"/>
                      <w:color w:val="auto"/>
                      <w:highlight w:val="none"/>
                      <w:lang w:val="en-US" w:eastAsia="zh-CN"/>
                    </w:rPr>
                    <w:t>4</w:t>
                  </w:r>
                </w:p>
              </w:tc>
              <w:tc>
                <w:tcPr>
                  <w:tcW w:w="0" w:type="auto"/>
                </w:tcPr>
                <w:p w14:paraId="6D7DDD9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auto"/>
                      <w:szCs w:val="21"/>
                      <w:lang w:val="en-US" w:eastAsia="zh-CN"/>
                    </w:rPr>
                    <w:t>喷粉</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粉尘排放口</w:t>
                  </w:r>
                </w:p>
              </w:tc>
              <w:tc>
                <w:tcPr>
                  <w:tcW w:w="0" w:type="auto"/>
                </w:tcPr>
                <w:p w14:paraId="2657C23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一般排放口</w:t>
                  </w:r>
                </w:p>
              </w:tc>
              <w:tc>
                <w:tcPr>
                  <w:tcW w:w="0" w:type="auto"/>
                </w:tcPr>
                <w:p w14:paraId="7B2D025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118.57956605</w:t>
                  </w:r>
                </w:p>
              </w:tc>
              <w:tc>
                <w:tcPr>
                  <w:tcW w:w="0" w:type="auto"/>
                </w:tcPr>
                <w:p w14:paraId="52D2F2E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31.17738188</w:t>
                  </w:r>
                </w:p>
              </w:tc>
              <w:tc>
                <w:tcPr>
                  <w:tcW w:w="0" w:type="auto"/>
                </w:tcPr>
                <w:p w14:paraId="06B97C1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1101" w:type="dxa"/>
                  <w:shd w:val="clear" w:color="auto" w:fill="auto"/>
                  <w:vAlign w:val="center"/>
                </w:tcPr>
                <w:p w14:paraId="58E96BD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0.516</w:t>
                  </w:r>
                </w:p>
              </w:tc>
              <w:tc>
                <w:tcPr>
                  <w:tcW w:w="1259" w:type="dxa"/>
                  <w:vAlign w:val="center"/>
                </w:tcPr>
                <w:p w14:paraId="0D25DE55">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 w:val="24"/>
                      <w:highlight w:val="none"/>
                    </w:rPr>
                    <w:t>/</w:t>
                  </w:r>
                </w:p>
              </w:tc>
              <w:tc>
                <w:tcPr>
                  <w:tcW w:w="1850" w:type="dxa"/>
                  <w:vAlign w:val="center"/>
                </w:tcPr>
                <w:p w14:paraId="4943076A">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highlight w:val="none"/>
                    </w:rPr>
                    <w:t>/</w:t>
                  </w:r>
                </w:p>
              </w:tc>
            </w:tr>
          </w:tbl>
          <w:p w14:paraId="3952EC6D">
            <w:pPr>
              <w:pStyle w:val="77"/>
              <w:keepNext w:val="0"/>
              <w:keepLines w:val="0"/>
              <w:suppressLineNumbers w:val="0"/>
              <w:spacing w:before="120" w:beforeLines="50" w:beforeAutospacing="0" w:after="0" w:afterAutospacing="0" w:line="240" w:lineRule="auto"/>
              <w:ind w:left="0" w:right="0" w:firstLine="482"/>
              <w:jc w:val="center"/>
              <w:rPr>
                <w:rFonts w:hint="default" w:ascii="Times New Roman" w:hAnsi="Times New Roman" w:cs="Times New Roman"/>
                <w:b/>
                <w:color w:val="auto"/>
                <w:kern w:val="0"/>
                <w:szCs w:val="20"/>
                <w:highlight w:val="none"/>
              </w:rPr>
            </w:pPr>
            <w:r>
              <w:rPr>
                <w:rFonts w:hint="default" w:ascii="Times New Roman" w:hAnsi="Times New Roman" w:cs="Times New Roman"/>
                <w:b/>
                <w:color w:val="auto"/>
                <w:kern w:val="0"/>
                <w:szCs w:val="20"/>
                <w:highlight w:val="none"/>
              </w:rPr>
              <w:t xml:space="preserve"> 表4-</w:t>
            </w:r>
            <w:r>
              <w:rPr>
                <w:rFonts w:hint="eastAsia" w:ascii="Times New Roman" w:cs="Times New Roman"/>
                <w:b/>
                <w:color w:val="auto"/>
                <w:kern w:val="0"/>
                <w:szCs w:val="20"/>
                <w:highlight w:val="none"/>
                <w:lang w:val="en-US" w:eastAsia="zh-CN"/>
              </w:rPr>
              <w:t>17</w:t>
            </w:r>
            <w:r>
              <w:rPr>
                <w:rFonts w:hint="default" w:ascii="Times New Roman" w:hAnsi="Times New Roman" w:cs="Times New Roman"/>
                <w:b/>
                <w:color w:val="auto"/>
                <w:kern w:val="0"/>
                <w:szCs w:val="20"/>
                <w:highlight w:val="none"/>
              </w:rPr>
              <w:t xml:space="preserve">  项目废气污染物无组织产排情况表</w:t>
            </w:r>
          </w:p>
          <w:tbl>
            <w:tblPr>
              <w:tblStyle w:val="61"/>
              <w:tblW w:w="12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262"/>
              <w:gridCol w:w="1164"/>
              <w:gridCol w:w="1603"/>
              <w:gridCol w:w="1515"/>
              <w:gridCol w:w="1317"/>
              <w:gridCol w:w="5079"/>
            </w:tblGrid>
            <w:tr w14:paraId="3D68C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0" w:type="dxa"/>
                  <w:vAlign w:val="center"/>
                </w:tcPr>
                <w:p w14:paraId="47408144">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面源</w:t>
                  </w:r>
                </w:p>
              </w:tc>
              <w:tc>
                <w:tcPr>
                  <w:tcW w:w="1262" w:type="dxa"/>
                  <w:vAlign w:val="center"/>
                </w:tcPr>
                <w:p w14:paraId="19385CA3">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面源面积m</w:t>
                  </w:r>
                  <w:r>
                    <w:rPr>
                      <w:rFonts w:hint="default" w:ascii="Times New Roman" w:hAnsi="Times New Roman" w:cs="Times New Roman"/>
                      <w:b/>
                      <w:color w:val="auto"/>
                      <w:szCs w:val="21"/>
                      <w:highlight w:val="none"/>
                      <w:vertAlign w:val="superscript"/>
                    </w:rPr>
                    <w:t>2</w:t>
                  </w:r>
                </w:p>
              </w:tc>
              <w:tc>
                <w:tcPr>
                  <w:tcW w:w="1164" w:type="dxa"/>
                  <w:vAlign w:val="center"/>
                </w:tcPr>
                <w:p w14:paraId="30EDB454">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面源高度m</w:t>
                  </w:r>
                </w:p>
              </w:tc>
              <w:tc>
                <w:tcPr>
                  <w:tcW w:w="1603" w:type="dxa"/>
                  <w:vAlign w:val="center"/>
                </w:tcPr>
                <w:p w14:paraId="5A3FC712">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污染物种类</w:t>
                  </w:r>
                </w:p>
              </w:tc>
              <w:tc>
                <w:tcPr>
                  <w:tcW w:w="1515" w:type="dxa"/>
                  <w:vAlign w:val="center"/>
                </w:tcPr>
                <w:p w14:paraId="5F9B72F1">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排放速率kg/h</w:t>
                  </w:r>
                </w:p>
              </w:tc>
              <w:tc>
                <w:tcPr>
                  <w:tcW w:w="1317" w:type="dxa"/>
                  <w:vAlign w:val="center"/>
                </w:tcPr>
                <w:p w14:paraId="0C425CB8">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排放量t/a</w:t>
                  </w:r>
                </w:p>
              </w:tc>
              <w:tc>
                <w:tcPr>
                  <w:tcW w:w="5079" w:type="dxa"/>
                  <w:vAlign w:val="center"/>
                </w:tcPr>
                <w:p w14:paraId="560CF4B7">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无组织排放浓度限值</w:t>
                  </w:r>
                </w:p>
              </w:tc>
            </w:tr>
            <w:tr w14:paraId="139FB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restart"/>
                  <w:vAlign w:val="center"/>
                </w:tcPr>
                <w:p w14:paraId="493DB126">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生产车间</w:t>
                  </w:r>
                </w:p>
              </w:tc>
              <w:tc>
                <w:tcPr>
                  <w:tcW w:w="1262" w:type="dxa"/>
                  <w:vMerge w:val="restart"/>
                  <w:vAlign w:val="center"/>
                </w:tcPr>
                <w:p w14:paraId="0E07D691">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r>
                    <w:rPr>
                      <w:rFonts w:hint="eastAsia" w:cs="Times New Roman"/>
                      <w:color w:val="auto"/>
                      <w:kern w:val="1"/>
                      <w:szCs w:val="21"/>
                      <w:highlight w:val="none"/>
                      <w:lang w:val="en-US" w:eastAsia="zh-CN"/>
                    </w:rPr>
                    <w:t>5817.6</w:t>
                  </w:r>
                  <w:r>
                    <w:rPr>
                      <w:rFonts w:hint="default" w:ascii="Times New Roman" w:hAnsi="Times New Roman" w:cs="Times New Roman"/>
                      <w:color w:val="auto"/>
                      <w:kern w:val="1"/>
                      <w:szCs w:val="21"/>
                      <w:highlight w:val="none"/>
                    </w:rPr>
                    <w:t>m</w:t>
                  </w:r>
                  <w:r>
                    <w:rPr>
                      <w:rFonts w:hint="default" w:ascii="Times New Roman" w:hAnsi="Times New Roman" w:cs="Times New Roman"/>
                      <w:color w:val="auto"/>
                      <w:kern w:val="1"/>
                      <w:szCs w:val="21"/>
                      <w:highlight w:val="none"/>
                      <w:vertAlign w:val="superscript"/>
                    </w:rPr>
                    <w:t>2</w:t>
                  </w:r>
                </w:p>
              </w:tc>
              <w:tc>
                <w:tcPr>
                  <w:tcW w:w="1164" w:type="dxa"/>
                  <w:vMerge w:val="restart"/>
                  <w:vAlign w:val="center"/>
                </w:tcPr>
                <w:p w14:paraId="1B23F397">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eastAsia="宋体" w:cs="Times New Roman"/>
                      <w:color w:val="auto"/>
                      <w:kern w:val="1"/>
                      <w:szCs w:val="21"/>
                      <w:highlight w:val="none"/>
                      <w:lang w:val="en-US" w:eastAsia="zh-CN"/>
                    </w:rPr>
                  </w:pPr>
                  <w:r>
                    <w:rPr>
                      <w:rFonts w:hint="eastAsia" w:cs="Times New Roman"/>
                      <w:color w:val="auto"/>
                      <w:kern w:val="1"/>
                      <w:szCs w:val="21"/>
                      <w:highlight w:val="none"/>
                      <w:lang w:val="en-US" w:eastAsia="zh-CN"/>
                    </w:rPr>
                    <w:t>7.5</w:t>
                  </w:r>
                </w:p>
              </w:tc>
              <w:tc>
                <w:tcPr>
                  <w:tcW w:w="1603" w:type="dxa"/>
                  <w:shd w:val="clear" w:color="auto" w:fill="auto"/>
                  <w:vAlign w:val="center"/>
                </w:tcPr>
                <w:p w14:paraId="0C96193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非甲烷总烃</w:t>
                  </w:r>
                </w:p>
              </w:tc>
              <w:tc>
                <w:tcPr>
                  <w:tcW w:w="1515" w:type="dxa"/>
                  <w:shd w:val="clear" w:color="auto" w:fill="auto"/>
                  <w:vAlign w:val="center"/>
                </w:tcPr>
                <w:p w14:paraId="62088C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0.03</w:t>
                  </w:r>
                </w:p>
              </w:tc>
              <w:tc>
                <w:tcPr>
                  <w:tcW w:w="1317" w:type="dxa"/>
                  <w:shd w:val="clear" w:color="auto" w:fill="auto"/>
                  <w:vAlign w:val="center"/>
                </w:tcPr>
                <w:p w14:paraId="6CB3790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Times New Roman" w:hAnsi="Times New Roman" w:eastAsia="宋体" w:cs="Times New Roman"/>
                      <w:color w:val="auto"/>
                      <w:kern w:val="0"/>
                      <w:szCs w:val="21"/>
                      <w:highlight w:val="none"/>
                      <w:lang w:val="en-US" w:eastAsia="zh-CN" w:bidi="ar"/>
                    </w:rPr>
                    <w:t>0.042</w:t>
                  </w:r>
                </w:p>
              </w:tc>
              <w:tc>
                <w:tcPr>
                  <w:tcW w:w="5079" w:type="dxa"/>
                  <w:vAlign w:val="center"/>
                </w:tcPr>
                <w:p w14:paraId="0FC87C56">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厂界：厂界监控点浓度限值4.0mg/m</w:t>
                  </w:r>
                  <w:r>
                    <w:rPr>
                      <w:rFonts w:hint="default" w:ascii="Times New Roman" w:hAnsi="Times New Roman" w:cs="Times New Roman"/>
                      <w:bCs/>
                      <w:color w:val="auto"/>
                      <w:szCs w:val="21"/>
                      <w:highlight w:val="none"/>
                      <w:vertAlign w:val="superscript"/>
                    </w:rPr>
                    <w:t>3</w:t>
                  </w:r>
                  <w:r>
                    <w:rPr>
                      <w:rFonts w:hint="default" w:ascii="Times New Roman" w:hAnsi="Times New Roman" w:cs="Times New Roman"/>
                      <w:bCs/>
                      <w:color w:val="auto"/>
                      <w:szCs w:val="21"/>
                      <w:highlight w:val="none"/>
                    </w:rPr>
                    <w:t>；</w:t>
                  </w:r>
                </w:p>
                <w:p w14:paraId="490E76E7">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厂区内：监控点处1h平均浓度值6.0mg/m</w:t>
                  </w:r>
                  <w:r>
                    <w:rPr>
                      <w:rFonts w:hint="default" w:ascii="Times New Roman" w:hAnsi="Times New Roman" w:cs="Times New Roman"/>
                      <w:bCs/>
                      <w:color w:val="auto"/>
                      <w:szCs w:val="21"/>
                      <w:highlight w:val="none"/>
                      <w:vertAlign w:val="superscript"/>
                    </w:rPr>
                    <w:t>3</w:t>
                  </w:r>
                  <w:r>
                    <w:rPr>
                      <w:rFonts w:hint="default" w:ascii="Times New Roman" w:hAnsi="Times New Roman" w:cs="Times New Roman"/>
                      <w:bCs/>
                      <w:color w:val="auto"/>
                      <w:szCs w:val="21"/>
                      <w:highlight w:val="none"/>
                    </w:rPr>
                    <w:t>，监控点处任意一次浓度值20mg/m</w:t>
                  </w:r>
                  <w:r>
                    <w:rPr>
                      <w:rFonts w:hint="default" w:ascii="Times New Roman" w:hAnsi="Times New Roman" w:cs="Times New Roman"/>
                      <w:bCs/>
                      <w:color w:val="auto"/>
                      <w:szCs w:val="21"/>
                      <w:highlight w:val="none"/>
                      <w:vertAlign w:val="superscript"/>
                    </w:rPr>
                    <w:t>3</w:t>
                  </w:r>
                </w:p>
              </w:tc>
            </w:tr>
            <w:tr w14:paraId="3B1CF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02D41E5F">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p>
              </w:tc>
              <w:tc>
                <w:tcPr>
                  <w:tcW w:w="1262" w:type="dxa"/>
                  <w:vMerge w:val="continue"/>
                  <w:vAlign w:val="center"/>
                </w:tcPr>
                <w:p w14:paraId="248ECF0F">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color w:val="auto"/>
                      <w:kern w:val="1"/>
                      <w:szCs w:val="21"/>
                      <w:highlight w:val="none"/>
                    </w:rPr>
                  </w:pPr>
                </w:p>
              </w:tc>
              <w:tc>
                <w:tcPr>
                  <w:tcW w:w="1164" w:type="dxa"/>
                  <w:vMerge w:val="continue"/>
                  <w:vAlign w:val="center"/>
                </w:tcPr>
                <w:p w14:paraId="45B8E340">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p>
              </w:tc>
              <w:tc>
                <w:tcPr>
                  <w:tcW w:w="1603" w:type="dxa"/>
                  <w:shd w:val="clear" w:color="auto" w:fill="auto"/>
                  <w:vAlign w:val="center"/>
                </w:tcPr>
                <w:p w14:paraId="4CFDE1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color w:val="auto"/>
                      <w:kern w:val="0"/>
                      <w:szCs w:val="21"/>
                      <w:lang w:bidi="ar"/>
                    </w:rPr>
                    <w:t>颗粒物</w:t>
                  </w:r>
                </w:p>
              </w:tc>
              <w:tc>
                <w:tcPr>
                  <w:tcW w:w="1515" w:type="dxa"/>
                  <w:shd w:val="clear" w:color="auto" w:fill="auto"/>
                  <w:vAlign w:val="center"/>
                </w:tcPr>
                <w:p w14:paraId="054731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0.668</w:t>
                  </w:r>
                </w:p>
              </w:tc>
              <w:tc>
                <w:tcPr>
                  <w:tcW w:w="1317" w:type="dxa"/>
                  <w:shd w:val="clear" w:color="auto" w:fill="auto"/>
                  <w:vAlign w:val="center"/>
                </w:tcPr>
                <w:p w14:paraId="666110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3.1122</w:t>
                  </w:r>
                </w:p>
              </w:tc>
              <w:tc>
                <w:tcPr>
                  <w:tcW w:w="5079" w:type="dxa"/>
                  <w:shd w:val="clear" w:color="auto" w:fill="auto"/>
                  <w:vAlign w:val="center"/>
                </w:tcPr>
                <w:p w14:paraId="72914C9E">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color w:val="auto"/>
                      <w:kern w:val="0"/>
                      <w:sz w:val="20"/>
                      <w:szCs w:val="20"/>
                      <w:highlight w:val="none"/>
                      <w:lang w:bidi="ar"/>
                    </w:rPr>
                    <w:t>厂界监控点浓度限值：1.0</w:t>
                  </w:r>
                  <w:r>
                    <w:rPr>
                      <w:rFonts w:hint="default" w:ascii="Times New Roman" w:hAnsi="Times New Roman" w:cs="Times New Roman"/>
                      <w:bCs/>
                      <w:color w:val="auto"/>
                      <w:szCs w:val="21"/>
                      <w:highlight w:val="none"/>
                    </w:rPr>
                    <w:t>mg/m</w:t>
                  </w:r>
                  <w:r>
                    <w:rPr>
                      <w:rFonts w:hint="default" w:ascii="Times New Roman" w:hAnsi="Times New Roman" w:cs="Times New Roman"/>
                      <w:bCs/>
                      <w:color w:val="auto"/>
                      <w:szCs w:val="21"/>
                      <w:highlight w:val="none"/>
                      <w:vertAlign w:val="superscript"/>
                    </w:rPr>
                    <w:t>3</w:t>
                  </w:r>
                  <w:r>
                    <w:rPr>
                      <w:rFonts w:hint="default" w:ascii="Times New Roman" w:hAnsi="Times New Roman" w:cs="Times New Roman"/>
                      <w:color w:val="auto"/>
                      <w:kern w:val="0"/>
                      <w:sz w:val="20"/>
                      <w:szCs w:val="20"/>
                      <w:highlight w:val="none"/>
                      <w:lang w:bidi="ar"/>
                    </w:rPr>
                    <w:t>；</w:t>
                  </w:r>
                </w:p>
              </w:tc>
            </w:tr>
            <w:tr w14:paraId="58DCA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3DE1108C">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p>
              </w:tc>
              <w:tc>
                <w:tcPr>
                  <w:tcW w:w="1262" w:type="dxa"/>
                  <w:vMerge w:val="continue"/>
                  <w:vAlign w:val="center"/>
                </w:tcPr>
                <w:p w14:paraId="5A23ADC2">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color w:val="auto"/>
                      <w:kern w:val="1"/>
                      <w:szCs w:val="21"/>
                      <w:highlight w:val="none"/>
                    </w:rPr>
                  </w:pPr>
                </w:p>
              </w:tc>
              <w:tc>
                <w:tcPr>
                  <w:tcW w:w="1164" w:type="dxa"/>
                  <w:vMerge w:val="continue"/>
                  <w:vAlign w:val="center"/>
                </w:tcPr>
                <w:p w14:paraId="727107F7">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p>
              </w:tc>
              <w:tc>
                <w:tcPr>
                  <w:tcW w:w="1603" w:type="dxa"/>
                  <w:shd w:val="clear" w:color="auto" w:fill="auto"/>
                  <w:vAlign w:val="center"/>
                </w:tcPr>
                <w:p w14:paraId="5F6BE3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SO</w:t>
                  </w:r>
                  <w:r>
                    <w:rPr>
                      <w:rFonts w:hint="default"/>
                      <w:color w:val="auto"/>
                      <w:szCs w:val="21"/>
                      <w:vertAlign w:val="subscript"/>
                    </w:rPr>
                    <w:t>2</w:t>
                  </w:r>
                </w:p>
              </w:tc>
              <w:tc>
                <w:tcPr>
                  <w:tcW w:w="1515" w:type="dxa"/>
                  <w:shd w:val="clear" w:color="auto" w:fill="auto"/>
                  <w:vAlign w:val="center"/>
                </w:tcPr>
                <w:p w14:paraId="199DAA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0.0004</w:t>
                  </w:r>
                </w:p>
              </w:tc>
              <w:tc>
                <w:tcPr>
                  <w:tcW w:w="1317" w:type="dxa"/>
                  <w:shd w:val="clear" w:color="auto" w:fill="auto"/>
                  <w:vAlign w:val="center"/>
                </w:tcPr>
                <w:p w14:paraId="57FFD0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0.002</w:t>
                  </w:r>
                </w:p>
              </w:tc>
              <w:tc>
                <w:tcPr>
                  <w:tcW w:w="5079" w:type="dxa"/>
                  <w:vAlign w:val="center"/>
                </w:tcPr>
                <w:p w14:paraId="73F99116">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szCs w:val="21"/>
                      <w:highlight w:val="none"/>
                      <w:lang w:eastAsia="zh-CN"/>
                    </w:rPr>
                  </w:pPr>
                  <w:r>
                    <w:rPr>
                      <w:rFonts w:hint="eastAsia" w:cs="Times New Roman"/>
                      <w:color w:val="auto"/>
                      <w:kern w:val="0"/>
                      <w:sz w:val="20"/>
                      <w:szCs w:val="20"/>
                      <w:highlight w:val="none"/>
                      <w:lang w:val="en-US" w:eastAsia="zh-CN" w:bidi="ar"/>
                    </w:rPr>
                    <w:t>/</w:t>
                  </w:r>
                </w:p>
              </w:tc>
            </w:tr>
            <w:tr w14:paraId="23DA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500E060C">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p>
              </w:tc>
              <w:tc>
                <w:tcPr>
                  <w:tcW w:w="1262" w:type="dxa"/>
                  <w:vMerge w:val="continue"/>
                  <w:vAlign w:val="center"/>
                </w:tcPr>
                <w:p w14:paraId="36F81A76">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color w:val="auto"/>
                      <w:kern w:val="1"/>
                      <w:szCs w:val="21"/>
                      <w:highlight w:val="none"/>
                    </w:rPr>
                  </w:pPr>
                </w:p>
              </w:tc>
              <w:tc>
                <w:tcPr>
                  <w:tcW w:w="1164" w:type="dxa"/>
                  <w:vMerge w:val="continue"/>
                  <w:vAlign w:val="center"/>
                </w:tcPr>
                <w:p w14:paraId="4D14B35D">
                  <w:pPr>
                    <w:keepNext w:val="0"/>
                    <w:keepLines w:val="0"/>
                    <w:suppressLineNumbers w:val="0"/>
                    <w:adjustRightInd w:val="0"/>
                    <w:snapToGrid w:val="0"/>
                    <w:spacing w:before="0" w:beforeAutospacing="0" w:after="0" w:afterAutospacing="0"/>
                    <w:ind w:left="-63" w:leftChars="-30" w:right="-63" w:rightChars="-30"/>
                    <w:jc w:val="center"/>
                    <w:rPr>
                      <w:rFonts w:hint="default" w:ascii="Times New Roman" w:hAnsi="Times New Roman" w:cs="Times New Roman"/>
                      <w:bCs/>
                      <w:color w:val="auto"/>
                      <w:szCs w:val="21"/>
                      <w:highlight w:val="none"/>
                    </w:rPr>
                  </w:pPr>
                </w:p>
              </w:tc>
              <w:tc>
                <w:tcPr>
                  <w:tcW w:w="1603" w:type="dxa"/>
                  <w:shd w:val="clear" w:color="auto" w:fill="auto"/>
                  <w:vAlign w:val="center"/>
                </w:tcPr>
                <w:p w14:paraId="42B218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NOx</w:t>
                  </w:r>
                </w:p>
              </w:tc>
              <w:tc>
                <w:tcPr>
                  <w:tcW w:w="1515" w:type="dxa"/>
                  <w:shd w:val="clear" w:color="auto" w:fill="auto"/>
                  <w:vAlign w:val="center"/>
                </w:tcPr>
                <w:p w14:paraId="1598C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0.004</w:t>
                  </w:r>
                </w:p>
              </w:tc>
              <w:tc>
                <w:tcPr>
                  <w:tcW w:w="1317" w:type="dxa"/>
                  <w:shd w:val="clear" w:color="auto" w:fill="auto"/>
                  <w:vAlign w:val="center"/>
                </w:tcPr>
                <w:p w14:paraId="7DCC0E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0.022</w:t>
                  </w:r>
                </w:p>
              </w:tc>
              <w:tc>
                <w:tcPr>
                  <w:tcW w:w="5079" w:type="dxa"/>
                  <w:vAlign w:val="center"/>
                </w:tcPr>
                <w:p w14:paraId="40C0F21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0"/>
                      <w:szCs w:val="20"/>
                      <w:highlight w:val="none"/>
                      <w:lang w:bidi="ar"/>
                    </w:rPr>
                  </w:pPr>
                  <w:r>
                    <w:rPr>
                      <w:rFonts w:hint="default" w:ascii="Times New Roman" w:hAnsi="Times New Roman" w:cs="Times New Roman"/>
                      <w:color w:val="auto"/>
                      <w:kern w:val="0"/>
                      <w:sz w:val="20"/>
                      <w:szCs w:val="20"/>
                      <w:highlight w:val="none"/>
                      <w:lang w:bidi="ar"/>
                    </w:rPr>
                    <w:t>/</w:t>
                  </w:r>
                </w:p>
              </w:tc>
            </w:tr>
          </w:tbl>
          <w:p w14:paraId="30596372">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p>
          <w:p w14:paraId="28107422">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p>
          <w:p w14:paraId="685BC208">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p>
          <w:p w14:paraId="22BD7ECD">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p>
        </w:tc>
      </w:tr>
    </w:tbl>
    <w:p w14:paraId="2BC6365F">
      <w:pPr>
        <w:tabs>
          <w:tab w:val="left" w:pos="1077"/>
        </w:tabs>
        <w:rPr>
          <w:rFonts w:hint="default" w:ascii="Times New Roman" w:hAnsi="Times New Roman" w:cs="Times New Roman"/>
          <w:color w:val="auto"/>
          <w:sz w:val="24"/>
          <w:highlight w:val="none"/>
        </w:rPr>
        <w:sectPr>
          <w:pgSz w:w="16838" w:h="11905" w:orient="landscape"/>
          <w:pgMar w:top="1531" w:right="1701" w:bottom="1531" w:left="2126" w:header="851" w:footer="850" w:gutter="0"/>
          <w:pgBorders>
            <w:top w:val="none" w:sz="0" w:space="0"/>
            <w:left w:val="none" w:sz="0" w:space="0"/>
            <w:bottom w:val="none" w:sz="0" w:space="0"/>
            <w:right w:val="none" w:sz="0" w:space="0"/>
          </w:pgBorders>
          <w:cols w:space="0" w:num="1"/>
          <w:docGrid w:linePitch="312" w:charSpace="0"/>
        </w:sectPr>
      </w:pPr>
    </w:p>
    <w:tbl>
      <w:tblPr>
        <w:tblStyle w:val="61"/>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09"/>
      </w:tblGrid>
      <w:tr w14:paraId="3DC3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trPr>
        <w:tc>
          <w:tcPr>
            <w:tcW w:w="452" w:type="dxa"/>
            <w:vMerge w:val="restart"/>
            <w:shd w:val="clear" w:color="auto" w:fill="auto"/>
            <w:vAlign w:val="center"/>
          </w:tcPr>
          <w:p w14:paraId="6C9F556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运营</w:t>
            </w:r>
          </w:p>
          <w:p w14:paraId="56B4118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期环</w:t>
            </w:r>
          </w:p>
          <w:p w14:paraId="4EF985D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境影</w:t>
            </w:r>
          </w:p>
          <w:p w14:paraId="08EE18D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响和</w:t>
            </w:r>
          </w:p>
          <w:p w14:paraId="675A167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保护</w:t>
            </w:r>
          </w:p>
          <w:p w14:paraId="74E8A537">
            <w:pPr>
              <w:keepNext w:val="0"/>
              <w:keepLines w:val="0"/>
              <w:suppressLineNumbers w:val="0"/>
              <w:tabs>
                <w:tab w:val="left" w:pos="1077"/>
              </w:tabs>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kern w:val="0"/>
                <w:sz w:val="24"/>
                <w:highlight w:val="none"/>
              </w:rPr>
              <w:t>措施</w:t>
            </w:r>
          </w:p>
        </w:tc>
        <w:tc>
          <w:tcPr>
            <w:tcW w:w="8609" w:type="dxa"/>
            <w:shd w:val="clear" w:color="auto" w:fill="auto"/>
          </w:tcPr>
          <w:p w14:paraId="1A40AC4D">
            <w:pPr>
              <w:keepNext w:val="0"/>
              <w:keepLines w:val="0"/>
              <w:suppressLineNumbers w:val="0"/>
              <w:tabs>
                <w:tab w:val="left" w:pos="1077"/>
              </w:tabs>
              <w:spacing w:before="100" w:beforeAutospacing="1" w:after="0" w:afterAutospacing="0" w:line="360" w:lineRule="auto"/>
              <w:ind w:left="0" w:right="0"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2、废气非正常排放</w:t>
            </w:r>
          </w:p>
          <w:p w14:paraId="17171CD3">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347B48AB">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本项目非正常工况主要包括开、停车，检修；电力供应突然中断；废气处理设施故障。项目非正常工况会引起污染物的非正常排放。本项目非正常工况下情况分析如下：</w:t>
            </w:r>
          </w:p>
          <w:p w14:paraId="202314C7">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（1）开停车</w:t>
            </w:r>
          </w:p>
          <w:p w14:paraId="7DA4E86D">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项目计划停车，装置首先要停工，生产装置及环保设施等同步进行检修、维护和保养后，再开工生产。</w:t>
            </w:r>
          </w:p>
          <w:p w14:paraId="7960ECEE">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（2）设备故障</w:t>
            </w:r>
          </w:p>
          <w:p w14:paraId="3CC3DF2E">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当生产系统出现故障如停电故障，由于本项目采用双回路供电，出现停电的概率极低，控制系统采用DCS自动控制系统，因此出现上述情况的概率较低。</w:t>
            </w:r>
          </w:p>
          <w:p w14:paraId="3CDF24B6">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4F8E9C0D">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（3）废气处置效率降低</w:t>
            </w:r>
          </w:p>
          <w:p w14:paraId="66B3989D">
            <w:pPr>
              <w:keepNext w:val="0"/>
              <w:keepLines w:val="0"/>
              <w:suppressLineNumbers w:val="0"/>
              <w:tabs>
                <w:tab w:val="left" w:pos="1077"/>
              </w:tabs>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鉴于拟建项目产污主要集中在生产车间，本项目非正常工况为配套的废气处理装置处理效率无法达到设计效率时，（非正常工况年排放时间按1h时间计算），废气在未经有效处理的情况通过排气筒排放，非正常工况下废气排放详见下表。本次评价环评要求企业实定期检查尾气处理装置，严格管理，避免失效工况发生。</w:t>
            </w:r>
          </w:p>
          <w:p w14:paraId="6C2587D6">
            <w:pPr>
              <w:keepNext w:val="0"/>
              <w:keepLines w:val="0"/>
              <w:widowControl/>
              <w:suppressLineNumbers w:val="0"/>
              <w:spacing w:before="0" w:beforeAutospacing="0" w:after="0" w:afterAutospacing="0"/>
              <w:ind w:left="-105" w:leftChars="-50" w:right="0"/>
              <w:jc w:val="center"/>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表4-1</w:t>
            </w:r>
            <w:r>
              <w:rPr>
                <w:rFonts w:hint="eastAsia" w:cs="Times New Roman"/>
                <w:b/>
                <w:color w:val="auto"/>
                <w:kern w:val="0"/>
                <w:sz w:val="24"/>
                <w:highlight w:val="none"/>
                <w:lang w:val="en-US" w:eastAsia="zh-CN"/>
              </w:rPr>
              <w:t xml:space="preserve">8 </w:t>
            </w:r>
            <w:r>
              <w:rPr>
                <w:rFonts w:hint="default" w:ascii="Times New Roman" w:hAnsi="Times New Roman" w:cs="Times New Roman"/>
                <w:b/>
                <w:color w:val="auto"/>
                <w:kern w:val="0"/>
                <w:sz w:val="24"/>
                <w:highlight w:val="none"/>
              </w:rPr>
              <w:t xml:space="preserve">  本项目非正常工况</w:t>
            </w:r>
            <w:r>
              <w:rPr>
                <w:rFonts w:hint="default"/>
              </w:rPr>
              <w:commentReference w:id="33"/>
            </w:r>
            <w:r>
              <w:rPr>
                <w:rFonts w:hint="default" w:ascii="Times New Roman" w:hAnsi="Times New Roman" w:cs="Times New Roman"/>
                <w:b/>
                <w:color w:val="auto"/>
                <w:kern w:val="0"/>
                <w:sz w:val="24"/>
                <w:highlight w:val="none"/>
              </w:rPr>
              <w:t>污染物排放情况</w:t>
            </w:r>
          </w:p>
          <w:tbl>
            <w:tblPr>
              <w:tblStyle w:val="61"/>
              <w:tblW w:w="835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634"/>
              <w:gridCol w:w="858"/>
              <w:gridCol w:w="1270"/>
              <w:gridCol w:w="1779"/>
              <w:gridCol w:w="699"/>
              <w:gridCol w:w="828"/>
              <w:gridCol w:w="864"/>
              <w:gridCol w:w="685"/>
              <w:gridCol w:w="736"/>
            </w:tblGrid>
            <w:tr w14:paraId="514A77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709" w:type="dxa"/>
                  <w:vMerge w:val="restart"/>
                  <w:vAlign w:val="center"/>
                </w:tcPr>
                <w:p w14:paraId="10FEC03E">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排放源编号</w:t>
                  </w:r>
                </w:p>
              </w:tc>
              <w:tc>
                <w:tcPr>
                  <w:tcW w:w="960" w:type="dxa"/>
                  <w:vMerge w:val="restart"/>
                  <w:vAlign w:val="center"/>
                </w:tcPr>
                <w:p w14:paraId="1BF85FEC">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污染源</w:t>
                  </w:r>
                </w:p>
              </w:tc>
              <w:tc>
                <w:tcPr>
                  <w:tcW w:w="1421" w:type="dxa"/>
                  <w:vMerge w:val="restart"/>
                  <w:vAlign w:val="center"/>
                </w:tcPr>
                <w:p w14:paraId="5E33B77B">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污染物</w:t>
                  </w:r>
                </w:p>
                <w:p w14:paraId="62A81199">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名称</w:t>
                  </w:r>
                </w:p>
              </w:tc>
              <w:tc>
                <w:tcPr>
                  <w:tcW w:w="1000" w:type="dxa"/>
                  <w:vMerge w:val="restart"/>
                  <w:vAlign w:val="center"/>
                </w:tcPr>
                <w:p w14:paraId="54A9A20C">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非正常排放原因</w:t>
                  </w:r>
                </w:p>
              </w:tc>
              <w:tc>
                <w:tcPr>
                  <w:tcW w:w="782" w:type="dxa"/>
                  <w:vMerge w:val="restart"/>
                  <w:vAlign w:val="center"/>
                </w:tcPr>
                <w:p w14:paraId="3353D628">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去除率</w:t>
                  </w:r>
                </w:p>
              </w:tc>
              <w:tc>
                <w:tcPr>
                  <w:tcW w:w="1892" w:type="dxa"/>
                  <w:gridSpan w:val="2"/>
                  <w:vAlign w:val="center"/>
                </w:tcPr>
                <w:p w14:paraId="665EEBBE">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排放状况</w:t>
                  </w:r>
                </w:p>
              </w:tc>
              <w:tc>
                <w:tcPr>
                  <w:tcW w:w="766" w:type="dxa"/>
                  <w:vMerge w:val="restart"/>
                  <w:vAlign w:val="center"/>
                </w:tcPr>
                <w:p w14:paraId="653C4361">
                  <w:pPr>
                    <w:keepNext w:val="0"/>
                    <w:keepLines w:val="0"/>
                    <w:suppressLineNumbers w:val="0"/>
                    <w:overflowPunct w:val="0"/>
                    <w:adjustRightInd w:val="0"/>
                    <w:snapToGrid w:val="0"/>
                    <w:spacing w:before="40" w:beforeAutospacing="0" w:after="60" w:afterAutospacing="0" w:line="200" w:lineRule="atLeast"/>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单次持续时间</w:t>
                  </w:r>
                </w:p>
              </w:tc>
              <w:tc>
                <w:tcPr>
                  <w:tcW w:w="823" w:type="dxa"/>
                  <w:vMerge w:val="restart"/>
                  <w:vAlign w:val="center"/>
                </w:tcPr>
                <w:p w14:paraId="231CFAD7">
                  <w:pPr>
                    <w:keepNext w:val="0"/>
                    <w:keepLines w:val="0"/>
                    <w:suppressLineNumbers w:val="0"/>
                    <w:overflowPunct w:val="0"/>
                    <w:adjustRightInd w:val="0"/>
                    <w:snapToGrid w:val="0"/>
                    <w:spacing w:before="40" w:beforeAutospacing="0" w:after="60" w:afterAutospacing="0" w:line="200" w:lineRule="atLeast"/>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年发生频次</w:t>
                  </w:r>
                </w:p>
              </w:tc>
            </w:tr>
            <w:tr w14:paraId="26A426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1" w:hRule="atLeast"/>
                <w:jc w:val="center"/>
              </w:trPr>
              <w:tc>
                <w:tcPr>
                  <w:tcW w:w="709" w:type="dxa"/>
                  <w:vMerge w:val="continue"/>
                  <w:vAlign w:val="center"/>
                </w:tcPr>
                <w:p w14:paraId="7460BD4D">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p>
              </w:tc>
              <w:tc>
                <w:tcPr>
                  <w:tcW w:w="960" w:type="dxa"/>
                  <w:vMerge w:val="continue"/>
                  <w:vAlign w:val="center"/>
                </w:tcPr>
                <w:p w14:paraId="6A4A4E67">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p>
              </w:tc>
              <w:tc>
                <w:tcPr>
                  <w:tcW w:w="1421" w:type="dxa"/>
                  <w:vMerge w:val="continue"/>
                  <w:vAlign w:val="center"/>
                </w:tcPr>
                <w:p w14:paraId="1814008C">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p>
              </w:tc>
              <w:tc>
                <w:tcPr>
                  <w:tcW w:w="1000" w:type="dxa"/>
                  <w:vMerge w:val="continue"/>
                  <w:vAlign w:val="center"/>
                </w:tcPr>
                <w:p w14:paraId="54E8752D">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p>
              </w:tc>
              <w:tc>
                <w:tcPr>
                  <w:tcW w:w="782" w:type="dxa"/>
                  <w:vMerge w:val="continue"/>
                  <w:vAlign w:val="center"/>
                </w:tcPr>
                <w:p w14:paraId="55962823">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p>
              </w:tc>
              <w:tc>
                <w:tcPr>
                  <w:tcW w:w="926" w:type="dxa"/>
                  <w:vAlign w:val="center"/>
                </w:tcPr>
                <w:p w14:paraId="5597212D">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kg/h</w:t>
                  </w:r>
                </w:p>
              </w:tc>
              <w:tc>
                <w:tcPr>
                  <w:tcW w:w="966" w:type="dxa"/>
                  <w:vAlign w:val="center"/>
                </w:tcPr>
                <w:p w14:paraId="60AADEAB">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mg/m</w:t>
                  </w:r>
                  <w:r>
                    <w:rPr>
                      <w:rFonts w:hint="default" w:ascii="Times New Roman" w:hAnsi="Times New Roman" w:cs="Times New Roman"/>
                      <w:b/>
                      <w:color w:val="auto"/>
                      <w:kern w:val="0"/>
                      <w:szCs w:val="21"/>
                      <w:highlight w:val="none"/>
                      <w:vertAlign w:val="superscript"/>
                    </w:rPr>
                    <w:t>3</w:t>
                  </w:r>
                </w:p>
              </w:tc>
              <w:tc>
                <w:tcPr>
                  <w:tcW w:w="766" w:type="dxa"/>
                  <w:vMerge w:val="continue"/>
                  <w:vAlign w:val="center"/>
                </w:tcPr>
                <w:p w14:paraId="5C634254">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p>
              </w:tc>
              <w:tc>
                <w:tcPr>
                  <w:tcW w:w="823" w:type="dxa"/>
                  <w:vMerge w:val="continue"/>
                  <w:vAlign w:val="center"/>
                </w:tcPr>
                <w:p w14:paraId="1E1F4CF4">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p>
              </w:tc>
            </w:tr>
            <w:tr w14:paraId="526F61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shd w:val="clear" w:color="auto" w:fill="auto"/>
                  <w:vAlign w:val="center"/>
                </w:tcPr>
                <w:p w14:paraId="0C6509F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DA001</w:t>
                  </w:r>
                </w:p>
              </w:tc>
              <w:tc>
                <w:tcPr>
                  <w:tcW w:w="960" w:type="dxa"/>
                  <w:shd w:val="clear" w:color="auto" w:fill="auto"/>
                  <w:vAlign w:val="center"/>
                </w:tcPr>
                <w:p w14:paraId="2369F0D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w:t>
                  </w:r>
                </w:p>
              </w:tc>
              <w:tc>
                <w:tcPr>
                  <w:tcW w:w="1421" w:type="dxa"/>
                  <w:shd w:val="clear" w:color="auto" w:fill="auto"/>
                  <w:vAlign w:val="center"/>
                </w:tcPr>
                <w:p w14:paraId="5723CF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bCs/>
                      <w:color w:val="000000" w:themeColor="text1"/>
                      <w:szCs w:val="18"/>
                      <w:lang w:eastAsia="zh-CN"/>
                      <w14:textFill>
                        <w14:solidFill>
                          <w14:schemeClr w14:val="tx1"/>
                        </w14:solidFill>
                      </w14:textFill>
                    </w:rPr>
                    <w:t>颗粒物</w:t>
                  </w:r>
                </w:p>
              </w:tc>
              <w:tc>
                <w:tcPr>
                  <w:tcW w:w="1000" w:type="dxa"/>
                  <w:vAlign w:val="center"/>
                </w:tcPr>
                <w:p w14:paraId="2D899D82">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b/>
                      <w:color w:val="auto"/>
                      <w:kern w:val="0"/>
                      <w:szCs w:val="21"/>
                      <w:highlight w:val="none"/>
                    </w:rPr>
                  </w:pPr>
                  <w:r>
                    <w:rPr>
                      <w:rFonts w:hint="default" w:ascii="Times New Roman" w:hAnsi="Times New Roman" w:cs="Times New Roman"/>
                      <w:color w:val="000000" w:themeColor="text1"/>
                      <w:kern w:val="0"/>
                      <w:szCs w:val="21"/>
                      <w14:textFill>
                        <w14:solidFill>
                          <w14:schemeClr w14:val="tx1"/>
                        </w14:solidFill>
                      </w14:textFill>
                    </w:rPr>
                    <w:t>布带穿孔或风机故障</w:t>
                  </w:r>
                </w:p>
              </w:tc>
              <w:tc>
                <w:tcPr>
                  <w:tcW w:w="782" w:type="dxa"/>
                  <w:vAlign w:val="center"/>
                </w:tcPr>
                <w:p w14:paraId="3A9B4C8F">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926" w:type="dxa"/>
                  <w:shd w:val="clear" w:color="auto" w:fill="auto"/>
                  <w:vAlign w:val="center"/>
                </w:tcPr>
                <w:p w14:paraId="0FB61E1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1.093</w:t>
                  </w:r>
                </w:p>
              </w:tc>
              <w:tc>
                <w:tcPr>
                  <w:tcW w:w="966" w:type="dxa"/>
                  <w:shd w:val="clear" w:color="auto" w:fill="auto"/>
                  <w:vAlign w:val="center"/>
                </w:tcPr>
                <w:p w14:paraId="5F19287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000000" w:themeColor="text1"/>
                      <w:szCs w:val="18"/>
                      <w:lang w:val="en-US" w:eastAsia="zh-CN"/>
                      <w14:textFill>
                        <w14:solidFill>
                          <w14:schemeClr w14:val="tx1"/>
                        </w14:solidFill>
                      </w14:textFill>
                    </w:rPr>
                    <w:t>30.371</w:t>
                  </w:r>
                </w:p>
              </w:tc>
              <w:tc>
                <w:tcPr>
                  <w:tcW w:w="766" w:type="dxa"/>
                  <w:vMerge w:val="restart"/>
                  <w:vAlign w:val="center"/>
                </w:tcPr>
                <w:p w14:paraId="73D788A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1h</w:t>
                  </w:r>
                </w:p>
              </w:tc>
              <w:tc>
                <w:tcPr>
                  <w:tcW w:w="823" w:type="dxa"/>
                  <w:vMerge w:val="restart"/>
                  <w:vAlign w:val="center"/>
                </w:tcPr>
                <w:p w14:paraId="3D7DF06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1次/年</w:t>
                  </w:r>
                </w:p>
              </w:tc>
            </w:tr>
            <w:tr w14:paraId="64210E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restart"/>
                  <w:shd w:val="clear" w:color="auto" w:fill="auto"/>
                  <w:vAlign w:val="center"/>
                </w:tcPr>
                <w:p w14:paraId="1BBF8BB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DA00</w:t>
                  </w:r>
                  <w:r>
                    <w:rPr>
                      <w:rFonts w:hint="eastAsia" w:ascii="Times New Roman" w:hAnsi="Times New Roman" w:cs="Times New Roman"/>
                      <w:color w:val="auto"/>
                      <w:highlight w:val="none"/>
                      <w:lang w:val="en-US" w:eastAsia="zh-CN"/>
                    </w:rPr>
                    <w:t>2</w:t>
                  </w:r>
                </w:p>
              </w:tc>
              <w:tc>
                <w:tcPr>
                  <w:tcW w:w="960" w:type="dxa"/>
                  <w:shd w:val="clear" w:color="auto" w:fill="auto"/>
                  <w:vAlign w:val="center"/>
                </w:tcPr>
                <w:p w14:paraId="792EB0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p>
              </w:tc>
              <w:tc>
                <w:tcPr>
                  <w:tcW w:w="1421" w:type="dxa"/>
                  <w:shd w:val="clear" w:color="auto" w:fill="auto"/>
                  <w:vAlign w:val="center"/>
                </w:tcPr>
                <w:p w14:paraId="1E47F0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color w:val="auto"/>
                      <w:szCs w:val="21"/>
                    </w:rPr>
                    <w:t>非甲烷总烃</w:t>
                  </w:r>
                </w:p>
              </w:tc>
              <w:tc>
                <w:tcPr>
                  <w:tcW w:w="1000" w:type="dxa"/>
                  <w:vMerge w:val="restart"/>
                  <w:vAlign w:val="center"/>
                </w:tcPr>
                <w:p w14:paraId="2A8FDB12">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000000" w:themeColor="text1"/>
                      <w:szCs w:val="21"/>
                      <w14:textFill>
                        <w14:solidFill>
                          <w14:schemeClr w14:val="tx1"/>
                        </w14:solidFill>
                      </w14:textFill>
                    </w:rPr>
                    <w:t>过滤棉、活性炭未及时更换或风机故障</w:t>
                  </w:r>
                </w:p>
              </w:tc>
              <w:tc>
                <w:tcPr>
                  <w:tcW w:w="782" w:type="dxa"/>
                  <w:vAlign w:val="center"/>
                </w:tcPr>
                <w:p w14:paraId="6123C490">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926" w:type="dxa"/>
                  <w:shd w:val="clear" w:color="auto" w:fill="auto"/>
                  <w:vAlign w:val="center"/>
                </w:tcPr>
                <w:p w14:paraId="175AE3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0.052</w:t>
                  </w:r>
                </w:p>
              </w:tc>
              <w:tc>
                <w:tcPr>
                  <w:tcW w:w="966" w:type="dxa"/>
                  <w:shd w:val="clear" w:color="auto" w:fill="auto"/>
                  <w:vAlign w:val="center"/>
                </w:tcPr>
                <w:p w14:paraId="7A585F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1.563</w:t>
                  </w:r>
                </w:p>
              </w:tc>
              <w:tc>
                <w:tcPr>
                  <w:tcW w:w="766" w:type="dxa"/>
                  <w:vMerge w:val="continue"/>
                  <w:vAlign w:val="center"/>
                </w:tcPr>
                <w:p w14:paraId="77A42BB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823" w:type="dxa"/>
                  <w:vMerge w:val="continue"/>
                  <w:vAlign w:val="center"/>
                </w:tcPr>
                <w:p w14:paraId="75C33E6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6246E1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78751DB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960" w:type="dxa"/>
                  <w:vMerge w:val="restart"/>
                  <w:shd w:val="clear" w:color="auto" w:fill="auto"/>
                  <w:vAlign w:val="center"/>
                </w:tcPr>
                <w:p w14:paraId="07606A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p>
              </w:tc>
              <w:tc>
                <w:tcPr>
                  <w:tcW w:w="1421" w:type="dxa"/>
                  <w:shd w:val="clear" w:color="auto" w:fill="auto"/>
                  <w:vAlign w:val="center"/>
                </w:tcPr>
                <w:p w14:paraId="0D3A38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color w:val="auto"/>
                      <w:kern w:val="0"/>
                      <w:szCs w:val="21"/>
                      <w:lang w:bidi="ar"/>
                    </w:rPr>
                    <w:t>颗粒物</w:t>
                  </w:r>
                </w:p>
              </w:tc>
              <w:tc>
                <w:tcPr>
                  <w:tcW w:w="1000" w:type="dxa"/>
                  <w:vMerge w:val="continue"/>
                  <w:vAlign w:val="center"/>
                </w:tcPr>
                <w:p w14:paraId="103B3C53">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szCs w:val="21"/>
                      <w:highlight w:val="none"/>
                    </w:rPr>
                  </w:pPr>
                </w:p>
              </w:tc>
              <w:tc>
                <w:tcPr>
                  <w:tcW w:w="782" w:type="dxa"/>
                  <w:vAlign w:val="center"/>
                </w:tcPr>
                <w:p w14:paraId="73BE9A6D">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926" w:type="dxa"/>
                  <w:shd w:val="clear" w:color="auto" w:fill="auto"/>
                  <w:vAlign w:val="center"/>
                </w:tcPr>
                <w:p w14:paraId="2147C1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0.006</w:t>
                  </w:r>
                </w:p>
              </w:tc>
              <w:tc>
                <w:tcPr>
                  <w:tcW w:w="966" w:type="dxa"/>
                  <w:shd w:val="clear" w:color="auto" w:fill="auto"/>
                  <w:vAlign w:val="center"/>
                </w:tcPr>
                <w:p w14:paraId="4E6262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0.183</w:t>
                  </w:r>
                </w:p>
              </w:tc>
              <w:tc>
                <w:tcPr>
                  <w:tcW w:w="766" w:type="dxa"/>
                  <w:vMerge w:val="continue"/>
                  <w:vAlign w:val="center"/>
                </w:tcPr>
                <w:p w14:paraId="5F180BE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823" w:type="dxa"/>
                  <w:vMerge w:val="continue"/>
                  <w:vAlign w:val="center"/>
                </w:tcPr>
                <w:p w14:paraId="6BAA35C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494A24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026116B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960" w:type="dxa"/>
                  <w:vMerge w:val="continue"/>
                  <w:shd w:val="clear" w:color="auto" w:fill="auto"/>
                  <w:vAlign w:val="center"/>
                </w:tcPr>
                <w:p w14:paraId="084E356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421" w:type="dxa"/>
                  <w:shd w:val="clear" w:color="auto" w:fill="auto"/>
                  <w:vAlign w:val="center"/>
                </w:tcPr>
                <w:p w14:paraId="37E8CE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SO</w:t>
                  </w:r>
                  <w:r>
                    <w:rPr>
                      <w:rFonts w:hint="default"/>
                      <w:color w:val="auto"/>
                      <w:szCs w:val="21"/>
                      <w:vertAlign w:val="subscript"/>
                    </w:rPr>
                    <w:t>2</w:t>
                  </w:r>
                </w:p>
              </w:tc>
              <w:tc>
                <w:tcPr>
                  <w:tcW w:w="1000" w:type="dxa"/>
                  <w:vMerge w:val="continue"/>
                  <w:vAlign w:val="center"/>
                </w:tcPr>
                <w:p w14:paraId="5174346E">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szCs w:val="21"/>
                      <w:highlight w:val="none"/>
                    </w:rPr>
                  </w:pPr>
                </w:p>
              </w:tc>
              <w:tc>
                <w:tcPr>
                  <w:tcW w:w="782" w:type="dxa"/>
                  <w:vAlign w:val="center"/>
                </w:tcPr>
                <w:p w14:paraId="6E1BCBF1">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926" w:type="dxa"/>
                  <w:shd w:val="clear" w:color="auto" w:fill="auto"/>
                  <w:vAlign w:val="center"/>
                </w:tcPr>
                <w:p w14:paraId="3A16926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0.004</w:t>
                  </w:r>
                </w:p>
              </w:tc>
              <w:tc>
                <w:tcPr>
                  <w:tcW w:w="966" w:type="dxa"/>
                  <w:shd w:val="clear" w:color="auto" w:fill="auto"/>
                  <w:vAlign w:val="center"/>
                </w:tcPr>
                <w:p w14:paraId="2BFE3C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0.13</w:t>
                  </w:r>
                </w:p>
              </w:tc>
              <w:tc>
                <w:tcPr>
                  <w:tcW w:w="766" w:type="dxa"/>
                  <w:vMerge w:val="continue"/>
                  <w:vAlign w:val="center"/>
                </w:tcPr>
                <w:p w14:paraId="32D5713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823" w:type="dxa"/>
                  <w:vMerge w:val="continue"/>
                  <w:vAlign w:val="center"/>
                </w:tcPr>
                <w:p w14:paraId="544F714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1461B7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097E4A2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highlight w:val="none"/>
                    </w:rPr>
                  </w:pPr>
                </w:p>
              </w:tc>
              <w:tc>
                <w:tcPr>
                  <w:tcW w:w="960" w:type="dxa"/>
                  <w:vMerge w:val="continue"/>
                  <w:shd w:val="clear" w:color="auto" w:fill="auto"/>
                  <w:vAlign w:val="center"/>
                </w:tcPr>
                <w:p w14:paraId="2FDBCBFC">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18"/>
                      <w:highlight w:val="none"/>
                    </w:rPr>
                  </w:pPr>
                </w:p>
              </w:tc>
              <w:tc>
                <w:tcPr>
                  <w:tcW w:w="1421" w:type="dxa"/>
                  <w:shd w:val="clear" w:color="auto" w:fill="auto"/>
                  <w:vAlign w:val="center"/>
                </w:tcPr>
                <w:p w14:paraId="05EE7B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NOx</w:t>
                  </w:r>
                </w:p>
              </w:tc>
              <w:tc>
                <w:tcPr>
                  <w:tcW w:w="1000" w:type="dxa"/>
                  <w:vMerge w:val="continue"/>
                  <w:vAlign w:val="center"/>
                </w:tcPr>
                <w:p w14:paraId="1C8253D0">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p>
              </w:tc>
              <w:tc>
                <w:tcPr>
                  <w:tcW w:w="782" w:type="dxa"/>
                  <w:vAlign w:val="center"/>
                </w:tcPr>
                <w:p w14:paraId="20A4E305">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926" w:type="dxa"/>
                  <w:shd w:val="clear" w:color="auto" w:fill="auto"/>
                  <w:vAlign w:val="center"/>
                </w:tcPr>
                <w:p w14:paraId="0C819F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0.04</w:t>
                  </w:r>
                </w:p>
              </w:tc>
              <w:tc>
                <w:tcPr>
                  <w:tcW w:w="966" w:type="dxa"/>
                  <w:shd w:val="clear" w:color="auto" w:fill="auto"/>
                  <w:vAlign w:val="center"/>
                </w:tcPr>
                <w:p w14:paraId="4F64CD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1.196</w:t>
                  </w:r>
                </w:p>
              </w:tc>
              <w:tc>
                <w:tcPr>
                  <w:tcW w:w="766" w:type="dxa"/>
                  <w:vMerge w:val="continue"/>
                  <w:vAlign w:val="center"/>
                </w:tcPr>
                <w:p w14:paraId="5FD7F9B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823" w:type="dxa"/>
                  <w:vMerge w:val="continue"/>
                  <w:vAlign w:val="center"/>
                </w:tcPr>
                <w:p w14:paraId="72996C2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0FEC8C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restart"/>
                  <w:shd w:val="clear" w:color="auto" w:fill="auto"/>
                  <w:vAlign w:val="center"/>
                </w:tcPr>
                <w:p w14:paraId="108EFE0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DA00</w:t>
                  </w:r>
                  <w:r>
                    <w:rPr>
                      <w:rFonts w:hint="eastAsia" w:ascii="Times New Roman" w:hAnsi="Times New Roman" w:cs="Times New Roman"/>
                      <w:color w:val="auto"/>
                      <w:highlight w:val="none"/>
                      <w:lang w:val="en-US" w:eastAsia="zh-CN"/>
                    </w:rPr>
                    <w:t>3</w:t>
                  </w:r>
                </w:p>
              </w:tc>
              <w:tc>
                <w:tcPr>
                  <w:tcW w:w="960" w:type="dxa"/>
                  <w:vMerge w:val="restart"/>
                  <w:shd w:val="clear" w:color="auto" w:fill="auto"/>
                  <w:vAlign w:val="center"/>
                </w:tcPr>
                <w:p w14:paraId="583C12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p>
              </w:tc>
              <w:tc>
                <w:tcPr>
                  <w:tcW w:w="1421" w:type="dxa"/>
                  <w:shd w:val="clear" w:color="auto" w:fill="auto"/>
                  <w:vAlign w:val="center"/>
                </w:tcPr>
                <w:p w14:paraId="5DFAD0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非甲烷总烃</w:t>
                  </w:r>
                </w:p>
              </w:tc>
              <w:tc>
                <w:tcPr>
                  <w:tcW w:w="1000" w:type="dxa"/>
                  <w:vMerge w:val="restart"/>
                  <w:vAlign w:val="center"/>
                </w:tcPr>
                <w:p w14:paraId="133D70FA">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000000" w:themeColor="text1"/>
                      <w:szCs w:val="21"/>
                      <w14:textFill>
                        <w14:solidFill>
                          <w14:schemeClr w14:val="tx1"/>
                        </w14:solidFill>
                      </w14:textFill>
                    </w:rPr>
                    <w:t>过滤棉、活性炭未及时更换或风机故障</w:t>
                  </w:r>
                </w:p>
              </w:tc>
              <w:tc>
                <w:tcPr>
                  <w:tcW w:w="782" w:type="dxa"/>
                  <w:vAlign w:val="center"/>
                </w:tcPr>
                <w:p w14:paraId="049733F9">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926" w:type="dxa"/>
                  <w:shd w:val="clear" w:color="auto" w:fill="auto"/>
                  <w:vAlign w:val="center"/>
                </w:tcPr>
                <w:p w14:paraId="085DAB1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000000" w:themeColor="text1"/>
                      <w:szCs w:val="21"/>
                      <w:lang w:val="en-US" w:eastAsia="zh-CN"/>
                      <w14:textFill>
                        <w14:solidFill>
                          <w14:schemeClr w14:val="tx1"/>
                        </w14:solidFill>
                      </w14:textFill>
                    </w:rPr>
                    <w:t>0.048</w:t>
                  </w:r>
                </w:p>
              </w:tc>
              <w:tc>
                <w:tcPr>
                  <w:tcW w:w="966" w:type="dxa"/>
                  <w:shd w:val="clear" w:color="auto" w:fill="auto"/>
                  <w:vAlign w:val="center"/>
                </w:tcPr>
                <w:p w14:paraId="3806EF8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000000" w:themeColor="text1"/>
                      <w:szCs w:val="21"/>
                      <w:lang w:val="en-US" w:eastAsia="zh-CN"/>
                      <w14:textFill>
                        <w14:solidFill>
                          <w14:schemeClr w14:val="tx1"/>
                        </w14:solidFill>
                      </w14:textFill>
                    </w:rPr>
                    <w:t>3.988</w:t>
                  </w:r>
                </w:p>
              </w:tc>
              <w:tc>
                <w:tcPr>
                  <w:tcW w:w="766" w:type="dxa"/>
                  <w:vMerge w:val="continue"/>
                  <w:vAlign w:val="center"/>
                </w:tcPr>
                <w:p w14:paraId="3D9FA47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823" w:type="dxa"/>
                  <w:vMerge w:val="continue"/>
                  <w:vAlign w:val="center"/>
                </w:tcPr>
                <w:p w14:paraId="0E4BA38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2783424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66E537B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p>
              </w:tc>
              <w:tc>
                <w:tcPr>
                  <w:tcW w:w="960" w:type="dxa"/>
                  <w:vMerge w:val="continue"/>
                  <w:shd w:val="clear" w:color="auto" w:fill="auto"/>
                  <w:vAlign w:val="center"/>
                </w:tcPr>
                <w:p w14:paraId="29FAC18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Cs w:val="21"/>
                      <w:highlight w:val="none"/>
                      <w:lang w:val="en-US" w:eastAsia="zh-CN" w:bidi="ar"/>
                    </w:rPr>
                  </w:pPr>
                </w:p>
              </w:tc>
              <w:tc>
                <w:tcPr>
                  <w:tcW w:w="1421" w:type="dxa"/>
                  <w:shd w:val="clear" w:color="auto" w:fill="auto"/>
                  <w:vAlign w:val="center"/>
                </w:tcPr>
                <w:p w14:paraId="774550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color w:val="auto"/>
                      <w:kern w:val="0"/>
                      <w:szCs w:val="21"/>
                      <w:lang w:bidi="ar"/>
                    </w:rPr>
                    <w:t>颗粒物</w:t>
                  </w:r>
                </w:p>
              </w:tc>
              <w:tc>
                <w:tcPr>
                  <w:tcW w:w="1000" w:type="dxa"/>
                  <w:vMerge w:val="continue"/>
                  <w:vAlign w:val="center"/>
                </w:tcPr>
                <w:p w14:paraId="58185B89">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p>
              </w:tc>
              <w:tc>
                <w:tcPr>
                  <w:tcW w:w="782" w:type="dxa"/>
                  <w:vAlign w:val="center"/>
                </w:tcPr>
                <w:p w14:paraId="2DD8517E">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926" w:type="dxa"/>
                  <w:shd w:val="clear" w:color="auto" w:fill="auto"/>
                  <w:vAlign w:val="center"/>
                </w:tcPr>
                <w:p w14:paraId="6C5C2A2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000000" w:themeColor="text1"/>
                      <w:szCs w:val="21"/>
                      <w:lang w:val="en-US" w:eastAsia="zh-CN"/>
                      <w14:textFill>
                        <w14:solidFill>
                          <w14:schemeClr w14:val="tx1"/>
                        </w14:solidFill>
                      </w14:textFill>
                    </w:rPr>
                    <w:t>0.309</w:t>
                  </w:r>
                </w:p>
              </w:tc>
              <w:tc>
                <w:tcPr>
                  <w:tcW w:w="966" w:type="dxa"/>
                  <w:shd w:val="clear" w:color="auto" w:fill="auto"/>
                  <w:vAlign w:val="center"/>
                </w:tcPr>
                <w:p w14:paraId="6C86C17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000000" w:themeColor="text1"/>
                      <w:szCs w:val="21"/>
                      <w:lang w:val="en-US" w:eastAsia="zh-CN"/>
                      <w14:textFill>
                        <w14:solidFill>
                          <w14:schemeClr w14:val="tx1"/>
                        </w14:solidFill>
                      </w14:textFill>
                    </w:rPr>
                    <w:t>25.731</w:t>
                  </w:r>
                </w:p>
              </w:tc>
              <w:tc>
                <w:tcPr>
                  <w:tcW w:w="766" w:type="dxa"/>
                  <w:vMerge w:val="continue"/>
                  <w:vAlign w:val="center"/>
                </w:tcPr>
                <w:p w14:paraId="2D27AC1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823" w:type="dxa"/>
                  <w:vMerge w:val="continue"/>
                  <w:vAlign w:val="center"/>
                </w:tcPr>
                <w:p w14:paraId="1B38954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3A88A9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687" w:type="dxa"/>
                  <w:shd w:val="clear" w:color="auto" w:fill="auto"/>
                  <w:vAlign w:val="center"/>
                </w:tcPr>
                <w:p w14:paraId="5D4FAD6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highlight w:val="none"/>
                    </w:rPr>
                    <w:t>DA00</w:t>
                  </w:r>
                  <w:r>
                    <w:rPr>
                      <w:rFonts w:hint="eastAsia" w:ascii="Times New Roman" w:hAnsi="Times New Roman" w:cs="Times New Roman"/>
                      <w:color w:val="auto"/>
                      <w:highlight w:val="none"/>
                      <w:lang w:val="en-US" w:eastAsia="zh-CN"/>
                    </w:rPr>
                    <w:t>4</w:t>
                  </w:r>
                </w:p>
              </w:tc>
              <w:tc>
                <w:tcPr>
                  <w:tcW w:w="824" w:type="dxa"/>
                  <w:shd w:val="clear" w:color="auto" w:fill="auto"/>
                  <w:vAlign w:val="center"/>
                </w:tcPr>
                <w:p w14:paraId="5CE7F0C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highlight w:val="none"/>
                      <w:lang w:val="en-US" w:eastAsia="zh-CN" w:bidi="ar"/>
                    </w:rPr>
                  </w:pPr>
                  <w:r>
                    <w:rPr>
                      <w:rFonts w:hint="eastAsia" w:cs="Times New Roman"/>
                      <w:color w:val="auto"/>
                      <w:kern w:val="0"/>
                      <w:szCs w:val="21"/>
                      <w:highlight w:val="none"/>
                      <w:lang w:val="en-US" w:eastAsia="zh-CN" w:bidi="ar"/>
                    </w:rPr>
                    <w:t>喷粉</w:t>
                  </w:r>
                </w:p>
              </w:tc>
              <w:tc>
                <w:tcPr>
                  <w:tcW w:w="1164" w:type="dxa"/>
                  <w:shd w:val="clear" w:color="auto" w:fill="auto"/>
                  <w:vAlign w:val="center"/>
                </w:tcPr>
                <w:p w14:paraId="47383AF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1992" w:type="dxa"/>
                </w:tcPr>
                <w:p w14:paraId="6E21596D">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000000" w:themeColor="text1"/>
                      <w:kern w:val="0"/>
                      <w:szCs w:val="21"/>
                      <w14:textFill>
                        <w14:solidFill>
                          <w14:schemeClr w14:val="tx1"/>
                        </w14:solidFill>
                      </w14:textFill>
                    </w:rPr>
                    <w:t>滤筒、布带穿孔或风机故障</w:t>
                  </w:r>
                </w:p>
              </w:tc>
              <w:tc>
                <w:tcPr>
                  <w:tcW w:w="656" w:type="dxa"/>
                  <w:vAlign w:val="center"/>
                </w:tcPr>
                <w:p w14:paraId="42352F15">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w:t>
                  </w:r>
                </w:p>
              </w:tc>
              <w:tc>
                <w:tcPr>
                  <w:tcW w:w="839" w:type="dxa"/>
                  <w:shd w:val="clear" w:color="auto" w:fill="auto"/>
                  <w:vAlign w:val="center"/>
                </w:tcPr>
                <w:p w14:paraId="66758EE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10.085</w:t>
                  </w:r>
                </w:p>
              </w:tc>
              <w:tc>
                <w:tcPr>
                  <w:tcW w:w="895" w:type="dxa"/>
                  <w:shd w:val="clear" w:color="auto" w:fill="auto"/>
                  <w:vAlign w:val="center"/>
                </w:tcPr>
                <w:p w14:paraId="4E4700F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916.797</w:t>
                  </w:r>
                </w:p>
              </w:tc>
              <w:tc>
                <w:tcPr>
                  <w:tcW w:w="766" w:type="dxa"/>
                  <w:vMerge w:val="continue"/>
                </w:tcPr>
                <w:p w14:paraId="1B352C2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c>
                <w:tcPr>
                  <w:tcW w:w="823" w:type="dxa"/>
                  <w:vMerge w:val="continue"/>
                </w:tcPr>
                <w:p w14:paraId="19B07F7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bl>
          <w:p w14:paraId="6B41EB26">
            <w:pPr>
              <w:keepNext w:val="0"/>
              <w:keepLines w:val="0"/>
              <w:suppressLineNumbers w:val="0"/>
              <w:tabs>
                <w:tab w:val="left" w:pos="1077"/>
              </w:tabs>
              <w:spacing w:before="0" w:beforeAutospacing="0" w:after="0" w:afterAutospacing="0" w:line="360" w:lineRule="auto"/>
              <w:ind w:left="0" w:right="0" w:firstLine="482" w:firstLineChars="200"/>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3、废气治理措施可行性分析</w:t>
            </w:r>
          </w:p>
          <w:p w14:paraId="1B719203">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（1）废气处理工艺流程</w:t>
            </w:r>
          </w:p>
          <w:p w14:paraId="3A915EC0">
            <w:pPr>
              <w:keepNext w:val="0"/>
              <w:keepLines w:val="0"/>
              <w:suppressLineNumbers w:val="0"/>
              <w:autoSpaceDE w:val="0"/>
              <w:spacing w:before="0" w:beforeAutospacing="0" w:after="0" w:afterAutospacing="0" w:line="360" w:lineRule="auto"/>
              <w:ind w:left="0" w:right="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object>
                <v:shape id="_x0000_i1031" o:spt="75" type="#_x0000_t75" style="height:158.55pt;width:419.5pt;" o:ole="t" filled="f" o:preferrelative="t" stroked="f" coordsize="21600,21600">
                  <v:path/>
                  <v:fill on="f" focussize="0,0"/>
                  <v:stroke on="f"/>
                  <v:imagedata r:id="rId25" o:title=""/>
                  <o:lock v:ext="edit" aspectratio="f"/>
                  <w10:wrap type="none"/>
                  <w10:anchorlock/>
                </v:shape>
                <o:OLEObject Type="Embed" ProgID="Visio.Drawing.11" ShapeID="_x0000_i1031" DrawAspect="Content" ObjectID="_1468075731" r:id="rId24">
                  <o:LockedField>false</o:LockedField>
                </o:OLEObject>
              </w:object>
            </w:r>
          </w:p>
          <w:p w14:paraId="0D9238C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4"/>
                <w:highlight w:val="none"/>
                <w:lang w:bidi="ar"/>
              </w:rPr>
            </w:pPr>
            <w:r>
              <w:rPr>
                <w:rFonts w:hint="default" w:ascii="Times New Roman" w:hAnsi="Times New Roman" w:cs="Times New Roman"/>
                <w:b/>
                <w:bCs/>
                <w:color w:val="auto"/>
                <w:sz w:val="24"/>
                <w:highlight w:val="none"/>
              </w:rPr>
              <w:t>图4-1 项目废气治理流程图</w:t>
            </w:r>
          </w:p>
          <w:p w14:paraId="63CE1228">
            <w:pPr>
              <w:pStyle w:val="1097"/>
              <w:keepNext w:val="0"/>
              <w:keepLines w:val="0"/>
              <w:widowControl/>
              <w:suppressLineNumbers w:val="0"/>
              <w:spacing w:before="0" w:beforeAutospacing="0" w:after="0" w:afterAutospacing="0"/>
              <w:ind w:left="0" w:right="0" w:firstLine="480"/>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（2）项目废气治理措施可行性分析</w:t>
            </w:r>
          </w:p>
          <w:p w14:paraId="764B8B2B">
            <w:pPr>
              <w:keepNext w:val="0"/>
              <w:keepLines w:val="0"/>
              <w:suppressLineNumbers w:val="0"/>
              <w:tabs>
                <w:tab w:val="left" w:pos="6987"/>
              </w:tabs>
              <w:spacing w:before="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bCs/>
                <w:color w:val="auto"/>
                <w:sz w:val="24"/>
                <w:highlight w:val="none"/>
              </w:rPr>
              <w:t>①</w:t>
            </w:r>
            <w:r>
              <w:rPr>
                <w:rFonts w:hint="default" w:ascii="Times New Roman" w:hAnsi="Times New Roman" w:cs="Times New Roman"/>
                <w:b/>
                <w:color w:val="000000" w:themeColor="text1"/>
                <w:sz w:val="24"/>
                <w14:textFill>
                  <w14:solidFill>
                    <w14:schemeClr w14:val="tx1"/>
                  </w14:solidFill>
                </w14:textFill>
              </w:rPr>
              <w:t>粉尘治理措施</w:t>
            </w:r>
          </w:p>
          <w:p w14:paraId="4B26E6A2">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脉冲布袋除尘器：</w:t>
            </w:r>
            <w:r>
              <w:rPr>
                <w:rFonts w:hint="default" w:ascii="Times New Roman" w:hAnsi="Times New Roman" w:cs="Times New Roman"/>
                <w:color w:val="000000" w:themeColor="text1"/>
                <w:sz w:val="24"/>
                <w14:textFill>
                  <w14:solidFill>
                    <w14:schemeClr w14:val="tx1"/>
                  </w14:solidFill>
                </w14:textFill>
              </w:rPr>
              <w:t>由灰斗、上箱体、中箱体、下箱体等部分组成，上、中、下箱体为分室结构。工作时，含尘气体由进风道进入灰斗，粗尘粒直接落入灰斗底部，细尘粒随气流转折向上进入中、下箱体，粉尘积附在滤袋外表面，过滤后的气体进入上箱体至净气集合管-排风道，经排风机排至大气。 清灰过程是先切断该室的净气出口风道，使该室的布袋处于无气流通过的状态(分室停风清灰)。然后开启脉冲阀用压缩空气进行脉冲喷吹清灰，切断阀关闭时间足以保证在喷吹后从滤袋上剥离的粉尘沉降至灰斗，避免了粉尘在脱离滤袋表面后又随气流附集到相邻滤袋表面的现象，使滤袋清灰彻底，并由可编程序控制仪对排气阀、脉冲阀及卸灰阀等进行</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"https://baike.baidu.com/item/%E5%85%A8%E8%87%AA%E5%8A%A8%E6%8E%A7%E5%88%B6/3757975?fromModule=lemma_inlink" \t "https://baike.baidu.com/item/%E8%84%89%E5%86%B2%E5%B8%83%E8%A2%8B%E9%99%A4%E5%B0%98%E5%99%A8/_blank"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全自动控制</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p>
          <w:p w14:paraId="2E6AB1FD">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滤筒</w:t>
            </w:r>
            <w:r>
              <w:rPr>
                <w:rFonts w:hint="default" w:ascii="Times New Roman" w:hAnsi="Times New Roman" w:cs="Times New Roman"/>
                <w:b/>
                <w:bCs/>
                <w:color w:val="000000" w:themeColor="text1"/>
                <w:sz w:val="24"/>
                <w14:textFill>
                  <w14:solidFill>
                    <w14:schemeClr w14:val="tx1"/>
                  </w14:solidFill>
                </w14:textFill>
              </w:rPr>
              <w:t>除尘器</w:t>
            </w:r>
            <w:r>
              <w:rPr>
                <w:rFonts w:hint="default" w:ascii="Times New Roman" w:hAnsi="Times New Roman" w:cs="Times New Roman"/>
                <w:b/>
                <w:bCs/>
                <w:color w:val="000000" w:themeColor="text1"/>
                <w:kern w:val="0"/>
                <w:sz w:val="24"/>
                <w:lang w:bidi="ar"/>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以</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"https://baike.baidu.com/item/%E6%BB%A4%E7%AD%92/1593301?fromModule=lemma_inlink" \t "https://baike.baidu.com/item/%E6%BB%A4%E7%AD%92%E9%99%A4%E5%B0%98%E5%99%A8/_blank"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滤筒</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作为过滤元件所组成或采用脉冲喷吹的除尘器。含尘气体进入除尘器灰斗后，由于气流断面突然扩大及气流分布板作用，气流中一部分粗大颗粒在动和惯性力作用下沉降在灰斗；粒度细、密度小的尘粒进入滤尘室后，通过布朗扩散和筛滤等组合效应，使粉尘沉积在滤料表面上，净化后的气体进入净气室由排气管经风机排出。</w:t>
            </w:r>
          </w:p>
          <w:p w14:paraId="1219BC14">
            <w:pPr>
              <w:keepNext w:val="0"/>
              <w:keepLines w:val="0"/>
              <w:suppressLineNumbers w:val="0"/>
              <w:adjustRightInd w:val="0"/>
              <w:spacing w:before="0" w:beforeAutospacing="0" w:after="0" w:afterAutospacing="0" w:line="360" w:lineRule="auto"/>
              <w:ind w:left="0" w:right="0" w:firstLine="482" w:firstLineChars="200"/>
              <w:jc w:val="left"/>
              <w:textAlignment w:val="baseline"/>
              <w:rPr>
                <w:rFonts w:hint="default"/>
                <w:color w:val="auto"/>
                <w:kern w:val="0"/>
                <w:sz w:val="24"/>
                <w:lang w:eastAsia="zh-TW"/>
              </w:rPr>
            </w:pPr>
            <w:r>
              <w:rPr>
                <w:rFonts w:hint="default"/>
                <w:b/>
                <w:bCs/>
                <w:color w:val="auto"/>
                <w:sz w:val="24"/>
              </w:rPr>
              <w:t>干式过滤器：</w:t>
            </w:r>
            <w:r>
              <w:rPr>
                <w:rFonts w:hint="default"/>
                <w:color w:val="auto"/>
                <w:kern w:val="0"/>
                <w:sz w:val="24"/>
                <w:lang w:eastAsia="zh-TW"/>
              </w:rPr>
              <w:t>为了防止废气中水分和粉尘颗粒物进入到吸附净化装置系统，在活性炭吸附床前设置干式除尘过滤器；其采用过滤净化、效率高、无二次污染的玻璃纤维阻燃过滤材料净化杂质，这种干式过滤材料是专门开发出来的适用空气净化特点的材料，由多层玻璃纤维复合而成，密度随着厚度逐渐增大。过滤时多层纤维对微小粒子起拦截、碰撞、扩散、吸收等作用，废气通过时将尘粒容纳在材料中。</w:t>
            </w:r>
          </w:p>
          <w:p w14:paraId="0050F4DB">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color w:val="auto"/>
                <w:kern w:val="0"/>
                <w:sz w:val="24"/>
                <w:lang w:eastAsia="zh-TW"/>
              </w:rPr>
            </w:pPr>
            <w:r>
              <w:rPr>
                <w:rFonts w:hint="default"/>
                <w:color w:val="auto"/>
                <w:kern w:val="0"/>
                <w:sz w:val="24"/>
              </w:rPr>
              <w:t>（1）</w:t>
            </w:r>
            <w:r>
              <w:rPr>
                <w:rFonts w:hint="default"/>
                <w:color w:val="auto"/>
                <w:kern w:val="0"/>
                <w:sz w:val="24"/>
                <w:lang w:eastAsia="zh-TW"/>
              </w:rPr>
              <w:t>采用专用过滤材料，具有净化效率高、杂质容量大、阻燃、过滤阻力低、使用寿命长、维护简单、无二次污染等特点，吸满尘粒的材料简单清理后(如拍打或吸尘)即可以多次回用。</w:t>
            </w:r>
          </w:p>
          <w:p w14:paraId="3CCE21C4">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color w:val="auto"/>
                <w:kern w:val="0"/>
                <w:sz w:val="24"/>
                <w:lang w:eastAsia="zh-TW"/>
              </w:rPr>
            </w:pPr>
            <w:r>
              <w:rPr>
                <w:rFonts w:hint="default"/>
                <w:color w:val="auto"/>
                <w:kern w:val="0"/>
                <w:sz w:val="24"/>
              </w:rPr>
              <w:t>（2）</w:t>
            </w:r>
            <w:r>
              <w:rPr>
                <w:rFonts w:hint="default"/>
                <w:color w:val="auto"/>
                <w:kern w:val="0"/>
                <w:sz w:val="24"/>
                <w:lang w:eastAsia="zh-TW"/>
              </w:rPr>
              <w:t>采用金属网制成框架，内夹过滤材料，过滤器安装在金属箱体内，定期更换。</w:t>
            </w:r>
          </w:p>
          <w:p w14:paraId="4AF23C7D">
            <w:pPr>
              <w:keepNext w:val="0"/>
              <w:keepLines w:val="0"/>
              <w:suppressLineNumbers w:val="0"/>
              <w:spacing w:before="0" w:beforeAutospacing="0" w:after="0" w:afterAutospacing="0" w:line="360" w:lineRule="auto"/>
              <w:ind w:left="0" w:right="0" w:firstLine="480" w:firstLineChars="200"/>
              <w:rPr>
                <w:rFonts w:hint="default"/>
                <w:color w:val="auto"/>
                <w:kern w:val="0"/>
                <w:sz w:val="24"/>
                <w:lang w:eastAsia="zh-TW"/>
              </w:rPr>
            </w:pPr>
            <w:r>
              <w:rPr>
                <w:rFonts w:hint="default"/>
                <w:color w:val="auto"/>
                <w:kern w:val="0"/>
                <w:sz w:val="24"/>
              </w:rPr>
              <w:t>（3）</w:t>
            </w:r>
            <w:r>
              <w:rPr>
                <w:rFonts w:hint="default"/>
                <w:color w:val="auto"/>
                <w:kern w:val="0"/>
                <w:sz w:val="24"/>
                <w:lang w:eastAsia="zh-TW"/>
              </w:rPr>
              <w:t>过滤材料采用合成纤维无纺布和铝复合物制成褶皱状，具有通风量大、阻力小、容尘量大等特点。</w:t>
            </w:r>
          </w:p>
          <w:p w14:paraId="53DE96D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color w:val="auto"/>
                <w:sz w:val="24"/>
              </w:rPr>
              <w:t>项目采用人工补漆工序采取水帘柜除漆雾，废气再经过滤棉过滤，将废气湿度降低至允许进入废气处理设备的范围，同时对废气中的粉尘进行过滤。经处理后的漆雾颗粒物排放浓度和排放速率可以满足相关标准限值，经除湿后对VOCs的后续治理不产生影响，措施可行。</w:t>
            </w:r>
          </w:p>
          <w:p w14:paraId="76EB3DD6">
            <w:pPr>
              <w:keepNext w:val="0"/>
              <w:keepLines w:val="0"/>
              <w:suppressLineNumbers w:val="0"/>
              <w:tabs>
                <w:tab w:val="left" w:pos="6987"/>
              </w:tabs>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000000" w:themeColor="text1"/>
                <w:kern w:val="0"/>
                <w:sz w:val="24"/>
                <w:lang w:bidi="ar"/>
                <w14:textFill>
                  <w14:solidFill>
                    <w14:schemeClr w14:val="tx1"/>
                  </w14:solidFill>
                </w14:textFill>
              </w:rPr>
              <w:t>②</w:t>
            </w:r>
            <w:r>
              <w:rPr>
                <w:rFonts w:hint="default" w:ascii="Times New Roman" w:hAnsi="Times New Roman" w:cs="Times New Roman"/>
                <w:b/>
                <w:bCs/>
                <w:color w:val="auto"/>
                <w:sz w:val="24"/>
                <w:highlight w:val="none"/>
              </w:rPr>
              <w:t>有机废气治理</w:t>
            </w:r>
          </w:p>
          <w:p w14:paraId="280B032C">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二级活性炭吸附净化原理如下：</w:t>
            </w:r>
          </w:p>
          <w:p w14:paraId="5BFB287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活性炭吸附法是以活性炭作为吸附剂，把废气中有机物溶剂的蒸汽吸附到固相表面，从而达到净化废气的方法。活性炭是一种具有非极性表面、疏水性、亲有机物的吸附剂。活性炭是由各种含碳物质（如木材、泥煤、果核、椰壳等原料）在高温下炭化后，再用水蒸气或化学药品（如氯化锌、氯化锰、氯化钙和磷酸等）进行活化处理，然后制成的孔隙十分丰富的吸附剂，其孔径平均为（10～40）×10</w:t>
            </w:r>
            <w:r>
              <w:rPr>
                <w:rFonts w:hint="default" w:ascii="Times New Roman" w:hAnsi="Times New Roman" w:cs="Times New Roman"/>
                <w:color w:val="000000" w:themeColor="text1"/>
                <w:kern w:val="0"/>
                <w:sz w:val="24"/>
                <w:vertAlign w:val="superscript"/>
                <w:lang w:bidi="ar"/>
                <w14:textFill>
                  <w14:solidFill>
                    <w14:schemeClr w14:val="tx1"/>
                  </w14:solidFill>
                </w14:textFill>
              </w:rPr>
              <w:t>-8</w:t>
            </w:r>
            <w:r>
              <w:rPr>
                <w:rFonts w:hint="default" w:ascii="Times New Roman" w:hAnsi="Times New Roman" w:cs="Times New Roman"/>
                <w:color w:val="000000" w:themeColor="text1"/>
                <w:kern w:val="0"/>
                <w:sz w:val="24"/>
                <w:lang w:bidi="ar"/>
                <w14:textFill>
                  <w14:solidFill>
                    <w14:schemeClr w14:val="tx1"/>
                  </w14:solidFill>
                </w14:textFill>
              </w:rPr>
              <w:t>cm，比表面积一般在600～1500m</w:t>
            </w:r>
            <w:r>
              <w:rPr>
                <w:rFonts w:hint="default" w:ascii="Times New Roman" w:hAnsi="Times New Roman" w:cs="Times New Roman"/>
                <w:color w:val="000000" w:themeColor="text1"/>
                <w:kern w:val="0"/>
                <w:sz w:val="24"/>
                <w:vertAlign w:val="superscript"/>
                <w:lang w:bidi="ar"/>
                <w14:textFill>
                  <w14:solidFill>
                    <w14:schemeClr w14:val="tx1"/>
                  </w14:solidFill>
                </w14:textFill>
              </w:rPr>
              <w:t>2</w:t>
            </w:r>
            <w:r>
              <w:rPr>
                <w:rFonts w:hint="default" w:ascii="Times New Roman" w:hAnsi="Times New Roman" w:cs="Times New Roman"/>
                <w:color w:val="000000" w:themeColor="text1"/>
                <w:kern w:val="0"/>
                <w:sz w:val="24"/>
                <w:lang w:bidi="ar"/>
                <w14:textFill>
                  <w14:solidFill>
                    <w14:schemeClr w14:val="tx1"/>
                  </w14:solidFill>
                </w14:textFill>
              </w:rPr>
              <w:t>/g范围内，具有优良的吸附能力。</w:t>
            </w:r>
          </w:p>
          <w:p w14:paraId="4D4B2AD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废气通过活性炭吸附层时，大部分的吸附质被吸附在吸附层内，随着吸附时间的延续，活性炭的吸附能力将下降，其有效部分将越来越薄，当活性炭全部达到饱和时，活性炭被穿透。为确保装置处理效率，需定期对活性炭进行更替。</w:t>
            </w:r>
          </w:p>
          <w:p w14:paraId="57B6CE3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 xml:space="preserve">根据《吸附法工业有机废气治理工程技术规范》（HJ2026-2013）中“6.3.3.3 </w:t>
            </w:r>
          </w:p>
          <w:p w14:paraId="1B11436F">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 xml:space="preserve">固床吸附装置吸附层的气体流速应根据吸附剂的形态确定。采用颗粒状吸附剂时，气体流速宜低于0.60m/s；采用纤维状吸附剂（活性炭纤维毡）时，气体流速 </w:t>
            </w:r>
          </w:p>
          <w:p w14:paraId="0054C90D">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宜低</w:t>
            </w:r>
            <w:r>
              <w:rPr>
                <w:rFonts w:hint="default" w:ascii="Times New Roman" w:hAnsi="Times New Roman" w:eastAsia="宋体" w:cs="Times New Roman"/>
                <w:color w:val="000000" w:themeColor="text1"/>
                <w:kern w:val="0"/>
                <w:sz w:val="24"/>
                <w:lang w:bidi="ar"/>
                <w14:textFill>
                  <w14:solidFill>
                    <w14:schemeClr w14:val="tx1"/>
                  </w14:solidFill>
                </w14:textFill>
              </w:rPr>
              <w:t>于0.</w:t>
            </w:r>
            <w:r>
              <w:rPr>
                <w:rFonts w:hint="default" w:ascii="Times New Roman" w:hAnsi="Times New Roman" w:eastAsia="宋体" w:cs="Times New Roman"/>
                <w:color w:val="000000" w:themeColor="text1"/>
                <w:kern w:val="0"/>
                <w:sz w:val="24"/>
                <w:lang w:eastAsia="zh-CN" w:bidi="ar"/>
                <w14:textFill>
                  <w14:solidFill>
                    <w14:schemeClr w14:val="tx1"/>
                  </w14:solidFill>
                </w14:textFill>
              </w:rPr>
              <w:t>1</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8</w:t>
            </w:r>
            <w:r>
              <w:rPr>
                <w:rFonts w:hint="default" w:ascii="Times New Roman" w:hAnsi="Times New Roman" w:eastAsia="宋体" w:cs="Times New Roman"/>
                <w:color w:val="000000" w:themeColor="text1"/>
                <w:kern w:val="0"/>
                <w:sz w:val="24"/>
                <w:lang w:eastAsia="zh-CN" w:bidi="ar"/>
                <w14:textFill>
                  <w14:solidFill>
                    <w14:schemeClr w14:val="tx1"/>
                  </w14:solidFill>
                </w14:textFill>
              </w:rPr>
              <w:t>m</w:t>
            </w:r>
            <w:r>
              <w:rPr>
                <w:rFonts w:hint="default" w:ascii="Times New Roman" w:hAnsi="Times New Roman" w:eastAsia="宋体" w:cs="Times New Roman"/>
                <w:color w:val="000000" w:themeColor="text1"/>
                <w:kern w:val="0"/>
                <w:sz w:val="24"/>
                <w:lang w:bidi="ar"/>
                <w14:textFill>
                  <w14:solidFill>
                    <w14:schemeClr w14:val="tx1"/>
                  </w14:solidFill>
                </w14:textFill>
              </w:rPr>
              <w:t>/s；</w:t>
            </w:r>
            <w:r>
              <w:rPr>
                <w:rFonts w:hint="default" w:ascii="Times New Roman" w:hAnsi="Times New Roman" w:cs="Times New Roman"/>
                <w:color w:val="000000" w:themeColor="text1"/>
                <w:kern w:val="0"/>
                <w:sz w:val="24"/>
                <w:lang w:bidi="ar"/>
                <w14:textFill>
                  <w14:solidFill>
                    <w14:schemeClr w14:val="tx1"/>
                  </w14:solidFill>
                </w14:textFill>
              </w:rPr>
              <w:t xml:space="preserve">采用蜂窝状吸附剂时，气体流速宜低于1.20m/s”。本项目活性 </w:t>
            </w:r>
          </w:p>
          <w:p w14:paraId="4FB1B563">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 xml:space="preserve">炭吸附箱选用的填料为蜂窝状活性炭，尽可能增大活性炭表面积，增加有机废气 </w:t>
            </w:r>
          </w:p>
          <w:p w14:paraId="6F88839C">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的停留时间，从而增加活性炭与有机废气的接触面积，气体流速低于1.20m/s，活性炭吸附碘值不低于800毫克/克，比表面积≥850m</w:t>
            </w:r>
            <w:r>
              <w:rPr>
                <w:rFonts w:hint="default" w:ascii="Times New Roman" w:hAnsi="Times New Roman" w:cs="Times New Roman"/>
                <w:color w:val="000000" w:themeColor="text1"/>
                <w:kern w:val="0"/>
                <w:sz w:val="24"/>
                <w:vertAlign w:val="superscript"/>
                <w:lang w:bidi="ar"/>
                <w14:textFill>
                  <w14:solidFill>
                    <w14:schemeClr w14:val="tx1"/>
                  </w14:solidFill>
                </w14:textFill>
              </w:rPr>
              <w:t>2</w:t>
            </w:r>
            <w:r>
              <w:rPr>
                <w:rFonts w:hint="default" w:ascii="Times New Roman" w:hAnsi="Times New Roman" w:cs="Times New Roman"/>
                <w:color w:val="000000" w:themeColor="text1"/>
                <w:kern w:val="0"/>
                <w:sz w:val="24"/>
                <w:lang w:bidi="ar"/>
                <w14:textFill>
                  <w14:solidFill>
                    <w14:schemeClr w14:val="tx1"/>
                  </w14:solidFill>
                </w14:textFill>
              </w:rPr>
              <w:t xml:space="preserve"> /g，符合《吸附法工业有机 </w:t>
            </w:r>
          </w:p>
          <w:p w14:paraId="632DEE6E">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废气治理工程技术规范》（HJ2026-2013）中的相关规定。</w:t>
            </w:r>
          </w:p>
          <w:p w14:paraId="68006CFC">
            <w:pPr>
              <w:keepNext w:val="0"/>
              <w:keepLines w:val="0"/>
              <w:widowControl/>
              <w:suppressLineNumbers w:val="0"/>
              <w:spacing w:before="0" w:beforeAutospacing="0" w:after="0" w:afterAutospacing="0"/>
              <w:ind w:left="-105" w:leftChars="-50" w:right="0"/>
              <w:jc w:val="center"/>
              <w:rPr>
                <w:rFonts w:hint="default" w:ascii="Times New Roman" w:hAnsi="Times New Roman" w:cs="Times New Roman"/>
                <w:b/>
                <w:color w:val="auto"/>
                <w:kern w:val="0"/>
                <w:sz w:val="24"/>
                <w:highlight w:val="none"/>
                <w:lang w:val="zh-CN"/>
              </w:rPr>
            </w:pPr>
            <w:r>
              <w:rPr>
                <w:rFonts w:hint="default" w:ascii="Times New Roman" w:hAnsi="Times New Roman" w:cs="Times New Roman"/>
                <w:b/>
                <w:color w:val="auto"/>
                <w:kern w:val="0"/>
                <w:sz w:val="24"/>
                <w:highlight w:val="none"/>
                <w:lang w:val="zh-CN"/>
              </w:rPr>
              <w:t>表4-</w:t>
            </w:r>
            <w:r>
              <w:rPr>
                <w:rFonts w:hint="default" w:ascii="Times New Roman" w:hAnsi="Times New Roman" w:cs="Times New Roman"/>
                <w:b/>
                <w:color w:val="auto"/>
                <w:kern w:val="0"/>
                <w:sz w:val="24"/>
                <w:highlight w:val="none"/>
              </w:rPr>
              <w:t>1</w:t>
            </w:r>
            <w:r>
              <w:rPr>
                <w:rFonts w:hint="eastAsia" w:cs="Times New Roman"/>
                <w:b/>
                <w:color w:val="auto"/>
                <w:kern w:val="0"/>
                <w:sz w:val="24"/>
                <w:highlight w:val="none"/>
                <w:lang w:val="en-US" w:eastAsia="zh-CN"/>
              </w:rPr>
              <w:t>9</w:t>
            </w:r>
            <w:r>
              <w:rPr>
                <w:rFonts w:hint="default" w:ascii="Times New Roman" w:hAnsi="Times New Roman" w:cs="Times New Roman"/>
                <w:b/>
                <w:color w:val="auto"/>
                <w:kern w:val="0"/>
                <w:sz w:val="24"/>
                <w:highlight w:val="none"/>
                <w:lang w:val="zh-CN"/>
              </w:rPr>
              <w:t xml:space="preserve">  活性炭吸附装置设计参数</w:t>
            </w:r>
          </w:p>
          <w:tbl>
            <w:tblPr>
              <w:tblStyle w:val="61"/>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010"/>
              <w:gridCol w:w="809"/>
              <w:gridCol w:w="838"/>
              <w:gridCol w:w="677"/>
              <w:gridCol w:w="705"/>
              <w:gridCol w:w="799"/>
              <w:gridCol w:w="672"/>
              <w:gridCol w:w="704"/>
              <w:gridCol w:w="555"/>
              <w:gridCol w:w="741"/>
            </w:tblGrid>
            <w:tr w14:paraId="46D7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869" w:type="dxa"/>
                  <w:vAlign w:val="center"/>
                </w:tcPr>
                <w:p w14:paraId="2BB3637C">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排放源编号</w:t>
                  </w:r>
                </w:p>
              </w:tc>
              <w:tc>
                <w:tcPr>
                  <w:tcW w:w="1010" w:type="dxa"/>
                  <w:vAlign w:val="center"/>
                </w:tcPr>
                <w:p w14:paraId="6C93B45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污染源</w:t>
                  </w:r>
                </w:p>
              </w:tc>
              <w:tc>
                <w:tcPr>
                  <w:tcW w:w="809" w:type="dxa"/>
                  <w:vAlign w:val="center"/>
                </w:tcPr>
                <w:p w14:paraId="7929F6CD">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有机废气吸附量t/a</w:t>
                  </w:r>
                </w:p>
              </w:tc>
              <w:tc>
                <w:tcPr>
                  <w:tcW w:w="838" w:type="dxa"/>
                  <w:vAlign w:val="center"/>
                </w:tcPr>
                <w:p w14:paraId="698034D5">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活性炭碘值mg/g</w:t>
                  </w:r>
                </w:p>
              </w:tc>
              <w:tc>
                <w:tcPr>
                  <w:tcW w:w="677" w:type="dxa"/>
                  <w:vAlign w:val="center"/>
                </w:tcPr>
                <w:p w14:paraId="3D04AF03">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活性炭层厚度m</w:t>
                  </w:r>
                </w:p>
              </w:tc>
              <w:tc>
                <w:tcPr>
                  <w:tcW w:w="705" w:type="dxa"/>
                  <w:vAlign w:val="center"/>
                </w:tcPr>
                <w:p w14:paraId="78CCD21B">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吸附装置截面积m</w:t>
                  </w:r>
                  <w:r>
                    <w:rPr>
                      <w:rFonts w:hint="default" w:ascii="Times New Roman" w:hAnsi="Times New Roman" w:cs="Times New Roman"/>
                      <w:b/>
                      <w:color w:val="auto"/>
                      <w:sz w:val="21"/>
                      <w:szCs w:val="21"/>
                      <w:highlight w:val="none"/>
                      <w:vertAlign w:val="superscript"/>
                    </w:rPr>
                    <w:t>2</w:t>
                  </w:r>
                </w:p>
              </w:tc>
              <w:tc>
                <w:tcPr>
                  <w:tcW w:w="799" w:type="dxa"/>
                  <w:vAlign w:val="center"/>
                </w:tcPr>
                <w:p w14:paraId="06AA5367">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废气通过速率m/s</w:t>
                  </w:r>
                </w:p>
              </w:tc>
              <w:tc>
                <w:tcPr>
                  <w:tcW w:w="672" w:type="dxa"/>
                  <w:vAlign w:val="center"/>
                </w:tcPr>
                <w:p w14:paraId="5549B2C4">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烟气温度</w:t>
                  </w:r>
                  <w:r>
                    <w:rPr>
                      <w:rFonts w:hint="default" w:ascii="Times New Roman" w:hAnsi="Times New Roman" w:cs="Times New Roman"/>
                      <w:b/>
                      <w:color w:val="auto"/>
                      <w:sz w:val="21"/>
                      <w:szCs w:val="21"/>
                      <w:highlight w:val="none"/>
                      <w:vertAlign w:val="superscript"/>
                    </w:rPr>
                    <w:t>o</w:t>
                  </w:r>
                  <w:r>
                    <w:rPr>
                      <w:rFonts w:hint="default" w:ascii="Times New Roman" w:hAnsi="Times New Roman" w:cs="Times New Roman"/>
                      <w:b/>
                      <w:color w:val="auto"/>
                      <w:sz w:val="21"/>
                      <w:szCs w:val="21"/>
                      <w:highlight w:val="none"/>
                    </w:rPr>
                    <w:t>C</w:t>
                  </w:r>
                </w:p>
              </w:tc>
              <w:tc>
                <w:tcPr>
                  <w:tcW w:w="704" w:type="dxa"/>
                  <w:vAlign w:val="center"/>
                </w:tcPr>
                <w:p w14:paraId="3C67B43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活性炭填充量t/次</w:t>
                  </w:r>
                </w:p>
              </w:tc>
              <w:tc>
                <w:tcPr>
                  <w:tcW w:w="555" w:type="dxa"/>
                  <w:vAlign w:val="center"/>
                </w:tcPr>
                <w:p w14:paraId="3AA10C85">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更换频次/a</w:t>
                  </w:r>
                </w:p>
              </w:tc>
              <w:tc>
                <w:tcPr>
                  <w:tcW w:w="741" w:type="dxa"/>
                  <w:vAlign w:val="center"/>
                </w:tcPr>
                <w:p w14:paraId="625F1D31">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活性炭用量t/a</w:t>
                  </w:r>
                </w:p>
              </w:tc>
            </w:tr>
            <w:tr w14:paraId="7C9A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69" w:type="dxa"/>
                  <w:vAlign w:val="center"/>
                </w:tcPr>
                <w:p w14:paraId="7F439A0F">
                  <w:pPr>
                    <w:pStyle w:val="99"/>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bCs/>
                      <w:color w:val="auto"/>
                      <w:sz w:val="21"/>
                      <w:szCs w:val="21"/>
                      <w:highlight w:val="none"/>
                      <w:lang w:eastAsia="zh-CN"/>
                    </w:rPr>
                  </w:pPr>
                  <w:r>
                    <w:rPr>
                      <w:rFonts w:hint="default" w:ascii="Times New Roman" w:hAnsi="Times New Roman" w:cs="Times New Roman"/>
                      <w:bCs/>
                      <w:color w:val="auto"/>
                      <w:sz w:val="21"/>
                      <w:szCs w:val="21"/>
                      <w:highlight w:val="none"/>
                    </w:rPr>
                    <w:t>DA00</w:t>
                  </w:r>
                  <w:r>
                    <w:rPr>
                      <w:rFonts w:hint="eastAsia" w:ascii="Times New Roman" w:hAnsi="Times New Roman" w:cs="Times New Roman"/>
                      <w:bCs/>
                      <w:color w:val="auto"/>
                      <w:sz w:val="21"/>
                      <w:szCs w:val="21"/>
                      <w:highlight w:val="none"/>
                      <w:lang w:val="en-US" w:eastAsia="zh-CN"/>
                    </w:rPr>
                    <w:t>2</w:t>
                  </w:r>
                </w:p>
              </w:tc>
              <w:tc>
                <w:tcPr>
                  <w:tcW w:w="1010" w:type="dxa"/>
                  <w:vAlign w:val="center"/>
                </w:tcPr>
                <w:p w14:paraId="3A5B1107">
                  <w:pPr>
                    <w:pStyle w:val="99"/>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eastAsia="宋体" w:cs="Times New Roman"/>
                      <w:bCs/>
                      <w:color w:val="auto"/>
                      <w:kern w:val="2"/>
                      <w:sz w:val="21"/>
                      <w:szCs w:val="21"/>
                      <w:highlight w:val="none"/>
                      <w:lang w:val="en-US" w:eastAsia="zh-CN"/>
                    </w:rPr>
                    <w:t>喷漆烘干</w:t>
                  </w:r>
                  <w:r>
                    <w:rPr>
                      <w:rFonts w:hint="default" w:ascii="Times New Roman" w:hAnsi="Times New Roman" w:eastAsia="宋体" w:cs="Times New Roman"/>
                      <w:bCs/>
                      <w:color w:val="auto"/>
                      <w:kern w:val="2"/>
                      <w:sz w:val="21"/>
                      <w:szCs w:val="21"/>
                      <w:highlight w:val="none"/>
                      <w:lang w:val="en-US" w:eastAsia="zh-CN"/>
                    </w:rPr>
                    <w:t>、</w:t>
                  </w:r>
                  <w:r>
                    <w:rPr>
                      <w:rFonts w:hint="eastAsia" w:ascii="Times New Roman" w:hAnsi="Times New Roman" w:eastAsia="宋体" w:cs="Times New Roman"/>
                      <w:bCs/>
                      <w:color w:val="auto"/>
                      <w:kern w:val="2"/>
                      <w:sz w:val="21"/>
                      <w:szCs w:val="21"/>
                      <w:highlight w:val="none"/>
                      <w:lang w:val="en-US" w:eastAsia="zh-CN"/>
                    </w:rPr>
                    <w:t>喷粉</w:t>
                  </w:r>
                  <w:r>
                    <w:rPr>
                      <w:rFonts w:hint="default" w:ascii="Times New Roman" w:hAnsi="Times New Roman" w:eastAsia="宋体" w:cs="Times New Roman"/>
                      <w:bCs/>
                      <w:color w:val="auto"/>
                      <w:kern w:val="2"/>
                      <w:sz w:val="21"/>
                      <w:szCs w:val="21"/>
                      <w:highlight w:val="none"/>
                      <w:lang w:val="en-US" w:eastAsia="zh-CN"/>
                    </w:rPr>
                    <w:t>固化</w:t>
                  </w:r>
                </w:p>
              </w:tc>
              <w:tc>
                <w:tcPr>
                  <w:tcW w:w="809" w:type="dxa"/>
                  <w:vAlign w:val="center"/>
                </w:tcPr>
                <w:p w14:paraId="088B7540">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eastAsia="宋体" w:cs="Times New Roman"/>
                      <w:bCs/>
                      <w:color w:val="auto"/>
                      <w:kern w:val="2"/>
                      <w:sz w:val="21"/>
                      <w:szCs w:val="21"/>
                      <w:highlight w:val="none"/>
                      <w:lang w:val="en-US" w:eastAsia="zh-CN"/>
                    </w:rPr>
                    <w:t>0.238</w:t>
                  </w:r>
                </w:p>
              </w:tc>
              <w:tc>
                <w:tcPr>
                  <w:tcW w:w="838" w:type="dxa"/>
                  <w:shd w:val="clear" w:color="auto" w:fill="auto"/>
                  <w:vAlign w:val="center"/>
                </w:tcPr>
                <w:p w14:paraId="7DAA68E0">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800</w:t>
                  </w:r>
                </w:p>
              </w:tc>
              <w:tc>
                <w:tcPr>
                  <w:tcW w:w="677" w:type="dxa"/>
                  <w:shd w:val="clear" w:color="auto" w:fill="auto"/>
                  <w:vAlign w:val="center"/>
                </w:tcPr>
                <w:p w14:paraId="5309A52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0.3</w:t>
                  </w:r>
                </w:p>
              </w:tc>
              <w:tc>
                <w:tcPr>
                  <w:tcW w:w="705" w:type="dxa"/>
                  <w:shd w:val="clear" w:color="auto" w:fill="auto"/>
                  <w:vAlign w:val="center"/>
                </w:tcPr>
                <w:p w14:paraId="722EC934">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10</w:t>
                  </w:r>
                </w:p>
              </w:tc>
              <w:tc>
                <w:tcPr>
                  <w:tcW w:w="799" w:type="dxa"/>
                  <w:shd w:val="clear" w:color="auto" w:fill="auto"/>
                  <w:vAlign w:val="center"/>
                </w:tcPr>
                <w:p w14:paraId="4191179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rPr>
                    <w:t>&lt;</w:t>
                  </w:r>
                  <w:r>
                    <w:rPr>
                      <w:rFonts w:hint="eastAsia" w:ascii="Times New Roman" w:hAnsi="Times New Roman" w:cs="Times New Roman"/>
                      <w:bCs/>
                      <w:color w:val="auto"/>
                      <w:sz w:val="21"/>
                      <w:szCs w:val="21"/>
                      <w:highlight w:val="none"/>
                      <w:lang w:val="en-US" w:eastAsia="zh-CN"/>
                    </w:rPr>
                    <w:t>1.2</w:t>
                  </w:r>
                </w:p>
              </w:tc>
              <w:tc>
                <w:tcPr>
                  <w:tcW w:w="672" w:type="dxa"/>
                  <w:shd w:val="clear" w:color="auto" w:fill="auto"/>
                  <w:vAlign w:val="center"/>
                </w:tcPr>
                <w:p w14:paraId="758714A5">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&lt;40</w:t>
                  </w:r>
                </w:p>
              </w:tc>
              <w:tc>
                <w:tcPr>
                  <w:tcW w:w="704" w:type="dxa"/>
                  <w:shd w:val="clear" w:color="auto" w:fill="auto"/>
                  <w:vAlign w:val="center"/>
                </w:tcPr>
                <w:p w14:paraId="3235713C">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1.5</w:t>
                  </w:r>
                </w:p>
              </w:tc>
              <w:tc>
                <w:tcPr>
                  <w:tcW w:w="555" w:type="dxa"/>
                  <w:shd w:val="clear" w:color="auto" w:fill="auto"/>
                  <w:vAlign w:val="center"/>
                </w:tcPr>
                <w:p w14:paraId="2F0E395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w:t>
                  </w:r>
                </w:p>
              </w:tc>
              <w:tc>
                <w:tcPr>
                  <w:tcW w:w="741" w:type="dxa"/>
                  <w:vAlign w:val="center"/>
                </w:tcPr>
                <w:p w14:paraId="3E9B4D09">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0.793</w:t>
                  </w:r>
                </w:p>
              </w:tc>
            </w:tr>
            <w:tr w14:paraId="764D3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69" w:type="dxa"/>
                  <w:vAlign w:val="center"/>
                </w:tcPr>
                <w:p w14:paraId="2D1EB62D">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DA00</w:t>
                  </w:r>
                  <w:r>
                    <w:rPr>
                      <w:rFonts w:hint="eastAsia" w:ascii="Times New Roman" w:hAnsi="Times New Roman" w:cs="Times New Roman"/>
                      <w:bCs/>
                      <w:color w:val="auto"/>
                      <w:sz w:val="21"/>
                      <w:szCs w:val="21"/>
                      <w:highlight w:val="none"/>
                      <w:lang w:val="en-US" w:eastAsia="zh-CN"/>
                    </w:rPr>
                    <w:t>3</w:t>
                  </w:r>
                </w:p>
              </w:tc>
              <w:tc>
                <w:tcPr>
                  <w:tcW w:w="1010" w:type="dxa"/>
                  <w:vAlign w:val="center"/>
                </w:tcPr>
                <w:p w14:paraId="377DEFA0">
                  <w:pPr>
                    <w:pStyle w:val="99"/>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bCs/>
                      <w:color w:val="auto"/>
                      <w:kern w:val="2"/>
                      <w:sz w:val="21"/>
                      <w:szCs w:val="21"/>
                      <w:highlight w:val="none"/>
                      <w:lang w:val="en-US" w:eastAsia="zh-CN"/>
                    </w:rPr>
                  </w:pPr>
                  <w:r>
                    <w:rPr>
                      <w:rFonts w:hint="default" w:ascii="Times New Roman" w:hAnsi="Times New Roman" w:eastAsia="宋体" w:cs="Times New Roman"/>
                      <w:bCs/>
                      <w:color w:val="auto"/>
                      <w:kern w:val="2"/>
                      <w:sz w:val="21"/>
                      <w:szCs w:val="21"/>
                      <w:highlight w:val="none"/>
                      <w:lang w:val="en-US" w:eastAsia="zh-CN"/>
                    </w:rPr>
                    <w:t>调漆、</w:t>
                  </w:r>
                  <w:r>
                    <w:rPr>
                      <w:rFonts w:hint="eastAsia" w:ascii="Times New Roman" w:hAnsi="Times New Roman" w:eastAsia="宋体" w:cs="Times New Roman"/>
                      <w:bCs/>
                      <w:color w:val="auto"/>
                      <w:kern w:val="2"/>
                      <w:sz w:val="21"/>
                      <w:szCs w:val="21"/>
                      <w:highlight w:val="none"/>
                      <w:lang w:val="en-US" w:eastAsia="zh-CN"/>
                    </w:rPr>
                    <w:t>喷漆</w:t>
                  </w:r>
                  <w:r>
                    <w:rPr>
                      <w:rFonts w:hint="default" w:ascii="Times New Roman" w:hAnsi="Times New Roman" w:eastAsia="宋体" w:cs="Times New Roman"/>
                      <w:bCs/>
                      <w:color w:val="auto"/>
                      <w:kern w:val="2"/>
                      <w:sz w:val="21"/>
                      <w:szCs w:val="21"/>
                      <w:highlight w:val="none"/>
                      <w:lang w:val="en-US" w:eastAsia="zh-CN"/>
                    </w:rPr>
                    <w:t>、喷枪清洗</w:t>
                  </w:r>
                </w:p>
              </w:tc>
              <w:tc>
                <w:tcPr>
                  <w:tcW w:w="809" w:type="dxa"/>
                  <w:vAlign w:val="center"/>
                </w:tcPr>
                <w:p w14:paraId="2072AC9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eastAsia="宋体" w:cs="Times New Roman"/>
                      <w:bCs/>
                      <w:color w:val="auto"/>
                      <w:kern w:val="2"/>
                      <w:sz w:val="21"/>
                      <w:szCs w:val="21"/>
                      <w:highlight w:val="none"/>
                      <w:lang w:val="en-US" w:eastAsia="zh-CN"/>
                    </w:rPr>
                    <w:t>0.2205</w:t>
                  </w:r>
                </w:p>
              </w:tc>
              <w:tc>
                <w:tcPr>
                  <w:tcW w:w="838" w:type="dxa"/>
                  <w:shd w:val="clear" w:color="auto" w:fill="auto"/>
                  <w:vAlign w:val="center"/>
                </w:tcPr>
                <w:p w14:paraId="07C61B6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rPr>
                    <w:t>800</w:t>
                  </w:r>
                </w:p>
              </w:tc>
              <w:tc>
                <w:tcPr>
                  <w:tcW w:w="677" w:type="dxa"/>
                  <w:shd w:val="clear" w:color="auto" w:fill="auto"/>
                  <w:vAlign w:val="center"/>
                </w:tcPr>
                <w:p w14:paraId="5E32A9F5">
                  <w:pPr>
                    <w:pStyle w:val="99"/>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cs="Times New Roman"/>
                      <w:bCs/>
                      <w:color w:val="auto"/>
                      <w:sz w:val="21"/>
                      <w:szCs w:val="21"/>
                      <w:highlight w:val="none"/>
                      <w:lang w:val="en-US" w:eastAsia="zh-CN"/>
                    </w:rPr>
                    <w:t>0.3</w:t>
                  </w:r>
                </w:p>
              </w:tc>
              <w:tc>
                <w:tcPr>
                  <w:tcW w:w="705" w:type="dxa"/>
                  <w:shd w:val="clear" w:color="auto" w:fill="auto"/>
                  <w:vAlign w:val="center"/>
                </w:tcPr>
                <w:p w14:paraId="01E4FED8">
                  <w:pPr>
                    <w:pStyle w:val="99"/>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cs="Times New Roman"/>
                      <w:bCs/>
                      <w:color w:val="auto"/>
                      <w:sz w:val="21"/>
                      <w:szCs w:val="21"/>
                      <w:highlight w:val="none"/>
                      <w:lang w:val="en-US" w:eastAsia="zh-CN"/>
                    </w:rPr>
                    <w:t>10</w:t>
                  </w:r>
                </w:p>
              </w:tc>
              <w:tc>
                <w:tcPr>
                  <w:tcW w:w="799" w:type="dxa"/>
                  <w:shd w:val="clear" w:color="auto" w:fill="auto"/>
                  <w:vAlign w:val="center"/>
                </w:tcPr>
                <w:p w14:paraId="3C6BEE0F">
                  <w:pPr>
                    <w:pStyle w:val="99"/>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cs="Times New Roman"/>
                      <w:bCs/>
                      <w:color w:val="auto"/>
                      <w:sz w:val="21"/>
                      <w:szCs w:val="21"/>
                      <w:highlight w:val="none"/>
                    </w:rPr>
                    <w:t>&lt;</w:t>
                  </w:r>
                  <w:r>
                    <w:rPr>
                      <w:rFonts w:hint="eastAsia" w:ascii="Times New Roman" w:hAnsi="Times New Roman" w:cs="Times New Roman"/>
                      <w:bCs/>
                      <w:color w:val="auto"/>
                      <w:sz w:val="21"/>
                      <w:szCs w:val="21"/>
                      <w:highlight w:val="none"/>
                      <w:lang w:val="en-US" w:eastAsia="zh-CN"/>
                    </w:rPr>
                    <w:t>1.2</w:t>
                  </w:r>
                </w:p>
              </w:tc>
              <w:tc>
                <w:tcPr>
                  <w:tcW w:w="672" w:type="dxa"/>
                  <w:shd w:val="clear" w:color="auto" w:fill="auto"/>
                  <w:vAlign w:val="center"/>
                </w:tcPr>
                <w:p w14:paraId="7EAE3102">
                  <w:pPr>
                    <w:pStyle w:val="99"/>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cs="Times New Roman"/>
                      <w:bCs/>
                      <w:color w:val="auto"/>
                      <w:sz w:val="21"/>
                      <w:szCs w:val="21"/>
                      <w:highlight w:val="none"/>
                    </w:rPr>
                    <w:t>&lt;40</w:t>
                  </w:r>
                </w:p>
              </w:tc>
              <w:tc>
                <w:tcPr>
                  <w:tcW w:w="704" w:type="dxa"/>
                  <w:shd w:val="clear" w:color="auto" w:fill="auto"/>
                  <w:vAlign w:val="center"/>
                </w:tcPr>
                <w:p w14:paraId="5FED4086">
                  <w:pPr>
                    <w:pStyle w:val="99"/>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cs="Times New Roman"/>
                      <w:bCs/>
                      <w:color w:val="auto"/>
                      <w:sz w:val="21"/>
                      <w:szCs w:val="21"/>
                      <w:highlight w:val="none"/>
                      <w:lang w:val="en-US" w:eastAsia="zh-CN"/>
                    </w:rPr>
                    <w:t>1.5</w:t>
                  </w:r>
                </w:p>
              </w:tc>
              <w:tc>
                <w:tcPr>
                  <w:tcW w:w="555" w:type="dxa"/>
                  <w:shd w:val="clear" w:color="auto" w:fill="auto"/>
                  <w:vAlign w:val="center"/>
                </w:tcPr>
                <w:p w14:paraId="45637E28">
                  <w:pPr>
                    <w:pStyle w:val="99"/>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cs="Times New Roman"/>
                      <w:bCs/>
                      <w:color w:val="auto"/>
                      <w:sz w:val="21"/>
                      <w:szCs w:val="21"/>
                      <w:highlight w:val="none"/>
                      <w:lang w:val="en-US" w:eastAsia="zh-CN"/>
                    </w:rPr>
                    <w:t>1</w:t>
                  </w:r>
                </w:p>
              </w:tc>
              <w:tc>
                <w:tcPr>
                  <w:tcW w:w="741" w:type="dxa"/>
                  <w:shd w:val="clear" w:color="auto" w:fill="auto"/>
                  <w:vAlign w:val="center"/>
                </w:tcPr>
                <w:p w14:paraId="417A448A">
                  <w:pPr>
                    <w:pStyle w:val="99"/>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bCs/>
                      <w:color w:val="auto"/>
                      <w:kern w:val="0"/>
                      <w:sz w:val="21"/>
                      <w:szCs w:val="21"/>
                      <w:highlight w:val="none"/>
                      <w:lang w:val="en-US" w:eastAsia="zh-CN" w:bidi="ar-SA"/>
                    </w:rPr>
                    <w:t>0.735</w:t>
                  </w:r>
                </w:p>
              </w:tc>
            </w:tr>
          </w:tbl>
          <w:p w14:paraId="496A8710">
            <w:pPr>
              <w:keepNext w:val="0"/>
              <w:keepLines w:val="0"/>
              <w:suppressLineNumbers w:val="0"/>
              <w:tabs>
                <w:tab w:val="left" w:pos="6987"/>
              </w:tabs>
              <w:spacing w:before="0" w:beforeAutospacing="0" w:after="0" w:afterAutospacing="0" w:line="360" w:lineRule="auto"/>
              <w:ind w:left="0" w:right="0" w:firstLine="482" w:firstLineChars="200"/>
              <w:rPr>
                <w:rFonts w:hint="default" w:ascii="Times New Roman" w:hAnsi="Times New Roman" w:cs="Times New Roman"/>
                <w:b/>
                <w:color w:val="auto"/>
                <w:sz w:val="24"/>
                <w:highlight w:val="none"/>
              </w:rPr>
            </w:pPr>
            <w:r>
              <w:rPr>
                <w:rFonts w:hint="default" w:ascii="Times New Roman" w:hAnsi="Times New Roman" w:cs="Times New Roman"/>
                <w:b/>
                <w:bCs/>
                <w:color w:val="auto"/>
                <w:kern w:val="0"/>
                <w:sz w:val="24"/>
                <w:highlight w:val="none"/>
                <w:lang w:bidi="ar"/>
              </w:rPr>
              <w:t>②</w:t>
            </w:r>
            <w:r>
              <w:rPr>
                <w:rFonts w:hint="default" w:ascii="Times New Roman" w:hAnsi="Times New Roman" w:cs="Times New Roman"/>
                <w:b/>
                <w:color w:val="auto"/>
                <w:sz w:val="24"/>
                <w:highlight w:val="none"/>
              </w:rPr>
              <w:t>粉尘治理措施</w:t>
            </w:r>
          </w:p>
          <w:p w14:paraId="0017DFBA">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布袋除尘器：</w:t>
            </w:r>
            <w:r>
              <w:rPr>
                <w:rFonts w:hint="default" w:ascii="Times New Roman" w:hAnsi="Times New Roman" w:cs="Times New Roman"/>
                <w:color w:val="auto"/>
                <w:sz w:val="24"/>
                <w:highlight w:val="none"/>
              </w:rPr>
              <w:t>袋式除尘器的滤布用棉、毛、有机纤维、元机纤维织成，滤袋的捕尘主要是通过筛滤机制完成的，在尘粒径大滤料纤维孔隙时，会被滤料拦截，从气流中筛滤出来， 特别是粉尘在滤料沉积到一定厚度后，形成所谓的“粉尘初层”，这种筛滤作用更为显著。袋式除尘器广泛应用于各种工业废气除尘中，它的除尘效率高，可达到95%以上，适应范围广，对细颗粒粉尘也有很强的捕集作用。</w:t>
            </w:r>
          </w:p>
          <w:p w14:paraId="1FEB58BA">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③烟尘净化器</w:t>
            </w:r>
          </w:p>
          <w:p w14:paraId="23AD71D1">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Cs w:val="21"/>
                <w:highlight w:val="none"/>
              </w:rPr>
            </w:pPr>
            <w:r>
              <w:rPr>
                <w:rFonts w:hint="default" w:ascii="Times New Roman" w:hAnsi="Times New Roman" w:cs="Times New Roman"/>
                <w:b/>
                <w:bCs/>
                <w:color w:val="auto"/>
                <w:sz w:val="24"/>
                <w:highlight w:val="none"/>
              </w:rPr>
              <w:t>烟尘净化器原理：</w:t>
            </w:r>
            <w:r>
              <w:rPr>
                <w:rFonts w:hint="default" w:ascii="Times New Roman" w:hAnsi="Times New Roman" w:cs="Times New Roman"/>
                <w:color w:val="auto"/>
                <w:sz w:val="24"/>
                <w:highlight w:val="none"/>
              </w:rPr>
              <w:t>通过风机引力作用，焊烟废气经万向吸尘罩吸入设备进风口，设备进风口处设有</w:t>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"https://baike.baidu.com/item/%E9%98%BB%E7%81%AB%E5%99%A8/0?fromModule=lemma_inlink" \t "https://baike.baidu.com/item/%E7%83%9F%E9%9B%BE%E5%87%80%E5%8C%96%E5%99%A8/_blank"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sz w:val="24"/>
                <w:highlight w:val="none"/>
              </w:rPr>
              <w:t>阻火器</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，火花经阻火器被阻留，烟尘气体进入沉降室，利用重力与上行气流，首先将粗粒尘直接降至灰斗，微粒烟尘被滤芯捕集在外表面，洁净气体经滤芯过滤净化后，由滤芯中心流入洁净室，洁净空气又经</w:t>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"https://baike.baidu.com/item/%E6%B4%BB%E6%80%A7%E7%A2%B3/6108754?fromModule=lemma_inlink" \t "https://baike.baidu.com/item/%E7%83%9F%E9%9B%BE%E5%87%80%E5%8C%96%E5%99%A8/_blank"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sz w:val="24"/>
                <w:highlight w:val="none"/>
              </w:rPr>
              <w:t>活性碳</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"https://baike.baidu.com/item/%E8%BF%87%E6%BB%A4%E5%99%A8/9705362?fromModule=lemma_inlink" \t "https://baike.baidu.com/item/%E7%83%9F%E9%9B%BE%E5%87%80%E5%8C%96%E5%99%A8/_blank"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sz w:val="24"/>
                <w:highlight w:val="none"/>
              </w:rPr>
              <w:t>过滤器</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吸附进一步净化后经出风口达标排出。</w:t>
            </w:r>
          </w:p>
          <w:p w14:paraId="42836E98">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kern w:val="0"/>
                <w:sz w:val="24"/>
                <w:highlight w:val="none"/>
                <w:lang w:bidi="ar"/>
              </w:rPr>
            </w:pPr>
            <w:r>
              <w:rPr>
                <w:rFonts w:hint="default" w:ascii="Times New Roman" w:hAnsi="Times New Roman" w:cs="Times New Roman"/>
                <w:b/>
                <w:bCs/>
                <w:color w:val="auto"/>
                <w:kern w:val="0"/>
                <w:sz w:val="24"/>
                <w:highlight w:val="none"/>
                <w:lang w:bidi="ar"/>
              </w:rPr>
              <w:t>④项目废气治理措施可行性分析</w:t>
            </w:r>
          </w:p>
          <w:p w14:paraId="7A1D7F9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根据《国民经济行业分类》（GB/T4754-2017），本项目属于</w:t>
            </w:r>
            <w:r>
              <w:rPr>
                <w:rFonts w:hint="eastAsia" w:cs="Times New Roman"/>
                <w:color w:val="auto"/>
                <w:sz w:val="24"/>
                <w:highlight w:val="none"/>
                <w:lang w:eastAsia="zh-CN"/>
              </w:rPr>
              <w:t>C3311金属结构制造</w:t>
            </w:r>
            <w:r>
              <w:rPr>
                <w:rFonts w:hint="default" w:ascii="Times New Roman" w:hAnsi="Times New Roman" w:cs="Times New Roman"/>
                <w:color w:val="auto"/>
                <w:sz w:val="24"/>
                <w:highlight w:val="none"/>
                <w:lang w:eastAsia="zh-CN"/>
              </w:rPr>
              <w:t>、C3670汽车零部件及配件制造</w:t>
            </w:r>
            <w:r>
              <w:rPr>
                <w:rFonts w:hint="default" w:ascii="Times New Roman" w:hAnsi="Times New Roman" w:cs="Times New Roman"/>
                <w:color w:val="auto"/>
                <w:sz w:val="24"/>
                <w:highlight w:val="none"/>
              </w:rPr>
              <w:t>。参考</w:t>
            </w:r>
            <w:r>
              <w:rPr>
                <w:rFonts w:hint="default" w:ascii="Times New Roman" w:hAnsi="Times New Roman" w:cs="Times New Roman"/>
                <w:color w:val="000000" w:themeColor="text1"/>
                <w:sz w:val="24"/>
                <w14:textFill>
                  <w14:solidFill>
                    <w14:schemeClr w14:val="tx1"/>
                  </w14:solidFill>
                </w14:textFill>
              </w:rPr>
              <w:t>《排污许可证申请与核发技术规范  汽车制造业》（HJ 971—2018）、</w:t>
            </w:r>
            <w:r>
              <w:rPr>
                <w:rFonts w:hint="default"/>
                <w:bCs/>
                <w:color w:val="auto"/>
                <w:sz w:val="24"/>
              </w:rPr>
              <w:t>《排污许可证申请与核发技术规范  铁路、船舶、航空航天和其他运输设备制造业》（HJ 1124-2020）、《排污许可证申请与核发技术规范  工业炉窑》（HJ1121-2020）</w:t>
            </w:r>
            <w:r>
              <w:rPr>
                <w:rFonts w:hint="default" w:ascii="Times New Roman" w:hAnsi="Times New Roman" w:cs="Times New Roman"/>
                <w:color w:val="auto"/>
                <w:kern w:val="0"/>
                <w:sz w:val="24"/>
                <w:highlight w:val="none"/>
                <w:lang w:bidi="ar"/>
              </w:rPr>
              <w:t>废气污染防治可行技术参考表，废气防治可行技术如下。</w:t>
            </w:r>
          </w:p>
          <w:p w14:paraId="34CD2E9E">
            <w:pPr>
              <w:keepNext w:val="0"/>
              <w:keepLines w:val="0"/>
              <w:widowControl/>
              <w:suppressLineNumbers w:val="0"/>
              <w:spacing w:before="0" w:beforeAutospacing="0" w:after="0" w:afterAutospacing="0"/>
              <w:ind w:left="-105" w:leftChars="-50" w:right="0"/>
              <w:jc w:val="center"/>
              <w:rPr>
                <w:rFonts w:hint="default" w:ascii="Times New Roman" w:hAnsi="Times New Roman" w:cs="Times New Roman"/>
                <w:b/>
                <w:color w:val="auto"/>
                <w:kern w:val="0"/>
                <w:sz w:val="24"/>
                <w:highlight w:val="none"/>
                <w:lang w:val="zh-CN"/>
              </w:rPr>
            </w:pPr>
            <w:r>
              <w:rPr>
                <w:rFonts w:hint="default" w:ascii="Times New Roman" w:hAnsi="Times New Roman" w:cs="Times New Roman"/>
                <w:b/>
                <w:color w:val="auto"/>
                <w:kern w:val="0"/>
                <w:sz w:val="24"/>
                <w:highlight w:val="none"/>
                <w:lang w:val="zh-CN"/>
              </w:rPr>
              <w:t>表4-</w:t>
            </w:r>
            <w:r>
              <w:rPr>
                <w:rFonts w:hint="eastAsia" w:cs="Times New Roman"/>
                <w:b/>
                <w:color w:val="auto"/>
                <w:kern w:val="0"/>
                <w:sz w:val="24"/>
                <w:highlight w:val="none"/>
                <w:lang w:val="en-US" w:eastAsia="zh-CN"/>
              </w:rPr>
              <w:t>20</w:t>
            </w:r>
            <w:r>
              <w:rPr>
                <w:rFonts w:hint="default" w:ascii="Times New Roman" w:hAnsi="Times New Roman" w:cs="Times New Roman"/>
                <w:b/>
                <w:color w:val="auto"/>
                <w:kern w:val="0"/>
                <w:sz w:val="24"/>
                <w:highlight w:val="none"/>
                <w:lang w:val="zh-CN"/>
              </w:rPr>
              <w:t xml:space="preserve">  废气防治可行技术参考表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985"/>
              <w:gridCol w:w="881"/>
              <w:gridCol w:w="757"/>
              <w:gridCol w:w="2082"/>
              <w:gridCol w:w="1300"/>
              <w:gridCol w:w="1409"/>
              <w:gridCol w:w="476"/>
            </w:tblGrid>
            <w:tr w14:paraId="30825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94" w:type="pct"/>
                  <w:vMerge w:val="restart"/>
                  <w:vAlign w:val="center"/>
                </w:tcPr>
                <w:p w14:paraId="22672F0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生产单元</w:t>
                  </w:r>
                </w:p>
              </w:tc>
              <w:tc>
                <w:tcPr>
                  <w:tcW w:w="587" w:type="pct"/>
                  <w:vMerge w:val="restart"/>
                  <w:vAlign w:val="center"/>
                </w:tcPr>
                <w:p w14:paraId="6B845DDC">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生产</w:t>
                  </w:r>
                </w:p>
                <w:p w14:paraId="5011A8D9">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工艺</w:t>
                  </w:r>
                </w:p>
              </w:tc>
              <w:tc>
                <w:tcPr>
                  <w:tcW w:w="525" w:type="pct"/>
                  <w:vMerge w:val="restart"/>
                  <w:vAlign w:val="center"/>
                </w:tcPr>
                <w:p w14:paraId="50876446">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生产设施</w:t>
                  </w:r>
                </w:p>
              </w:tc>
              <w:tc>
                <w:tcPr>
                  <w:tcW w:w="451" w:type="pct"/>
                  <w:vMerge w:val="restart"/>
                  <w:vAlign w:val="center"/>
                </w:tcPr>
                <w:p w14:paraId="751EAA4B">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污染物项目</w:t>
                  </w:r>
                </w:p>
              </w:tc>
              <w:tc>
                <w:tcPr>
                  <w:tcW w:w="1241" w:type="pct"/>
                  <w:vMerge w:val="restart"/>
                  <w:vAlign w:val="center"/>
                </w:tcPr>
                <w:p w14:paraId="3477E96C">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可行技术</w:t>
                  </w:r>
                </w:p>
              </w:tc>
              <w:tc>
                <w:tcPr>
                  <w:tcW w:w="775" w:type="pct"/>
                  <w:vMerge w:val="restart"/>
                  <w:vAlign w:val="center"/>
                </w:tcPr>
                <w:p w14:paraId="7742968B">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lang w:bidi="ar"/>
                      <w14:textFill>
                        <w14:solidFill>
                          <w14:schemeClr w14:val="tx1"/>
                        </w14:solidFill>
                      </w14:textFill>
                    </w:rPr>
                    <w:t>排污许可证申请与核发技术规范</w:t>
                  </w:r>
                </w:p>
              </w:tc>
              <w:tc>
                <w:tcPr>
                  <w:tcW w:w="1124" w:type="pct"/>
                  <w:gridSpan w:val="2"/>
                  <w:vAlign w:val="center"/>
                </w:tcPr>
                <w:p w14:paraId="5096492F">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本项目</w:t>
                  </w:r>
                </w:p>
              </w:tc>
            </w:tr>
            <w:tr w14:paraId="3799F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94" w:type="pct"/>
                  <w:vMerge w:val="continue"/>
                  <w:vAlign w:val="center"/>
                </w:tcPr>
                <w:p w14:paraId="14881A4E">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587" w:type="pct"/>
                  <w:vMerge w:val="continue"/>
                  <w:vAlign w:val="center"/>
                </w:tcPr>
                <w:p w14:paraId="4465E758">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525" w:type="pct"/>
                  <w:vMerge w:val="continue"/>
                  <w:vAlign w:val="center"/>
                </w:tcPr>
                <w:p w14:paraId="1468FFF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451" w:type="pct"/>
                  <w:vMerge w:val="continue"/>
                  <w:vAlign w:val="center"/>
                </w:tcPr>
                <w:p w14:paraId="1B30C79B">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1241" w:type="pct"/>
                  <w:vMerge w:val="continue"/>
                  <w:vAlign w:val="center"/>
                </w:tcPr>
                <w:p w14:paraId="3966381C">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775" w:type="pct"/>
                  <w:vMerge w:val="continue"/>
                  <w:vAlign w:val="center"/>
                </w:tcPr>
                <w:p w14:paraId="218369DC">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p>
              </w:tc>
              <w:tc>
                <w:tcPr>
                  <w:tcW w:w="840" w:type="pct"/>
                  <w:vAlign w:val="center"/>
                </w:tcPr>
                <w:p w14:paraId="4980CEAD">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本项目采取措施</w:t>
                  </w:r>
                </w:p>
              </w:tc>
              <w:tc>
                <w:tcPr>
                  <w:tcW w:w="283" w:type="pct"/>
                  <w:vAlign w:val="center"/>
                </w:tcPr>
                <w:p w14:paraId="6D858DB3">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符合性</w:t>
                  </w:r>
                </w:p>
              </w:tc>
            </w:tr>
            <w:tr w14:paraId="61D4B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294" w:type="pct"/>
                  <w:vMerge w:val="restart"/>
                  <w:vAlign w:val="center"/>
                </w:tcPr>
                <w:p w14:paraId="28B7C915">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涂装</w:t>
                  </w:r>
                </w:p>
              </w:tc>
              <w:tc>
                <w:tcPr>
                  <w:tcW w:w="587" w:type="pct"/>
                  <w:vMerge w:val="restart"/>
                  <w:vAlign w:val="center"/>
                </w:tcPr>
                <w:p w14:paraId="2DA9E23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调漆、</w:t>
                  </w:r>
                  <w:r>
                    <w:rPr>
                      <w:rFonts w:hint="default" w:ascii="Times New Roman" w:hAnsi="Times New Roman" w:cs="Times New Roman"/>
                      <w:color w:val="000000" w:themeColor="text1"/>
                      <w:sz w:val="21"/>
                      <w:szCs w:val="21"/>
                      <w:lang w:eastAsia="zh-CN"/>
                      <w14:textFill>
                        <w14:solidFill>
                          <w14:schemeClr w14:val="tx1"/>
                        </w14:solidFill>
                      </w14:textFill>
                    </w:rPr>
                    <w:t>喷漆</w:t>
                  </w:r>
                  <w:r>
                    <w:rPr>
                      <w:rFonts w:hint="default" w:ascii="Times New Roman" w:hAnsi="Times New Roman" w:cs="Times New Roman"/>
                      <w:color w:val="000000" w:themeColor="text1"/>
                      <w:sz w:val="21"/>
                      <w:szCs w:val="21"/>
                      <w14:textFill>
                        <w14:solidFill>
                          <w14:schemeClr w14:val="tx1"/>
                        </w14:solidFill>
                      </w14:textFill>
                    </w:rPr>
                    <w:t>、喷枪清洗</w:t>
                  </w:r>
                </w:p>
              </w:tc>
              <w:tc>
                <w:tcPr>
                  <w:tcW w:w="525" w:type="pct"/>
                  <w:vMerge w:val="restart"/>
                  <w:vAlign w:val="center"/>
                </w:tcPr>
                <w:p w14:paraId="69589C5E">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调漆间</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bCs/>
                      <w:color w:val="000000" w:themeColor="text1"/>
                      <w:sz w:val="21"/>
                      <w:szCs w:val="21"/>
                      <w14:textFill>
                        <w14:solidFill>
                          <w14:schemeClr w14:val="tx1"/>
                        </w14:solidFill>
                      </w14:textFill>
                    </w:rPr>
                    <w:t>喷漆房</w:t>
                  </w:r>
                </w:p>
              </w:tc>
              <w:tc>
                <w:tcPr>
                  <w:tcW w:w="451" w:type="pct"/>
                  <w:vAlign w:val="center"/>
                </w:tcPr>
                <w:p w14:paraId="07739F10">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颗粒物</w:t>
                  </w:r>
                </w:p>
              </w:tc>
              <w:tc>
                <w:tcPr>
                  <w:tcW w:w="1241" w:type="pct"/>
                  <w:shd w:val="clear" w:color="auto" w:fill="auto"/>
                  <w:vAlign w:val="center"/>
                </w:tcPr>
                <w:p w14:paraId="79A9E547">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水旋、文丘里、石灰粉吸附、静电、纸盒过滤净化等</w:t>
                  </w:r>
                </w:p>
              </w:tc>
              <w:tc>
                <w:tcPr>
                  <w:tcW w:w="775" w:type="pct"/>
                  <w:vMerge w:val="restart"/>
                  <w:vAlign w:val="center"/>
                </w:tcPr>
                <w:p w14:paraId="05CDC50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《排污许可证申请与核发技术规范  汽车制造业》（HJ 971—2018）</w:t>
                  </w:r>
                </w:p>
              </w:tc>
              <w:tc>
                <w:tcPr>
                  <w:tcW w:w="840" w:type="pct"/>
                  <w:vMerge w:val="restart"/>
                  <w:vAlign w:val="center"/>
                </w:tcPr>
                <w:p w14:paraId="420CC801">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密闭</w:t>
                  </w:r>
                  <w:r>
                    <w:rPr>
                      <w:rFonts w:hint="eastAsia" w:ascii="Times New Roman" w:hAnsi="Times New Roman" w:cs="Times New Roman"/>
                      <w:color w:val="000000" w:themeColor="text1"/>
                      <w:sz w:val="21"/>
                      <w:szCs w:val="21"/>
                      <w:lang w:val="en-US" w:eastAsia="zh-CN"/>
                      <w14:textFill>
                        <w14:solidFill>
                          <w14:schemeClr w14:val="tx1"/>
                        </w14:solidFill>
                      </w14:textFill>
                    </w:rPr>
                    <w:t>调漆间</w:t>
                  </w:r>
                  <w:r>
                    <w:rPr>
                      <w:rFonts w:hint="default" w:ascii="Times New Roman" w:hAnsi="Times New Roman" w:cs="Times New Roman"/>
                      <w:color w:val="000000" w:themeColor="text1"/>
                      <w:sz w:val="21"/>
                      <w:szCs w:val="21"/>
                      <w14:textFill>
                        <w14:solidFill>
                          <w14:schemeClr w14:val="tx1"/>
                        </w14:solidFill>
                      </w14:textFill>
                    </w:rPr>
                    <w:t>、喷漆房内负压收集+</w:t>
                  </w:r>
                  <w:r>
                    <w:rPr>
                      <w:rFonts w:hint="eastAsia" w:ascii="Times New Roman" w:hAnsi="Times New Roman" w:cs="Times New Roman"/>
                      <w:color w:val="000000" w:themeColor="text1"/>
                      <w:sz w:val="21"/>
                      <w:szCs w:val="21"/>
                      <w:lang w:val="en-US" w:eastAsia="zh-CN"/>
                      <w14:textFill>
                        <w14:solidFill>
                          <w14:schemeClr w14:val="tx1"/>
                        </w14:solidFill>
                      </w14:textFill>
                    </w:rPr>
                    <w:t>水帘柜+干式过滤+</w:t>
                  </w:r>
                  <w:r>
                    <w:rPr>
                      <w:rFonts w:hint="default" w:ascii="Times New Roman" w:hAnsi="Times New Roman" w:cs="Times New Roman"/>
                      <w:color w:val="000000" w:themeColor="text1"/>
                      <w:sz w:val="21"/>
                      <w:szCs w:val="21"/>
                      <w14:textFill>
                        <w14:solidFill>
                          <w14:schemeClr w14:val="tx1"/>
                        </w14:solidFill>
                      </w14:textFill>
                    </w:rPr>
                    <w:t>+两级活性炭吸附装置处理</w:t>
                  </w:r>
                </w:p>
              </w:tc>
              <w:tc>
                <w:tcPr>
                  <w:tcW w:w="283" w:type="pct"/>
                  <w:vAlign w:val="center"/>
                </w:tcPr>
                <w:p w14:paraId="7F61B11D">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37B79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94" w:type="pct"/>
                  <w:vMerge w:val="continue"/>
                  <w:vAlign w:val="center"/>
                </w:tcPr>
                <w:p w14:paraId="38373AC4">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p>
              </w:tc>
              <w:tc>
                <w:tcPr>
                  <w:tcW w:w="587" w:type="pct"/>
                  <w:vMerge w:val="continue"/>
                  <w:vAlign w:val="center"/>
                </w:tcPr>
                <w:p w14:paraId="39D64C9E">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525" w:type="pct"/>
                  <w:vMerge w:val="continue"/>
                  <w:vAlign w:val="center"/>
                </w:tcPr>
                <w:p w14:paraId="6D4613F3">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p>
              </w:tc>
              <w:tc>
                <w:tcPr>
                  <w:tcW w:w="451" w:type="pct"/>
                  <w:vAlign w:val="center"/>
                </w:tcPr>
                <w:p w14:paraId="34784737">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挥发性有机物</w:t>
                  </w:r>
                </w:p>
              </w:tc>
              <w:tc>
                <w:tcPr>
                  <w:tcW w:w="1241" w:type="pct"/>
                  <w:shd w:val="clear" w:color="auto" w:fill="auto"/>
                  <w:vAlign w:val="center"/>
                </w:tcPr>
                <w:p w14:paraId="0550DF3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吸附+热力焚烧/催化燃烧等</w:t>
                  </w:r>
                </w:p>
              </w:tc>
              <w:tc>
                <w:tcPr>
                  <w:tcW w:w="775" w:type="pct"/>
                  <w:vMerge w:val="continue"/>
                  <w:vAlign w:val="center"/>
                </w:tcPr>
                <w:p w14:paraId="0A906A2C">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840" w:type="pct"/>
                  <w:vMerge w:val="continue"/>
                  <w:vAlign w:val="center"/>
                </w:tcPr>
                <w:p w14:paraId="6145D301">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000000" w:themeColor="text1"/>
                      <w:sz w:val="21"/>
                      <w:szCs w:val="21"/>
                      <w14:textFill>
                        <w14:solidFill>
                          <w14:schemeClr w14:val="tx1"/>
                        </w14:solidFill>
                      </w14:textFill>
                    </w:rPr>
                  </w:pPr>
                </w:p>
              </w:tc>
              <w:tc>
                <w:tcPr>
                  <w:tcW w:w="283" w:type="pct"/>
                  <w:vAlign w:val="center"/>
                </w:tcPr>
                <w:p w14:paraId="4EBCAFF8">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631F4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4" w:type="pct"/>
                  <w:vAlign w:val="center"/>
                </w:tcPr>
                <w:p w14:paraId="3EC4FFD0">
                  <w:pPr>
                    <w:pStyle w:val="99"/>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预处理</w:t>
                  </w:r>
                </w:p>
              </w:tc>
              <w:tc>
                <w:tcPr>
                  <w:tcW w:w="587" w:type="pct"/>
                  <w:vAlign w:val="center"/>
                </w:tcPr>
                <w:p w14:paraId="401B2841">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w:t>
                  </w:r>
                </w:p>
              </w:tc>
              <w:tc>
                <w:tcPr>
                  <w:tcW w:w="525" w:type="pct"/>
                  <w:vAlign w:val="center"/>
                </w:tcPr>
                <w:p w14:paraId="6D171DF5">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手持去毛刺机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磨床</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抛光机</w:t>
                  </w:r>
                </w:p>
              </w:tc>
              <w:tc>
                <w:tcPr>
                  <w:tcW w:w="451" w:type="pct"/>
                  <w:vAlign w:val="center"/>
                </w:tcPr>
                <w:p w14:paraId="66D3E786">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eastAsia="zh-CN"/>
                      <w14:textFill>
                        <w14:solidFill>
                          <w14:schemeClr w14:val="tx1"/>
                        </w14:solidFill>
                      </w14:textFill>
                    </w:rPr>
                    <w:t>颗粒物</w:t>
                  </w:r>
                </w:p>
              </w:tc>
              <w:tc>
                <w:tcPr>
                  <w:tcW w:w="1241" w:type="pct"/>
                  <w:vAlign w:val="center"/>
                </w:tcPr>
                <w:p w14:paraId="77D3B28E">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袋式过滤除尘</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bCs/>
                      <w:color w:val="000000" w:themeColor="text1"/>
                      <w:sz w:val="21"/>
                      <w:szCs w:val="21"/>
                      <w:lang w:val="en-US" w:eastAsia="zh-CN"/>
                      <w14:textFill>
                        <w14:solidFill>
                          <w14:schemeClr w14:val="tx1"/>
                        </w14:solidFill>
                      </w14:textFill>
                    </w:rPr>
                    <w:t>湿式除尘</w:t>
                  </w:r>
                </w:p>
              </w:tc>
              <w:tc>
                <w:tcPr>
                  <w:tcW w:w="775" w:type="pct"/>
                  <w:vMerge w:val="continue"/>
                  <w:vAlign w:val="center"/>
                </w:tcPr>
                <w:p w14:paraId="1B87748F">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840" w:type="pct"/>
                  <w:vAlign w:val="center"/>
                </w:tcPr>
                <w:p w14:paraId="33506E89">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宋体" w:hAnsi="宋体"/>
                      <w:color w:val="000000"/>
                      <w:sz w:val="21"/>
                      <w:szCs w:val="21"/>
                      <w:lang w:val="zh-CN"/>
                    </w:rPr>
                    <w:t>人工去毛刺、打磨、抛光粉尘经集气罩收集；喷砂、抛丸粉尘经设备密闭</w:t>
                  </w:r>
                  <w:r>
                    <w:rPr>
                      <w:rFonts w:hint="default" w:ascii="Times New Roman" w:hAnsi="Times New Roman" w:eastAsia="Times New Roman"/>
                      <w:color w:val="000000"/>
                      <w:sz w:val="21"/>
                      <w:szCs w:val="21"/>
                      <w:lang w:val="zh-CN"/>
                    </w:rPr>
                    <w:t>+</w:t>
                  </w:r>
                  <w:r>
                    <w:rPr>
                      <w:rFonts w:hint="eastAsia" w:ascii="宋体" w:hAnsi="宋体"/>
                      <w:color w:val="000000"/>
                      <w:sz w:val="21"/>
                      <w:szCs w:val="21"/>
                      <w:lang w:val="zh-CN"/>
                    </w:rPr>
                    <w:t>集气管道收集；</w:t>
                  </w:r>
                  <w:r>
                    <w:rPr>
                      <w:rFonts w:hint="eastAsia" w:ascii="宋体" w:hAnsi="宋体"/>
                      <w:color w:val="000000"/>
                      <w:sz w:val="21"/>
                      <w:szCs w:val="21"/>
                      <w:lang w:val="en-US" w:eastAsia="zh-CN"/>
                    </w:rPr>
                    <w:t>收集后经布袋除尘器处理</w:t>
                  </w:r>
                </w:p>
              </w:tc>
              <w:tc>
                <w:tcPr>
                  <w:tcW w:w="283" w:type="pct"/>
                  <w:vAlign w:val="center"/>
                </w:tcPr>
                <w:p w14:paraId="0AFED1F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02200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94" w:type="pct"/>
                  <w:vMerge w:val="restart"/>
                  <w:vAlign w:val="center"/>
                </w:tcPr>
                <w:p w14:paraId="195F9DE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涂装</w:t>
                  </w:r>
                </w:p>
              </w:tc>
              <w:tc>
                <w:tcPr>
                  <w:tcW w:w="587" w:type="pct"/>
                  <w:vAlign w:val="center"/>
                </w:tcPr>
                <w:p w14:paraId="0439C758">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喷粉</w:t>
                  </w:r>
                </w:p>
              </w:tc>
              <w:tc>
                <w:tcPr>
                  <w:tcW w:w="525" w:type="pct"/>
                  <w:vAlign w:val="center"/>
                </w:tcPr>
                <w:p w14:paraId="37A12A53">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粉末</w:t>
                  </w:r>
                </w:p>
                <w:p w14:paraId="3CE18433">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喷涂室</w:t>
                  </w:r>
                </w:p>
              </w:tc>
              <w:tc>
                <w:tcPr>
                  <w:tcW w:w="451" w:type="pct"/>
                  <w:vAlign w:val="center"/>
                </w:tcPr>
                <w:p w14:paraId="32996E65">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颗粒物</w:t>
                  </w:r>
                </w:p>
              </w:tc>
              <w:tc>
                <w:tcPr>
                  <w:tcW w:w="1241" w:type="pct"/>
                  <w:vAlign w:val="center"/>
                </w:tcPr>
                <w:p w14:paraId="432CF8AD">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除尘设施，袋式除尘</w:t>
                  </w:r>
                </w:p>
              </w:tc>
              <w:tc>
                <w:tcPr>
                  <w:tcW w:w="775" w:type="pct"/>
                  <w:vMerge w:val="restart"/>
                  <w:vAlign w:val="center"/>
                </w:tcPr>
                <w:p w14:paraId="2F4CD27A">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《排污许可证申请与核发技术规范 铁路、船舶、航空航天和其他运输设备制造业》（HJ 1124-2020）</w:t>
                  </w:r>
                </w:p>
              </w:tc>
              <w:tc>
                <w:tcPr>
                  <w:tcW w:w="840" w:type="pct"/>
                  <w:vAlign w:val="center"/>
                </w:tcPr>
                <w:p w14:paraId="31334CB1">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喷粉粉尘密闭喷粉房内负压收集；收集后经</w:t>
                  </w:r>
                  <w:r>
                    <w:rPr>
                      <w:rFonts w:hint="default" w:ascii="Times New Roman" w:hAnsi="Times New Roman" w:cs="Times New Roman"/>
                      <w:bCs/>
                      <w:color w:val="000000" w:themeColor="text1"/>
                      <w:sz w:val="21"/>
                      <w:szCs w:val="21"/>
                      <w14:textFill>
                        <w14:solidFill>
                          <w14:schemeClr w14:val="tx1"/>
                        </w14:solidFill>
                      </w14:textFill>
                    </w:rPr>
                    <w:t>滤筒+脉冲布袋除尘器处理</w:t>
                  </w:r>
                </w:p>
              </w:tc>
              <w:tc>
                <w:tcPr>
                  <w:tcW w:w="283" w:type="pct"/>
                  <w:vAlign w:val="center"/>
                </w:tcPr>
                <w:p w14:paraId="1811E8E3">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2906C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94" w:type="pct"/>
                  <w:vMerge w:val="continue"/>
                  <w:vAlign w:val="center"/>
                </w:tcPr>
                <w:p w14:paraId="2145CB3E">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p>
              </w:tc>
              <w:tc>
                <w:tcPr>
                  <w:tcW w:w="587" w:type="pct"/>
                  <w:vAlign w:val="center"/>
                </w:tcPr>
                <w:p w14:paraId="0D92C433">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前处理烘干</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bCs/>
                      <w:color w:val="000000" w:themeColor="text1"/>
                      <w:sz w:val="21"/>
                      <w:szCs w:val="21"/>
                      <w:lang w:val="en-US" w:eastAsia="zh-CN"/>
                      <w14:textFill>
                        <w14:solidFill>
                          <w14:schemeClr w14:val="tx1"/>
                        </w14:solidFill>
                      </w14:textFill>
                    </w:rPr>
                    <w:t>喷漆烘干</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bCs/>
                      <w:color w:val="000000" w:themeColor="text1"/>
                      <w:sz w:val="21"/>
                      <w:szCs w:val="21"/>
                      <w:lang w:val="en-US" w:eastAsia="zh-CN"/>
                      <w14:textFill>
                        <w14:solidFill>
                          <w14:schemeClr w14:val="tx1"/>
                        </w14:solidFill>
                      </w14:textFill>
                    </w:rPr>
                    <w:t>喷粉</w:t>
                  </w:r>
                  <w:r>
                    <w:rPr>
                      <w:rFonts w:hint="default" w:ascii="Times New Roman" w:hAnsi="Times New Roman" w:cs="Times New Roman"/>
                      <w:bCs/>
                      <w:color w:val="000000" w:themeColor="text1"/>
                      <w:sz w:val="21"/>
                      <w:szCs w:val="21"/>
                      <w14:textFill>
                        <w14:solidFill>
                          <w14:schemeClr w14:val="tx1"/>
                        </w14:solidFill>
                      </w14:textFill>
                    </w:rPr>
                    <w:t>固化</w:t>
                  </w:r>
                </w:p>
              </w:tc>
              <w:tc>
                <w:tcPr>
                  <w:tcW w:w="525" w:type="pct"/>
                  <w:vAlign w:val="center"/>
                </w:tcPr>
                <w:p w14:paraId="527D854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烘干室（段）、晾干室</w:t>
                  </w:r>
                </w:p>
              </w:tc>
              <w:tc>
                <w:tcPr>
                  <w:tcW w:w="451" w:type="pct"/>
                  <w:vAlign w:val="center"/>
                </w:tcPr>
                <w:p w14:paraId="346E1FAD">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挥发性有机物</w:t>
                  </w:r>
                </w:p>
              </w:tc>
              <w:tc>
                <w:tcPr>
                  <w:tcW w:w="1241" w:type="pct"/>
                  <w:vAlign w:val="center"/>
                </w:tcPr>
                <w:p w14:paraId="7FC1FC7F">
                  <w:pPr>
                    <w:keepNext w:val="0"/>
                    <w:keepLines w:val="0"/>
                    <w:widowControl/>
                    <w:suppressLineNumbers w:val="0"/>
                    <w:spacing w:before="0" w:beforeAutospacing="0" w:after="0" w:afterAutospacing="0"/>
                    <w:ind w:left="0" w:right="0"/>
                    <w:jc w:val="left"/>
                    <w:rPr>
                      <w:rFonts w:hint="default" w:ascii="Times New Roman" w:hAnsi="Times New Roman" w:cs="Times New Roman"/>
                      <w:bCs/>
                      <w:color w:val="000000" w:themeColor="text1"/>
                      <w:kern w:val="0"/>
                      <w:sz w:val="21"/>
                      <w:szCs w:val="21"/>
                      <w14:textFill>
                        <w14:solidFill>
                          <w14:schemeClr w14:val="tx1"/>
                        </w14:solidFill>
                      </w14:textFill>
                    </w:rPr>
                  </w:pPr>
                  <w:r>
                    <w:rPr>
                      <w:rFonts w:hint="default" w:ascii="Times New Roman" w:hAnsi="Times New Roman" w:cs="Times New Roman"/>
                      <w:bCs/>
                      <w:color w:val="000000" w:themeColor="text1"/>
                      <w:kern w:val="0"/>
                      <w:sz w:val="21"/>
                      <w:szCs w:val="21"/>
                      <w14:textFill>
                        <w14:solidFill>
                          <w14:schemeClr w14:val="tx1"/>
                        </w14:solidFill>
                      </w14:textFill>
                    </w:rPr>
                    <w:t xml:space="preserve">有机废气治理设施，热力焚烧/催化氧 </w:t>
                  </w:r>
                </w:p>
                <w:p w14:paraId="50008D5F">
                  <w:pPr>
                    <w:keepNext w:val="0"/>
                    <w:keepLines w:val="0"/>
                    <w:widowControl/>
                    <w:suppressLineNumbers w:val="0"/>
                    <w:spacing w:before="0" w:beforeAutospacing="0" w:after="0" w:afterAutospacing="0"/>
                    <w:ind w:left="0" w:right="0"/>
                    <w:jc w:val="left"/>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kern w:val="0"/>
                      <w:sz w:val="21"/>
                      <w:szCs w:val="21"/>
                      <w14:textFill>
                        <w14:solidFill>
                          <w14:schemeClr w14:val="tx1"/>
                        </w14:solidFill>
                      </w14:textFill>
                    </w:rPr>
                    <w:t>化、吸附/浓缩+热力燃烧/催化氧化</w:t>
                  </w:r>
                </w:p>
              </w:tc>
              <w:tc>
                <w:tcPr>
                  <w:tcW w:w="775" w:type="pct"/>
                  <w:vMerge w:val="continue"/>
                  <w:vAlign w:val="center"/>
                </w:tcPr>
                <w:p w14:paraId="403C4B74">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p>
              </w:tc>
              <w:tc>
                <w:tcPr>
                  <w:tcW w:w="840" w:type="pct"/>
                  <w:vAlign w:val="center"/>
                </w:tcPr>
                <w:p w14:paraId="64278817">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烘干通道</w:t>
                  </w:r>
                  <w:r>
                    <w:rPr>
                      <w:rFonts w:hint="default" w:ascii="Times New Roman" w:hAnsi="Times New Roman" w:cs="Times New Roman"/>
                      <w:color w:val="000000" w:themeColor="text1"/>
                      <w:sz w:val="21"/>
                      <w:szCs w:val="21"/>
                      <w14:textFill>
                        <w14:solidFill>
                          <w14:schemeClr w14:val="tx1"/>
                        </w14:solidFill>
                      </w14:textFill>
                    </w:rPr>
                    <w:t>密闭+进出口处上方设置集气罩收集+过滤棉+两级活性炭吸附装置</w:t>
                  </w:r>
                </w:p>
              </w:tc>
              <w:tc>
                <w:tcPr>
                  <w:tcW w:w="283" w:type="pct"/>
                  <w:vAlign w:val="center"/>
                </w:tcPr>
                <w:p w14:paraId="5B9CCA39">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7D45B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94" w:type="pct"/>
                  <w:shd w:val="clear" w:color="auto" w:fill="auto"/>
                  <w:vAlign w:val="center"/>
                </w:tcPr>
                <w:p w14:paraId="516F561F">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bCs/>
                      <w:color w:val="auto"/>
                      <w:sz w:val="21"/>
                      <w:szCs w:val="21"/>
                    </w:rPr>
                    <w:t>热工单元</w:t>
                  </w:r>
                </w:p>
                <w:p w14:paraId="6BAB355D">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p>
              </w:tc>
              <w:tc>
                <w:tcPr>
                  <w:tcW w:w="587" w:type="pct"/>
                  <w:shd w:val="clear" w:color="auto" w:fill="auto"/>
                  <w:vAlign w:val="center"/>
                </w:tcPr>
                <w:p w14:paraId="089283A8">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bCs/>
                      <w:color w:val="auto"/>
                      <w:sz w:val="21"/>
                      <w:szCs w:val="21"/>
                    </w:rPr>
                    <w:t>加热</w:t>
                  </w:r>
                </w:p>
              </w:tc>
              <w:tc>
                <w:tcPr>
                  <w:tcW w:w="525" w:type="pct"/>
                  <w:shd w:val="clear" w:color="auto" w:fill="auto"/>
                  <w:vAlign w:val="center"/>
                </w:tcPr>
                <w:p w14:paraId="7C97E5F1">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bCs/>
                      <w:color w:val="auto"/>
                      <w:sz w:val="21"/>
                      <w:szCs w:val="21"/>
                    </w:rPr>
                    <w:t>所有加热炉</w:t>
                  </w:r>
                </w:p>
              </w:tc>
              <w:tc>
                <w:tcPr>
                  <w:tcW w:w="451" w:type="pct"/>
                  <w:shd w:val="clear" w:color="auto" w:fill="auto"/>
                  <w:vAlign w:val="center"/>
                </w:tcPr>
                <w:p w14:paraId="1A4835E9">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bCs/>
                      <w:color w:val="auto"/>
                      <w:sz w:val="21"/>
                      <w:szCs w:val="21"/>
                    </w:rPr>
                    <w:t>挥发性有机物</w:t>
                  </w:r>
                </w:p>
                <w:p w14:paraId="07C60A50">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p>
              </w:tc>
              <w:tc>
                <w:tcPr>
                  <w:tcW w:w="1241" w:type="pct"/>
                  <w:shd w:val="clear" w:color="auto" w:fill="auto"/>
                  <w:vAlign w:val="center"/>
                </w:tcPr>
                <w:p w14:paraId="6360A5C2">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bCs/>
                      <w:color w:val="auto"/>
                      <w:sz w:val="21"/>
                      <w:szCs w:val="21"/>
                    </w:rPr>
                  </w:pPr>
                  <w:r>
                    <w:rPr>
                      <w:rFonts w:hint="default" w:ascii="Times New Roman" w:hAnsi="Times New Roman"/>
                      <w:bCs/>
                      <w:color w:val="auto"/>
                      <w:sz w:val="21"/>
                      <w:szCs w:val="21"/>
                    </w:rPr>
                    <w:t>除尘器</w:t>
                  </w:r>
                </w:p>
                <w:p w14:paraId="0FEF1F2E">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bCs/>
                      <w:color w:val="auto"/>
                      <w:sz w:val="21"/>
                      <w:szCs w:val="21"/>
                    </w:rPr>
                  </w:pPr>
                  <w:r>
                    <w:rPr>
                      <w:rFonts w:hint="default" w:ascii="Times New Roman" w:hAnsi="Times New Roman"/>
                      <w:bCs/>
                      <w:color w:val="auto"/>
                      <w:sz w:val="21"/>
                      <w:szCs w:val="21"/>
                    </w:rPr>
                    <w:t>脱硫装置</w:t>
                  </w:r>
                </w:p>
                <w:p w14:paraId="28A90430">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kern w:val="0"/>
                      <w:sz w:val="21"/>
                      <w:szCs w:val="21"/>
                      <w14:textFill>
                        <w14:solidFill>
                          <w14:schemeClr w14:val="tx1"/>
                        </w14:solidFill>
                      </w14:textFill>
                    </w:rPr>
                  </w:pPr>
                  <w:r>
                    <w:rPr>
                      <w:rFonts w:hint="default" w:ascii="Times New Roman" w:hAnsi="Times New Roman"/>
                      <w:bCs/>
                      <w:color w:val="auto"/>
                      <w:sz w:val="21"/>
                      <w:szCs w:val="21"/>
                    </w:rPr>
                    <w:t>脱硝装置</w:t>
                  </w:r>
                </w:p>
              </w:tc>
              <w:tc>
                <w:tcPr>
                  <w:tcW w:w="775" w:type="pct"/>
                  <w:shd w:val="clear" w:color="auto" w:fill="auto"/>
                  <w:vAlign w:val="center"/>
                </w:tcPr>
                <w:p w14:paraId="70B2E710">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bCs/>
                      <w:color w:val="auto"/>
                      <w:sz w:val="21"/>
                      <w:szCs w:val="21"/>
                    </w:rPr>
                  </w:pPr>
                  <w:r>
                    <w:rPr>
                      <w:rFonts w:hint="default" w:ascii="Times New Roman" w:hAnsi="Times New Roman"/>
                      <w:bCs/>
                      <w:color w:val="auto"/>
                      <w:sz w:val="21"/>
                      <w:szCs w:val="21"/>
                    </w:rPr>
                    <w:t>《排污许可证申请与核发技术规范</w:t>
                  </w:r>
                </w:p>
                <w:p w14:paraId="5DC232D7">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bCs/>
                      <w:color w:val="auto"/>
                      <w:sz w:val="21"/>
                      <w:szCs w:val="21"/>
                    </w:rPr>
                    <w:t>工业炉窑》（HJ1121-2020）</w:t>
                  </w:r>
                </w:p>
              </w:tc>
              <w:tc>
                <w:tcPr>
                  <w:tcW w:w="840" w:type="pct"/>
                  <w:shd w:val="clear" w:color="auto" w:fill="auto"/>
                  <w:vAlign w:val="center"/>
                </w:tcPr>
                <w:p w14:paraId="6D5152C1">
                  <w:pPr>
                    <w:keepNext w:val="0"/>
                    <w:keepLines w:val="0"/>
                    <w:widowControl/>
                    <w:suppressLineNumbers w:val="0"/>
                    <w:spacing w:before="0" w:beforeAutospacing="0" w:after="0" w:afterAutospacing="0"/>
                    <w:ind w:left="0" w:right="0"/>
                    <w:jc w:val="both"/>
                    <w:rPr>
                      <w:rFonts w:hint="default" w:ascii="Times New Roman" w:hAnsi="Times New Roman" w:cs="Times New Roman"/>
                      <w:color w:val="000000" w:themeColor="text1"/>
                      <w:sz w:val="21"/>
                      <w:szCs w:val="21"/>
                      <w14:textFill>
                        <w14:solidFill>
                          <w14:schemeClr w14:val="tx1"/>
                        </w14:solidFill>
                      </w14:textFill>
                    </w:rPr>
                  </w:pPr>
                </w:p>
              </w:tc>
              <w:tc>
                <w:tcPr>
                  <w:tcW w:w="283" w:type="pct"/>
                  <w:shd w:val="clear" w:color="auto" w:fill="auto"/>
                  <w:vAlign w:val="center"/>
                </w:tcPr>
                <w:p w14:paraId="63945FE1">
                  <w:pPr>
                    <w:pStyle w:val="99"/>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bCs/>
                      <w:color w:val="auto"/>
                      <w:sz w:val="21"/>
                      <w:szCs w:val="21"/>
                    </w:rPr>
                    <w:t>是</w:t>
                  </w:r>
                </w:p>
              </w:tc>
            </w:tr>
          </w:tbl>
          <w:p w14:paraId="0E1B721A">
            <w:pPr>
              <w:keepNext w:val="0"/>
              <w:keepLines w:val="0"/>
              <w:suppressLineNumbers w:val="0"/>
              <w:autoSpaceDE w:val="0"/>
              <w:spacing w:before="0" w:beforeAutospacing="0" w:after="0" w:afterAutospacing="0" w:line="360" w:lineRule="auto"/>
              <w:ind w:left="0" w:right="0" w:firstLine="480" w:firstLineChars="200"/>
              <w:rPr>
                <w:rFonts w:hint="default"/>
                <w:color w:val="auto"/>
                <w:sz w:val="24"/>
              </w:rPr>
            </w:pPr>
            <w:r>
              <w:rPr>
                <w:rFonts w:hint="default"/>
                <w:color w:val="auto"/>
                <w:sz w:val="24"/>
              </w:rPr>
              <w:t>由表可知，本项目采用的废气处理技术</w:t>
            </w:r>
            <w:r>
              <w:rPr>
                <w:rFonts w:hint="default"/>
                <w:bCs/>
                <w:color w:val="auto"/>
                <w:sz w:val="24"/>
              </w:rPr>
              <w:t>，</w:t>
            </w:r>
            <w:r>
              <w:rPr>
                <w:rFonts w:hint="default"/>
                <w:color w:val="auto"/>
                <w:kern w:val="0"/>
                <w:sz w:val="24"/>
                <w:lang w:bidi="ar"/>
              </w:rPr>
              <w:t>均为可行性技术，</w:t>
            </w:r>
            <w:r>
              <w:rPr>
                <w:rFonts w:hint="default"/>
                <w:color w:val="auto"/>
                <w:sz w:val="24"/>
              </w:rPr>
              <w:t>符</w:t>
            </w:r>
            <w:r>
              <w:rPr>
                <w:rFonts w:hint="default"/>
                <w:color w:val="auto"/>
                <w:kern w:val="0"/>
                <w:sz w:val="24"/>
                <w:lang w:bidi="ar"/>
              </w:rPr>
              <w:t>合</w:t>
            </w:r>
            <w:r>
              <w:rPr>
                <w:rFonts w:hint="default" w:ascii="Times New Roman" w:hAnsi="Times New Roman" w:cs="Times New Roman"/>
                <w:color w:val="000000" w:themeColor="text1"/>
                <w:sz w:val="24"/>
                <w14:textFill>
                  <w14:solidFill>
                    <w14:schemeClr w14:val="tx1"/>
                  </w14:solidFill>
                </w14:textFill>
              </w:rPr>
              <w:t>《排污许可证申请与核发技术规范  汽车制造业》（HJ 971—2018）、</w:t>
            </w:r>
            <w:r>
              <w:rPr>
                <w:rFonts w:hint="default"/>
                <w:bCs/>
                <w:color w:val="auto"/>
                <w:sz w:val="24"/>
              </w:rPr>
              <w:t>《排污许可证申请与核发技术规范 铁路、船舶、航空航天和其他运输设备制造业》（HJ 1124-2020）、《排污许可证申请与核发技术规范  工业炉窑》（HJ1121-2020）</w:t>
            </w:r>
            <w:r>
              <w:rPr>
                <w:rFonts w:hint="default"/>
                <w:color w:val="auto"/>
                <w:kern w:val="0"/>
                <w:sz w:val="24"/>
                <w:lang w:bidi="ar"/>
              </w:rPr>
              <w:t>中可行技术要求。综上，项目废气治理措施属于可行技术。</w:t>
            </w:r>
          </w:p>
          <w:p w14:paraId="4507E604">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kern w:val="0"/>
                <w:sz w:val="24"/>
                <w:highlight w:val="none"/>
                <w:lang w:bidi="ar"/>
              </w:rPr>
              <w:t>综上，项目废气治理措施属于可行技术。</w:t>
            </w:r>
          </w:p>
          <w:p w14:paraId="7846028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（4）排气筒高度设计要求</w:t>
            </w:r>
          </w:p>
          <w:p w14:paraId="15C7FE4E">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①标准中对排气筒高度的规定</w:t>
            </w:r>
          </w:p>
          <w:p w14:paraId="1CD44825">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《大气污染物综合排放标准》（GB16297-1996）中对排气筒高度的规定：“排气筒高度应高出周围200m半径范围的建筑5m以上”。</w:t>
            </w:r>
          </w:p>
          <w:p w14:paraId="29BFBF50">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000000" w:themeColor="text1"/>
                <w:kern w:val="0"/>
                <w:sz w:val="24"/>
                <w:lang w:bidi="ar"/>
                <w14:textFill>
                  <w14:solidFill>
                    <w14:schemeClr w14:val="tx1"/>
                  </w14:solidFill>
                </w14:textFill>
              </w:rPr>
              <w:t>《固定源挥发性有机物综合排放标准第6部分：其他行业》（DB34/4812.6-2024）中对排气筒高度的规定：“排气筒高度不低于15m（因安全考虑或有特殊工艺要求的除外），具体高度以及与周围建筑物的相对高度关系应根据环境影响评价文件确定”。</w:t>
            </w:r>
          </w:p>
          <w:p w14:paraId="21D5713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②项目排气筒高度要求</w:t>
            </w:r>
          </w:p>
          <w:p w14:paraId="7E15E9A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 w:val="24"/>
                <w:highlight w:val="none"/>
              </w:rPr>
              <w:t>本次评价中排气筒高度按照各标准的最严要求设置，项目周边建筑物最高为本项目的生产厂房，主体1F，高</w:t>
            </w:r>
            <w:r>
              <w:rPr>
                <w:rFonts w:hint="eastAsia" w:cs="Times New Roman"/>
                <w:color w:val="auto"/>
                <w:sz w:val="24"/>
                <w:highlight w:val="none"/>
                <w:lang w:val="en-US" w:eastAsia="zh-CN"/>
              </w:rPr>
              <w:t>7.5</w:t>
            </w:r>
            <w:r>
              <w:rPr>
                <w:rFonts w:hint="default" w:ascii="Times New Roman" w:hAnsi="Times New Roman" w:cs="Times New Roman"/>
                <w:color w:val="auto"/>
                <w:sz w:val="24"/>
                <w:highlight w:val="none"/>
              </w:rPr>
              <w:t>m，局部</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rPr>
              <w:t>F，共高</w:t>
            </w:r>
            <w:r>
              <w:rPr>
                <w:rFonts w:hint="eastAsia" w:cs="Times New Roman"/>
                <w:color w:val="auto"/>
                <w:sz w:val="24"/>
                <w:highlight w:val="none"/>
                <w:lang w:val="en-US" w:eastAsia="zh-CN"/>
              </w:rPr>
              <w:t>3.5</w:t>
            </w:r>
            <w:r>
              <w:rPr>
                <w:rFonts w:hint="default" w:ascii="Times New Roman" w:hAnsi="Times New Roman" w:cs="Times New Roman"/>
                <w:color w:val="auto"/>
                <w:sz w:val="24"/>
                <w:highlight w:val="none"/>
              </w:rPr>
              <w:t>m，</w:t>
            </w:r>
            <w:r>
              <w:rPr>
                <w:rFonts w:hint="default" w:ascii="Times New Roman" w:hAnsi="Times New Roman" w:cs="Times New Roman"/>
                <w:color w:val="000000" w:themeColor="text1"/>
                <w:sz w:val="24"/>
                <w14:textFill>
                  <w14:solidFill>
                    <w14:schemeClr w14:val="tx1"/>
                  </w14:solidFill>
                </w14:textFill>
              </w:rPr>
              <w:t>项目周边建筑物最高为本项目的生产厂房，总体高度为</w:t>
            </w:r>
            <w:r>
              <w:rPr>
                <w:rFonts w:hint="eastAsia" w:ascii="Times New Roman" w:hAnsi="Times New Roman" w:cs="Times New Roman"/>
                <w:color w:val="000000" w:themeColor="text1"/>
                <w:sz w:val="24"/>
                <w:lang w:val="en-US" w:eastAsia="zh-CN"/>
                <w14:textFill>
                  <w14:solidFill>
                    <w14:schemeClr w14:val="tx1"/>
                  </w14:solidFill>
                </w14:textFill>
              </w:rPr>
              <w:t>7.5</w:t>
            </w:r>
            <w:r>
              <w:rPr>
                <w:rFonts w:hint="default" w:ascii="Times New Roman" w:hAnsi="Times New Roman" w:cs="Times New Roman"/>
                <w:color w:val="000000" w:themeColor="text1"/>
                <w:sz w:val="24"/>
                <w14:textFill>
                  <w14:solidFill>
                    <w14:schemeClr w14:val="tx1"/>
                  </w14:solidFill>
                </w14:textFill>
              </w:rPr>
              <w:t>m，因此项目排气筒</w:t>
            </w:r>
            <w:r>
              <w:rPr>
                <w:rFonts w:hint="default" w:ascii="Times New Roman" w:hAnsi="Times New Roman" w:cs="Times New Roman"/>
                <w:color w:val="000000" w:themeColor="text1"/>
                <w:sz w:val="24"/>
                <w:lang w:val="en-US" w:eastAsia="zh-CN"/>
                <w14:textFill>
                  <w14:solidFill>
                    <w14:schemeClr w14:val="tx1"/>
                  </w14:solidFill>
                </w14:textFill>
              </w:rPr>
              <w:t>应</w:t>
            </w:r>
            <w:r>
              <w:rPr>
                <w:rFonts w:hint="default" w:ascii="Times New Roman" w:hAnsi="Times New Roman" w:cs="Times New Roman"/>
                <w:color w:val="000000" w:themeColor="text1"/>
                <w:sz w:val="24"/>
                <w14:textFill>
                  <w14:solidFill>
                    <w14:schemeClr w14:val="tx1"/>
                  </w14:solidFill>
                </w14:textFill>
              </w:rPr>
              <w:t>设计高度为</w:t>
            </w:r>
            <w:r>
              <w:rPr>
                <w:rFonts w:hint="default" w:ascii="Times New Roman" w:hAnsi="Times New Roman" w:cs="Times New Roman"/>
                <w:color w:val="000000" w:themeColor="text1"/>
                <w:sz w:val="24"/>
                <w:lang w:eastAsia="zh-CN"/>
                <w14:textFill>
                  <w14:solidFill>
                    <w14:schemeClr w14:val="tx1"/>
                  </w14:solidFill>
                </w14:textFill>
              </w:rPr>
              <w:t>15m，</w:t>
            </w:r>
            <w:r>
              <w:rPr>
                <w:rFonts w:hint="default" w:ascii="Times New Roman" w:hAnsi="Times New Roman" w:cs="Times New Roman"/>
                <w:color w:val="auto"/>
                <w:sz w:val="24"/>
                <w:highlight w:val="none"/>
              </w:rPr>
              <w:t>满足</w:t>
            </w:r>
            <w:r>
              <w:rPr>
                <w:rFonts w:hint="default" w:ascii="Times New Roman" w:hAnsi="Times New Roman" w:cs="Times New Roman"/>
                <w:color w:val="auto"/>
                <w:kern w:val="0"/>
                <w:sz w:val="24"/>
                <w:highlight w:val="none"/>
                <w:lang w:bidi="ar"/>
              </w:rPr>
              <w:t>《大气污染物综合排放标准》（GB16297-1996）中对排气筒高度的规定</w:t>
            </w:r>
            <w:r>
              <w:rPr>
                <w:rFonts w:hint="default" w:ascii="Times New Roman" w:hAnsi="Times New Roman" w:cs="Times New Roman"/>
                <w:color w:val="auto"/>
                <w:sz w:val="24"/>
                <w:highlight w:val="none"/>
              </w:rPr>
              <w:t>。</w:t>
            </w:r>
          </w:p>
          <w:p w14:paraId="3A667F11">
            <w:pPr>
              <w:keepNext w:val="0"/>
              <w:keepLines w:val="0"/>
              <w:suppressLineNumbers w:val="0"/>
              <w:tabs>
                <w:tab w:val="left" w:pos="1077"/>
              </w:tabs>
              <w:spacing w:before="0" w:beforeAutospacing="0" w:after="0" w:afterAutospacing="0" w:line="360" w:lineRule="auto"/>
              <w:ind w:left="0" w:right="0" w:firstLine="482" w:firstLineChars="200"/>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4、运营期废气监控计划</w:t>
            </w:r>
          </w:p>
          <w:p w14:paraId="7A0F98D7">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根据</w:t>
            </w:r>
            <w:r>
              <w:rPr>
                <w:rFonts w:hint="default" w:ascii="Times New Roman" w:hAnsi="Times New Roman" w:cs="Times New Roman"/>
                <w:color w:val="auto"/>
                <w:sz w:val="24"/>
                <w:highlight w:val="none"/>
              </w:rPr>
              <w:t>《排污单位自行监测技术指南 总则》（HJ819-2017）、</w:t>
            </w:r>
            <w:r>
              <w:rPr>
                <w:rFonts w:hint="eastAsia" w:cs="Times New Roman"/>
                <w:color w:val="auto"/>
                <w:sz w:val="24"/>
                <w:highlight w:val="none"/>
                <w:lang w:eastAsia="zh-CN"/>
              </w:rPr>
              <w:t>《排污单位自行监测技术指南 涂装》（HJ 1086—2020）</w:t>
            </w:r>
            <w:r>
              <w:rPr>
                <w:rFonts w:hint="default" w:ascii="Times New Roman" w:hAnsi="Times New Roman" w:cs="Times New Roman"/>
                <w:color w:val="auto"/>
                <w:sz w:val="24"/>
                <w:highlight w:val="none"/>
                <w:lang w:eastAsia="zh-CN"/>
              </w:rPr>
              <w:t>、</w:t>
            </w:r>
            <w:r>
              <w:rPr>
                <w:rFonts w:hint="eastAsia" w:cs="Times New Roman"/>
                <w:color w:val="auto"/>
                <w:sz w:val="24"/>
                <w:szCs w:val="24"/>
                <w:highlight w:val="none"/>
                <w:lang w:eastAsia="zh-CN"/>
              </w:rPr>
              <w:t>《排污许可证申请与核发技术规范 铁路、船舶、航空航天和其他运输设备制造业》</w:t>
            </w:r>
            <w:r>
              <w:rPr>
                <w:rFonts w:hint="default" w:ascii="Times New Roman" w:hAnsi="Times New Roman" w:cs="Times New Roman"/>
                <w:color w:val="auto"/>
                <w:sz w:val="24"/>
                <w:highlight w:val="none"/>
              </w:rPr>
              <w:t>的相关要</w:t>
            </w:r>
            <w:r>
              <w:rPr>
                <w:rFonts w:hint="default"/>
              </w:rPr>
              <w:commentReference w:id="34"/>
            </w:r>
            <w:r>
              <w:rPr>
                <w:rFonts w:hint="default" w:ascii="Times New Roman" w:hAnsi="Times New Roman" w:cs="Times New Roman"/>
                <w:color w:val="auto"/>
                <w:sz w:val="24"/>
                <w:highlight w:val="none"/>
              </w:rPr>
              <w:t>求</w:t>
            </w:r>
            <w:r>
              <w:rPr>
                <w:rFonts w:hint="default" w:ascii="Times New Roman" w:hAnsi="Times New Roman" w:cs="Times New Roman"/>
                <w:color w:val="auto"/>
                <w:kern w:val="0"/>
                <w:sz w:val="24"/>
                <w:highlight w:val="none"/>
              </w:rPr>
              <w:t>，项目大气污染物监测计划见下表。</w:t>
            </w:r>
          </w:p>
          <w:p w14:paraId="5346987E">
            <w:pPr>
              <w:keepNext w:val="0"/>
              <w:keepLines w:val="0"/>
              <w:widowControl/>
              <w:suppressLineNumbers w:val="0"/>
              <w:spacing w:before="0" w:beforeAutospacing="0" w:after="0" w:afterAutospacing="0"/>
              <w:ind w:left="-105" w:leftChars="-50" w:right="0"/>
              <w:jc w:val="center"/>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w:t>
            </w:r>
            <w:r>
              <w:rPr>
                <w:rFonts w:hint="eastAsia" w:cs="Times New Roman"/>
                <w:b/>
                <w:color w:val="auto"/>
                <w:kern w:val="0"/>
                <w:sz w:val="24"/>
                <w:highlight w:val="none"/>
                <w:lang w:val="en-US" w:eastAsia="zh-CN"/>
              </w:rPr>
              <w:t>21</w:t>
            </w:r>
            <w:r>
              <w:rPr>
                <w:rFonts w:hint="default" w:ascii="Times New Roman" w:hAnsi="Times New Roman" w:cs="Times New Roman"/>
                <w:b/>
                <w:color w:val="auto"/>
                <w:kern w:val="0"/>
                <w:sz w:val="24"/>
                <w:highlight w:val="none"/>
              </w:rPr>
              <w:t xml:space="preserve">  项目运营期废气监控计划一览表</w:t>
            </w:r>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
              <w:gridCol w:w="927"/>
              <w:gridCol w:w="1817"/>
              <w:gridCol w:w="1333"/>
              <w:gridCol w:w="867"/>
              <w:gridCol w:w="3031"/>
            </w:tblGrid>
            <w:tr w14:paraId="61B78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04" w:type="dxa"/>
                  <w:vAlign w:val="center"/>
                </w:tcPr>
                <w:p w14:paraId="74F4C2D1">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类别</w:t>
                  </w:r>
                </w:p>
              </w:tc>
              <w:tc>
                <w:tcPr>
                  <w:tcW w:w="927" w:type="dxa"/>
                  <w:vAlign w:val="center"/>
                </w:tcPr>
                <w:p w14:paraId="6CE2B293">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排放口类型</w:t>
                  </w:r>
                </w:p>
              </w:tc>
              <w:tc>
                <w:tcPr>
                  <w:tcW w:w="1817" w:type="dxa"/>
                  <w:vAlign w:val="center"/>
                </w:tcPr>
                <w:p w14:paraId="4FE9ABE9">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监测点位</w:t>
                  </w:r>
                </w:p>
              </w:tc>
              <w:tc>
                <w:tcPr>
                  <w:tcW w:w="1333" w:type="dxa"/>
                  <w:vAlign w:val="center"/>
                </w:tcPr>
                <w:p w14:paraId="5274E2E2">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监测</w:t>
                  </w:r>
                </w:p>
                <w:p w14:paraId="6930DEC0">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项目</w:t>
                  </w:r>
                </w:p>
              </w:tc>
              <w:tc>
                <w:tcPr>
                  <w:tcW w:w="867" w:type="dxa"/>
                  <w:vAlign w:val="center"/>
                </w:tcPr>
                <w:p w14:paraId="12DE661C">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最低</w:t>
                  </w:r>
                </w:p>
                <w:p w14:paraId="79000B66">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监测频次</w:t>
                  </w:r>
                </w:p>
              </w:tc>
              <w:tc>
                <w:tcPr>
                  <w:tcW w:w="3031" w:type="dxa"/>
                  <w:vAlign w:val="center"/>
                </w:tcPr>
                <w:p w14:paraId="11C22FFC">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执行标准</w:t>
                  </w:r>
                </w:p>
              </w:tc>
            </w:tr>
            <w:tr w14:paraId="18A0B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04" w:type="dxa"/>
                  <w:vMerge w:val="restart"/>
                  <w:vAlign w:val="center"/>
                </w:tcPr>
                <w:p w14:paraId="58DADDFD">
                  <w:pPr>
                    <w:keepNext w:val="0"/>
                    <w:keepLines w:val="0"/>
                    <w:widowControl/>
                    <w:suppressLineNumbers w:val="0"/>
                    <w:autoSpaceDE w:val="0"/>
                    <w:autoSpaceDN w:val="0"/>
                    <w:adjustRightInd w:val="0"/>
                    <w:spacing w:before="0" w:beforeAutospacing="0" w:after="0" w:afterAutospacing="0"/>
                    <w:ind w:left="0" w:right="0"/>
                    <w:jc w:val="center"/>
                    <w:rPr>
                      <w:rFonts w:hint="default"/>
                      <w:color w:val="auto"/>
                      <w:kern w:val="0"/>
                      <w:szCs w:val="21"/>
                    </w:rPr>
                  </w:pPr>
                  <w:r>
                    <w:rPr>
                      <w:rFonts w:hint="default"/>
                      <w:color w:val="auto"/>
                      <w:kern w:val="0"/>
                      <w:szCs w:val="21"/>
                    </w:rPr>
                    <w:t>废气</w:t>
                  </w:r>
                </w:p>
              </w:tc>
              <w:tc>
                <w:tcPr>
                  <w:tcW w:w="927" w:type="dxa"/>
                  <w:vAlign w:val="center"/>
                </w:tcPr>
                <w:p w14:paraId="5F831D15">
                  <w:pPr>
                    <w:keepNext w:val="0"/>
                    <w:keepLines w:val="0"/>
                    <w:widowControl/>
                    <w:suppressLineNumbers w:val="0"/>
                    <w:spacing w:before="0" w:beforeAutospacing="0" w:after="0" w:afterAutospacing="0"/>
                    <w:ind w:left="0" w:right="0"/>
                    <w:jc w:val="center"/>
                    <w:rPr>
                      <w:rFonts w:hint="default"/>
                      <w:color w:val="auto"/>
                      <w:kern w:val="0"/>
                      <w:szCs w:val="21"/>
                    </w:rPr>
                  </w:pPr>
                  <w:r>
                    <w:rPr>
                      <w:rFonts w:hint="default"/>
                      <w:color w:val="auto"/>
                      <w:kern w:val="0"/>
                      <w:szCs w:val="21"/>
                    </w:rPr>
                    <w:t>一般排放口</w:t>
                  </w:r>
                </w:p>
              </w:tc>
              <w:tc>
                <w:tcPr>
                  <w:tcW w:w="1817" w:type="dxa"/>
                  <w:vAlign w:val="center"/>
                </w:tcPr>
                <w:p w14:paraId="43FF973B">
                  <w:pPr>
                    <w:keepNext w:val="0"/>
                    <w:keepLines w:val="0"/>
                    <w:widowControl/>
                    <w:suppressLineNumbers w:val="0"/>
                    <w:spacing w:before="0" w:beforeAutospacing="0" w:after="0" w:afterAutospacing="0"/>
                    <w:ind w:left="0" w:right="0"/>
                    <w:jc w:val="center"/>
                    <w:rPr>
                      <w:rFonts w:hint="default"/>
                      <w:color w:val="auto"/>
                      <w:szCs w:val="21"/>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w:t>
                  </w:r>
                  <w:r>
                    <w:rPr>
                      <w:rFonts w:hint="default"/>
                      <w:color w:val="auto"/>
                      <w:szCs w:val="21"/>
                    </w:rPr>
                    <w:t>排放口（DA001）</w:t>
                  </w:r>
                </w:p>
              </w:tc>
              <w:tc>
                <w:tcPr>
                  <w:tcW w:w="1333" w:type="dxa"/>
                  <w:shd w:val="clear" w:color="auto" w:fill="auto"/>
                  <w:vAlign w:val="center"/>
                </w:tcPr>
                <w:p w14:paraId="3F597BCA">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default"/>
                      <w:color w:val="auto"/>
                      <w:kern w:val="0"/>
                      <w:szCs w:val="21"/>
                      <w:lang w:bidi="ar"/>
                    </w:rPr>
                    <w:t>颗粒物</w:t>
                  </w:r>
                </w:p>
              </w:tc>
              <w:tc>
                <w:tcPr>
                  <w:tcW w:w="867" w:type="dxa"/>
                  <w:vAlign w:val="center"/>
                </w:tcPr>
                <w:p w14:paraId="66EEC78D">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1次/年</w:t>
                  </w:r>
                </w:p>
              </w:tc>
              <w:tc>
                <w:tcPr>
                  <w:tcW w:w="3031" w:type="dxa"/>
                  <w:vAlign w:val="center"/>
                </w:tcPr>
                <w:p w14:paraId="716A5DE3">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ascii="Times New Roman" w:hAnsi="Times New Roman" w:cs="Times New Roman"/>
                      <w:color w:val="000000" w:themeColor="text1"/>
                      <w:kern w:val="0"/>
                      <w:sz w:val="21"/>
                      <w:szCs w:val="21"/>
                      <w14:textFill>
                        <w14:solidFill>
                          <w14:schemeClr w14:val="tx1"/>
                        </w14:solidFill>
                      </w14:textFill>
                    </w:rPr>
                    <w:t>《大气污染物综合排放标准》（GB 16297-1996）表2</w:t>
                  </w:r>
                </w:p>
              </w:tc>
            </w:tr>
            <w:tr w14:paraId="07BC2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404" w:type="dxa"/>
                  <w:vMerge w:val="continue"/>
                  <w:vAlign w:val="center"/>
                </w:tcPr>
                <w:p w14:paraId="00D4B99B">
                  <w:pPr>
                    <w:keepNext w:val="0"/>
                    <w:keepLines w:val="0"/>
                    <w:widowControl/>
                    <w:suppressLineNumbers w:val="0"/>
                    <w:autoSpaceDE w:val="0"/>
                    <w:autoSpaceDN w:val="0"/>
                    <w:adjustRightInd w:val="0"/>
                    <w:spacing w:before="0" w:beforeAutospacing="0" w:after="0" w:afterAutospacing="0"/>
                    <w:ind w:left="0" w:right="0"/>
                    <w:jc w:val="center"/>
                    <w:rPr>
                      <w:rFonts w:hint="default"/>
                      <w:color w:val="auto"/>
                      <w:kern w:val="0"/>
                      <w:szCs w:val="21"/>
                    </w:rPr>
                  </w:pPr>
                </w:p>
              </w:tc>
              <w:tc>
                <w:tcPr>
                  <w:tcW w:w="927" w:type="dxa"/>
                  <w:vMerge w:val="restart"/>
                  <w:shd w:val="clear" w:color="auto" w:fill="auto"/>
                  <w:vAlign w:val="center"/>
                </w:tcPr>
                <w:p w14:paraId="3926D48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一般排放口</w:t>
                  </w:r>
                </w:p>
              </w:tc>
              <w:tc>
                <w:tcPr>
                  <w:tcW w:w="1817" w:type="dxa"/>
                  <w:vMerge w:val="restart"/>
                  <w:shd w:val="clear" w:color="auto" w:fill="auto"/>
                  <w:vAlign w:val="center"/>
                </w:tcPr>
                <w:p w14:paraId="661CC29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r>
                    <w:rPr>
                      <w:rFonts w:hint="default"/>
                      <w:color w:val="auto"/>
                      <w:kern w:val="0"/>
                      <w:szCs w:val="21"/>
                    </w:rPr>
                    <w:t>废气</w:t>
                  </w:r>
                  <w:r>
                    <w:rPr>
                      <w:rFonts w:hint="default"/>
                      <w:color w:val="auto"/>
                      <w:szCs w:val="21"/>
                    </w:rPr>
                    <w:t>排放口（DA002）</w:t>
                  </w:r>
                </w:p>
              </w:tc>
              <w:tc>
                <w:tcPr>
                  <w:tcW w:w="1333" w:type="dxa"/>
                  <w:vAlign w:val="center"/>
                </w:tcPr>
                <w:p w14:paraId="3F02FA51">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szCs w:val="21"/>
                    </w:rPr>
                    <w:t>非甲烷总烃</w:t>
                  </w:r>
                </w:p>
              </w:tc>
              <w:tc>
                <w:tcPr>
                  <w:tcW w:w="867" w:type="dxa"/>
                  <w:vAlign w:val="center"/>
                </w:tcPr>
                <w:p w14:paraId="1952D80C">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1次/年</w:t>
                  </w:r>
                </w:p>
              </w:tc>
              <w:tc>
                <w:tcPr>
                  <w:tcW w:w="3031" w:type="dxa"/>
                  <w:vAlign w:val="center"/>
                </w:tcPr>
                <w:p w14:paraId="4646DB81">
                  <w:pPr>
                    <w:keepNext w:val="0"/>
                    <w:keepLines w:val="0"/>
                    <w:widowControl/>
                    <w:suppressLineNumbers w:val="0"/>
                    <w:snapToGrid w:val="0"/>
                    <w:spacing w:before="0" w:beforeAutospacing="0" w:after="0" w:afterAutospacing="0"/>
                    <w:ind w:left="0" w:right="0"/>
                    <w:jc w:val="center"/>
                    <w:rPr>
                      <w:rFonts w:hint="default"/>
                      <w:color w:val="auto"/>
                    </w:rPr>
                  </w:pPr>
                  <w:r>
                    <w:rPr>
                      <w:rFonts w:hint="default" w:ascii="Times New Roman" w:hAnsi="Times New Roman" w:cs="Times New Roman"/>
                      <w:color w:val="000000" w:themeColor="text1"/>
                      <w:kern w:val="0"/>
                      <w:sz w:val="21"/>
                      <w:szCs w:val="21"/>
                      <w14:textFill>
                        <w14:solidFill>
                          <w14:schemeClr w14:val="tx1"/>
                        </w14:solidFill>
                      </w14:textFill>
                    </w:rPr>
                    <w:t>《固定源挥发性有机物综合排放标准第6部分：其他行业》（DB34/4812.6-2024）表1</w:t>
                  </w:r>
                </w:p>
              </w:tc>
            </w:tr>
            <w:tr w14:paraId="78A98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28DC506F">
                  <w:pPr>
                    <w:keepNext w:val="0"/>
                    <w:keepLines w:val="0"/>
                    <w:widowControl/>
                    <w:suppressLineNumbers w:val="0"/>
                    <w:autoSpaceDE w:val="0"/>
                    <w:autoSpaceDN w:val="0"/>
                    <w:adjustRightInd w:val="0"/>
                    <w:spacing w:before="0" w:beforeAutospacing="0" w:after="0" w:afterAutospacing="0"/>
                    <w:ind w:left="0" w:right="0"/>
                    <w:jc w:val="center"/>
                    <w:rPr>
                      <w:rFonts w:hint="default"/>
                      <w:color w:val="auto"/>
                      <w:kern w:val="0"/>
                      <w:szCs w:val="21"/>
                    </w:rPr>
                  </w:pPr>
                </w:p>
              </w:tc>
              <w:tc>
                <w:tcPr>
                  <w:tcW w:w="927" w:type="dxa"/>
                  <w:vMerge w:val="continue"/>
                  <w:shd w:val="clear" w:color="auto" w:fill="auto"/>
                  <w:vAlign w:val="center"/>
                </w:tcPr>
                <w:p w14:paraId="7BE1324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p>
              </w:tc>
              <w:tc>
                <w:tcPr>
                  <w:tcW w:w="1817" w:type="dxa"/>
                  <w:vMerge w:val="continue"/>
                  <w:shd w:val="clear" w:color="auto" w:fill="auto"/>
                  <w:vAlign w:val="center"/>
                </w:tcPr>
                <w:p w14:paraId="5C2DECA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p>
              </w:tc>
              <w:tc>
                <w:tcPr>
                  <w:tcW w:w="1333" w:type="dxa"/>
                  <w:vAlign w:val="center"/>
                </w:tcPr>
                <w:p w14:paraId="68DD5773">
                  <w:pPr>
                    <w:keepNext w:val="0"/>
                    <w:keepLines w:val="0"/>
                    <w:widowControl/>
                    <w:suppressLineNumbers w:val="0"/>
                    <w:snapToGrid w:val="0"/>
                    <w:spacing w:before="0" w:beforeAutospacing="0" w:after="0" w:afterAutospacing="0"/>
                    <w:ind w:left="0" w:right="0"/>
                    <w:jc w:val="center"/>
                    <w:rPr>
                      <w:rFonts w:hint="default"/>
                      <w:color w:val="auto"/>
                      <w:szCs w:val="21"/>
                    </w:rPr>
                  </w:pPr>
                  <w:r>
                    <w:rPr>
                      <w:rFonts w:hint="default"/>
                      <w:color w:val="auto"/>
                      <w:kern w:val="0"/>
                      <w:szCs w:val="21"/>
                    </w:rPr>
                    <w:t>颗粒物</w:t>
                  </w:r>
                </w:p>
              </w:tc>
              <w:tc>
                <w:tcPr>
                  <w:tcW w:w="867" w:type="dxa"/>
                  <w:vAlign w:val="center"/>
                </w:tcPr>
                <w:p w14:paraId="0E70D63C">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1次/年</w:t>
                  </w:r>
                </w:p>
              </w:tc>
              <w:tc>
                <w:tcPr>
                  <w:tcW w:w="3031" w:type="dxa"/>
                  <w:vMerge w:val="restart"/>
                  <w:vAlign w:val="center"/>
                </w:tcPr>
                <w:p w14:paraId="19D76E27">
                  <w:pPr>
                    <w:keepNext w:val="0"/>
                    <w:keepLines w:val="0"/>
                    <w:widowControl/>
                    <w:suppressLineNumbers w:val="0"/>
                    <w:snapToGrid w:val="0"/>
                    <w:spacing w:before="0" w:beforeAutospacing="0" w:after="0" w:afterAutospacing="0"/>
                    <w:ind w:left="0" w:right="0"/>
                    <w:jc w:val="center"/>
                    <w:rPr>
                      <w:rFonts w:hint="default"/>
                      <w:color w:val="auto"/>
                      <w:kern w:val="0"/>
                      <w:szCs w:val="21"/>
                      <w:lang w:bidi="ar"/>
                    </w:rPr>
                  </w:pPr>
                  <w:r>
                    <w:rPr>
                      <w:rFonts w:hint="default"/>
                      <w:color w:val="auto"/>
                    </w:rPr>
                    <w:t>《工业炉窑大气污染综合治理方案》（环大气[2019]56号）排放限值</w:t>
                  </w:r>
                </w:p>
              </w:tc>
            </w:tr>
            <w:tr w14:paraId="47B47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1A3B647A">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927" w:type="dxa"/>
                  <w:vMerge w:val="continue"/>
                  <w:vAlign w:val="center"/>
                </w:tcPr>
                <w:p w14:paraId="738A6513">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1817" w:type="dxa"/>
                  <w:vMerge w:val="continue"/>
                  <w:vAlign w:val="center"/>
                </w:tcPr>
                <w:p w14:paraId="1F54720E">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1333" w:type="dxa"/>
                  <w:vAlign w:val="center"/>
                </w:tcPr>
                <w:p w14:paraId="05A84926">
                  <w:pPr>
                    <w:keepNext w:val="0"/>
                    <w:keepLines w:val="0"/>
                    <w:suppressLineNumbers w:val="0"/>
                    <w:adjustRightInd w:val="0"/>
                    <w:snapToGrid w:val="0"/>
                    <w:spacing w:before="0" w:beforeAutospacing="0" w:after="0" w:afterAutospacing="0"/>
                    <w:ind w:left="0" w:right="0"/>
                    <w:jc w:val="center"/>
                    <w:textAlignment w:val="baseline"/>
                    <w:rPr>
                      <w:rFonts w:hint="default"/>
                      <w:color w:val="auto"/>
                      <w:kern w:val="0"/>
                      <w:szCs w:val="21"/>
                      <w:lang w:bidi="ar"/>
                    </w:rPr>
                  </w:pPr>
                  <w:r>
                    <w:rPr>
                      <w:rFonts w:hint="default" w:eastAsiaTheme="minorEastAsia"/>
                      <w:snapToGrid w:val="0"/>
                      <w:color w:val="auto"/>
                      <w:kern w:val="0"/>
                      <w:szCs w:val="21"/>
                    </w:rPr>
                    <w:t>SO</w:t>
                  </w:r>
                  <w:r>
                    <w:rPr>
                      <w:rFonts w:hint="default" w:eastAsiaTheme="minorEastAsia"/>
                      <w:snapToGrid w:val="0"/>
                      <w:color w:val="auto"/>
                      <w:kern w:val="0"/>
                      <w:szCs w:val="21"/>
                      <w:vertAlign w:val="subscript"/>
                    </w:rPr>
                    <w:t>2</w:t>
                  </w:r>
                </w:p>
              </w:tc>
              <w:tc>
                <w:tcPr>
                  <w:tcW w:w="867" w:type="dxa"/>
                  <w:vAlign w:val="center"/>
                </w:tcPr>
                <w:p w14:paraId="240AE3EA">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color w:val="auto"/>
                      <w:szCs w:val="21"/>
                    </w:rPr>
                    <w:t>1次/年</w:t>
                  </w:r>
                </w:p>
              </w:tc>
              <w:tc>
                <w:tcPr>
                  <w:tcW w:w="3031" w:type="dxa"/>
                  <w:vMerge w:val="continue"/>
                  <w:vAlign w:val="center"/>
                </w:tcPr>
                <w:p w14:paraId="50D648D2">
                  <w:pPr>
                    <w:keepNext w:val="0"/>
                    <w:keepLines w:val="0"/>
                    <w:widowControl/>
                    <w:suppressLineNumbers w:val="0"/>
                    <w:snapToGrid w:val="0"/>
                    <w:spacing w:before="0" w:beforeAutospacing="0" w:after="0" w:afterAutospacing="0"/>
                    <w:ind w:left="0" w:right="0"/>
                    <w:jc w:val="center"/>
                    <w:rPr>
                      <w:rFonts w:hint="default"/>
                      <w:color w:val="auto"/>
                      <w:kern w:val="0"/>
                      <w:szCs w:val="21"/>
                      <w:lang w:bidi="ar"/>
                    </w:rPr>
                  </w:pPr>
                </w:p>
              </w:tc>
            </w:tr>
            <w:tr w14:paraId="3A389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726D6DC5">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927" w:type="dxa"/>
                  <w:vMerge w:val="continue"/>
                  <w:vAlign w:val="center"/>
                </w:tcPr>
                <w:p w14:paraId="6B19091D">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1817" w:type="dxa"/>
                  <w:vMerge w:val="continue"/>
                  <w:vAlign w:val="center"/>
                </w:tcPr>
                <w:p w14:paraId="3A7F82C4">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1333" w:type="dxa"/>
                  <w:vAlign w:val="center"/>
                </w:tcPr>
                <w:p w14:paraId="48C85BF7">
                  <w:pPr>
                    <w:keepNext w:val="0"/>
                    <w:keepLines w:val="0"/>
                    <w:suppressLineNumbers w:val="0"/>
                    <w:adjustRightInd w:val="0"/>
                    <w:snapToGrid w:val="0"/>
                    <w:spacing w:before="0" w:beforeAutospacing="0" w:after="0" w:afterAutospacing="0"/>
                    <w:ind w:left="0" w:right="0"/>
                    <w:jc w:val="center"/>
                    <w:textAlignment w:val="baseline"/>
                    <w:rPr>
                      <w:rFonts w:hint="default"/>
                      <w:color w:val="auto"/>
                      <w:kern w:val="0"/>
                      <w:szCs w:val="21"/>
                      <w:lang w:bidi="ar"/>
                    </w:rPr>
                  </w:pPr>
                  <w:r>
                    <w:rPr>
                      <w:rFonts w:hint="default" w:eastAsiaTheme="minorEastAsia"/>
                      <w:snapToGrid w:val="0"/>
                      <w:color w:val="auto"/>
                      <w:kern w:val="0"/>
                      <w:szCs w:val="21"/>
                    </w:rPr>
                    <w:t>NOx</w:t>
                  </w:r>
                </w:p>
              </w:tc>
              <w:tc>
                <w:tcPr>
                  <w:tcW w:w="867" w:type="dxa"/>
                  <w:vAlign w:val="center"/>
                </w:tcPr>
                <w:p w14:paraId="497CE680">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color w:val="auto"/>
                      <w:szCs w:val="21"/>
                    </w:rPr>
                    <w:t>1次/年</w:t>
                  </w:r>
                </w:p>
              </w:tc>
              <w:tc>
                <w:tcPr>
                  <w:tcW w:w="3031" w:type="dxa"/>
                  <w:vMerge w:val="continue"/>
                  <w:vAlign w:val="center"/>
                </w:tcPr>
                <w:p w14:paraId="57A3992F">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r>
            <w:tr w14:paraId="7DCED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27A08A08">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927" w:type="dxa"/>
                  <w:vMerge w:val="restart"/>
                  <w:shd w:val="clear" w:color="auto" w:fill="auto"/>
                  <w:vAlign w:val="center"/>
                </w:tcPr>
                <w:p w14:paraId="54DC0B01">
                  <w:pPr>
                    <w:keepNext w:val="0"/>
                    <w:keepLines w:val="0"/>
                    <w:widowControl/>
                    <w:suppressLineNumbers w:val="0"/>
                    <w:spacing w:before="0" w:beforeAutospacing="0" w:after="0" w:afterAutospacing="0"/>
                    <w:ind w:left="0" w:right="0"/>
                    <w:jc w:val="center"/>
                    <w:rPr>
                      <w:rFonts w:hint="default"/>
                      <w:color w:val="auto"/>
                      <w:kern w:val="0"/>
                      <w:szCs w:val="21"/>
                    </w:rPr>
                  </w:pPr>
                  <w:r>
                    <w:rPr>
                      <w:rFonts w:hint="default"/>
                      <w:color w:val="auto"/>
                      <w:kern w:val="0"/>
                      <w:szCs w:val="21"/>
                    </w:rPr>
                    <w:t>一般排放口</w:t>
                  </w:r>
                </w:p>
              </w:tc>
              <w:tc>
                <w:tcPr>
                  <w:tcW w:w="1817" w:type="dxa"/>
                  <w:vMerge w:val="restart"/>
                  <w:shd w:val="clear" w:color="auto" w:fill="auto"/>
                  <w:vAlign w:val="center"/>
                </w:tcPr>
                <w:p w14:paraId="189F04C0">
                  <w:pPr>
                    <w:keepNext w:val="0"/>
                    <w:keepLines w:val="0"/>
                    <w:widowControl/>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r>
                    <w:rPr>
                      <w:rFonts w:hint="default"/>
                      <w:color w:val="auto"/>
                      <w:szCs w:val="21"/>
                    </w:rPr>
                    <w:t>废气排放口（DA00</w:t>
                  </w:r>
                  <w:r>
                    <w:rPr>
                      <w:rFonts w:hint="eastAsia"/>
                      <w:color w:val="auto"/>
                      <w:szCs w:val="21"/>
                      <w:lang w:val="en-US" w:eastAsia="zh-CN"/>
                    </w:rPr>
                    <w:t>3</w:t>
                  </w:r>
                  <w:r>
                    <w:rPr>
                      <w:rFonts w:hint="default"/>
                      <w:color w:val="auto"/>
                      <w:szCs w:val="21"/>
                    </w:rPr>
                    <w:t>）</w:t>
                  </w:r>
                </w:p>
              </w:tc>
              <w:tc>
                <w:tcPr>
                  <w:tcW w:w="1333" w:type="dxa"/>
                  <w:vAlign w:val="center"/>
                </w:tcPr>
                <w:p w14:paraId="2785F5FF">
                  <w:pPr>
                    <w:keepNext w:val="0"/>
                    <w:keepLines w:val="0"/>
                    <w:widowControl/>
                    <w:suppressLineNumbers w:val="0"/>
                    <w:spacing w:before="0" w:beforeAutospacing="0" w:after="0" w:afterAutospacing="0"/>
                    <w:ind w:left="0" w:right="0"/>
                    <w:jc w:val="center"/>
                    <w:textAlignment w:val="center"/>
                    <w:rPr>
                      <w:rFonts w:hint="default"/>
                      <w:color w:val="auto"/>
                      <w:kern w:val="0"/>
                      <w:szCs w:val="21"/>
                    </w:rPr>
                  </w:pPr>
                  <w:r>
                    <w:rPr>
                      <w:rFonts w:hint="default"/>
                      <w:color w:val="auto"/>
                      <w:szCs w:val="21"/>
                    </w:rPr>
                    <w:t>非甲烷总烃</w:t>
                  </w:r>
                </w:p>
              </w:tc>
              <w:tc>
                <w:tcPr>
                  <w:tcW w:w="867" w:type="dxa"/>
                  <w:vAlign w:val="center"/>
                </w:tcPr>
                <w:p w14:paraId="593AEC9C">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default"/>
                      <w:color w:val="auto"/>
                      <w:szCs w:val="21"/>
                    </w:rPr>
                    <w:t>1次/年</w:t>
                  </w:r>
                </w:p>
              </w:tc>
              <w:tc>
                <w:tcPr>
                  <w:tcW w:w="3031" w:type="dxa"/>
                  <w:vAlign w:val="center"/>
                </w:tcPr>
                <w:p w14:paraId="4494069F">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ascii="Times New Roman" w:hAnsi="Times New Roman" w:cs="Times New Roman"/>
                      <w:color w:val="000000" w:themeColor="text1"/>
                      <w:kern w:val="0"/>
                      <w:sz w:val="21"/>
                      <w:szCs w:val="21"/>
                      <w14:textFill>
                        <w14:solidFill>
                          <w14:schemeClr w14:val="tx1"/>
                        </w14:solidFill>
                      </w14:textFill>
                    </w:rPr>
                    <w:t>《固定源挥发性有机物综合排放标准第6部分：其他行业》（DB34/4812.6-2024）表1</w:t>
                  </w:r>
                </w:p>
              </w:tc>
            </w:tr>
            <w:tr w14:paraId="622B8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02DFBF3A">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927" w:type="dxa"/>
                  <w:vMerge w:val="continue"/>
                  <w:shd w:val="clear" w:color="auto" w:fill="auto"/>
                  <w:vAlign w:val="center"/>
                </w:tcPr>
                <w:p w14:paraId="5CB7BFC1">
                  <w:pPr>
                    <w:keepNext w:val="0"/>
                    <w:keepLines w:val="0"/>
                    <w:widowControl/>
                    <w:suppressLineNumbers w:val="0"/>
                    <w:spacing w:before="0" w:beforeAutospacing="0" w:after="0" w:afterAutospacing="0"/>
                    <w:ind w:left="0" w:right="0"/>
                    <w:jc w:val="center"/>
                    <w:rPr>
                      <w:rFonts w:hint="default"/>
                      <w:color w:val="auto"/>
                      <w:kern w:val="0"/>
                      <w:szCs w:val="21"/>
                    </w:rPr>
                  </w:pPr>
                </w:p>
              </w:tc>
              <w:tc>
                <w:tcPr>
                  <w:tcW w:w="1817" w:type="dxa"/>
                  <w:vMerge w:val="continue"/>
                  <w:shd w:val="clear" w:color="auto" w:fill="auto"/>
                  <w:vAlign w:val="center"/>
                </w:tcPr>
                <w:p w14:paraId="104424FD">
                  <w:pPr>
                    <w:keepNext w:val="0"/>
                    <w:keepLines w:val="0"/>
                    <w:widowControl/>
                    <w:suppressLineNumbers w:val="0"/>
                    <w:spacing w:before="0" w:beforeAutospacing="0" w:after="0" w:afterAutospacing="0"/>
                    <w:ind w:left="0" w:right="0"/>
                    <w:jc w:val="center"/>
                    <w:rPr>
                      <w:rFonts w:hint="default"/>
                      <w:color w:val="auto"/>
                      <w:szCs w:val="21"/>
                    </w:rPr>
                  </w:pPr>
                </w:p>
              </w:tc>
              <w:tc>
                <w:tcPr>
                  <w:tcW w:w="1333" w:type="dxa"/>
                  <w:vAlign w:val="center"/>
                </w:tcPr>
                <w:p w14:paraId="214BA82C">
                  <w:pPr>
                    <w:keepNext w:val="0"/>
                    <w:keepLines w:val="0"/>
                    <w:widowControl/>
                    <w:suppressLineNumbers w:val="0"/>
                    <w:spacing w:before="0" w:beforeAutospacing="0" w:after="0" w:afterAutospacing="0"/>
                    <w:ind w:left="0" w:right="0"/>
                    <w:jc w:val="center"/>
                    <w:textAlignment w:val="center"/>
                    <w:rPr>
                      <w:rFonts w:hint="default"/>
                      <w:color w:val="auto"/>
                      <w:kern w:val="0"/>
                      <w:szCs w:val="21"/>
                    </w:rPr>
                  </w:pPr>
                  <w:r>
                    <w:rPr>
                      <w:rFonts w:hint="default"/>
                      <w:color w:val="auto"/>
                      <w:kern w:val="0"/>
                      <w:szCs w:val="21"/>
                      <w:lang w:bidi="ar"/>
                    </w:rPr>
                    <w:t>颗粒物</w:t>
                  </w:r>
                </w:p>
              </w:tc>
              <w:tc>
                <w:tcPr>
                  <w:tcW w:w="867" w:type="dxa"/>
                  <w:vAlign w:val="center"/>
                </w:tcPr>
                <w:p w14:paraId="6E7F648B">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default"/>
                      <w:color w:val="auto"/>
                      <w:szCs w:val="21"/>
                    </w:rPr>
                    <w:t>1次/年</w:t>
                  </w:r>
                </w:p>
              </w:tc>
              <w:tc>
                <w:tcPr>
                  <w:tcW w:w="3031" w:type="dxa"/>
                  <w:vAlign w:val="center"/>
                </w:tcPr>
                <w:p w14:paraId="28410A0E">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《大气污染物综合排放标准》（GB 16297-1996）表2</w:t>
                  </w:r>
                </w:p>
              </w:tc>
            </w:tr>
            <w:tr w14:paraId="6A276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3A1D3AE1">
                  <w:pPr>
                    <w:keepNext w:val="0"/>
                    <w:keepLines w:val="0"/>
                    <w:widowControl/>
                    <w:suppressLineNumbers w:val="0"/>
                    <w:spacing w:before="0" w:beforeAutospacing="0" w:after="0" w:afterAutospacing="0"/>
                    <w:ind w:left="0" w:right="0"/>
                    <w:jc w:val="center"/>
                    <w:textAlignment w:val="center"/>
                    <w:rPr>
                      <w:rFonts w:hint="default"/>
                      <w:color w:val="auto"/>
                    </w:rPr>
                  </w:pPr>
                </w:p>
              </w:tc>
              <w:tc>
                <w:tcPr>
                  <w:tcW w:w="927" w:type="dxa"/>
                  <w:shd w:val="clear" w:color="auto" w:fill="auto"/>
                  <w:vAlign w:val="center"/>
                </w:tcPr>
                <w:p w14:paraId="0E688FF3">
                  <w:pPr>
                    <w:keepNext w:val="0"/>
                    <w:keepLines w:val="0"/>
                    <w:widowControl/>
                    <w:suppressLineNumbers w:val="0"/>
                    <w:spacing w:before="0" w:beforeAutospacing="0" w:after="0" w:afterAutospacing="0"/>
                    <w:ind w:left="0" w:right="0"/>
                    <w:jc w:val="center"/>
                    <w:rPr>
                      <w:rFonts w:hint="default"/>
                      <w:color w:val="auto"/>
                      <w:kern w:val="0"/>
                      <w:szCs w:val="21"/>
                    </w:rPr>
                  </w:pPr>
                  <w:r>
                    <w:rPr>
                      <w:rFonts w:hint="default"/>
                      <w:color w:val="auto"/>
                      <w:kern w:val="0"/>
                      <w:szCs w:val="21"/>
                    </w:rPr>
                    <w:t>一般排放口</w:t>
                  </w:r>
                </w:p>
              </w:tc>
              <w:tc>
                <w:tcPr>
                  <w:tcW w:w="1817" w:type="dxa"/>
                  <w:shd w:val="clear" w:color="auto" w:fill="auto"/>
                  <w:vAlign w:val="center"/>
                </w:tcPr>
                <w:p w14:paraId="5C671852">
                  <w:pPr>
                    <w:keepNext w:val="0"/>
                    <w:keepLines w:val="0"/>
                    <w:widowControl/>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kern w:val="0"/>
                      <w:szCs w:val="21"/>
                      <w:lang w:bidi="ar"/>
                      <w14:textFill>
                        <w14:solidFill>
                          <w14:schemeClr w14:val="tx1"/>
                        </w14:solidFill>
                      </w14:textFill>
                    </w:rPr>
                    <w:t>喷粉</w:t>
                  </w:r>
                  <w:r>
                    <w:rPr>
                      <w:rFonts w:hint="eastAsia" w:ascii="Times New Roman" w:hAnsi="Times New Roman" w:cs="Times New Roman"/>
                      <w:color w:val="000000" w:themeColor="text1"/>
                      <w:kern w:val="0"/>
                      <w:szCs w:val="21"/>
                      <w:lang w:val="en-US" w:eastAsia="zh-CN" w:bidi="ar"/>
                      <w14:textFill>
                        <w14:solidFill>
                          <w14:schemeClr w14:val="tx1"/>
                        </w14:solidFill>
                      </w14:textFill>
                    </w:rPr>
                    <w:t>粉尘</w:t>
                  </w:r>
                  <w:r>
                    <w:rPr>
                      <w:rFonts w:hint="default"/>
                      <w:color w:val="auto"/>
                      <w:szCs w:val="21"/>
                    </w:rPr>
                    <w:t>排放口</w:t>
                  </w:r>
                </w:p>
                <w:p w14:paraId="7A1CE0B8">
                  <w:pPr>
                    <w:keepNext w:val="0"/>
                    <w:keepLines w:val="0"/>
                    <w:widowControl/>
                    <w:suppressLineNumbers w:val="0"/>
                    <w:spacing w:before="0" w:beforeAutospacing="0" w:after="0" w:afterAutospacing="0"/>
                    <w:ind w:left="0" w:right="0"/>
                    <w:jc w:val="center"/>
                    <w:rPr>
                      <w:rFonts w:hint="default"/>
                      <w:color w:val="auto"/>
                    </w:rPr>
                  </w:pPr>
                  <w:r>
                    <w:rPr>
                      <w:rFonts w:hint="default"/>
                      <w:color w:val="auto"/>
                      <w:szCs w:val="21"/>
                    </w:rPr>
                    <w:t>（DA00</w:t>
                  </w:r>
                  <w:r>
                    <w:rPr>
                      <w:rFonts w:hint="eastAsia"/>
                      <w:color w:val="auto"/>
                      <w:szCs w:val="21"/>
                      <w:lang w:val="en-US" w:eastAsia="zh-CN"/>
                    </w:rPr>
                    <w:t>4</w:t>
                  </w:r>
                  <w:r>
                    <w:rPr>
                      <w:rFonts w:hint="default"/>
                      <w:color w:val="auto"/>
                      <w:szCs w:val="21"/>
                    </w:rPr>
                    <w:t>）</w:t>
                  </w:r>
                </w:p>
              </w:tc>
              <w:tc>
                <w:tcPr>
                  <w:tcW w:w="1333" w:type="dxa"/>
                  <w:shd w:val="clear" w:color="auto" w:fill="auto"/>
                  <w:vAlign w:val="center"/>
                </w:tcPr>
                <w:p w14:paraId="40E5F85E">
                  <w:pPr>
                    <w:keepNext w:val="0"/>
                    <w:keepLines w:val="0"/>
                    <w:widowControl/>
                    <w:suppressLineNumbers w:val="0"/>
                    <w:spacing w:before="0" w:beforeAutospacing="0" w:after="0" w:afterAutospacing="0"/>
                    <w:ind w:left="0" w:right="0"/>
                    <w:jc w:val="center"/>
                    <w:textAlignment w:val="center"/>
                    <w:rPr>
                      <w:rFonts w:hint="default"/>
                      <w:color w:val="auto"/>
                      <w:kern w:val="0"/>
                      <w:szCs w:val="21"/>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867" w:type="dxa"/>
                  <w:shd w:val="clear" w:color="auto" w:fill="auto"/>
                  <w:vAlign w:val="center"/>
                </w:tcPr>
                <w:p w14:paraId="5175FC00">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default"/>
                      <w:color w:val="auto"/>
                      <w:szCs w:val="21"/>
                    </w:rPr>
                    <w:t>1次/年</w:t>
                  </w:r>
                </w:p>
              </w:tc>
              <w:tc>
                <w:tcPr>
                  <w:tcW w:w="3031" w:type="dxa"/>
                  <w:vAlign w:val="center"/>
                </w:tcPr>
                <w:p w14:paraId="36515B46">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default"/>
                      <w:color w:val="auto"/>
                      <w:kern w:val="0"/>
                      <w:szCs w:val="21"/>
                    </w:rPr>
                    <w:t>《大气污染物综合排放标准》（GB 16297-1996）表2</w:t>
                  </w:r>
                </w:p>
              </w:tc>
            </w:tr>
            <w:tr w14:paraId="6F16E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68C217C5">
                  <w:pPr>
                    <w:keepNext w:val="0"/>
                    <w:keepLines w:val="0"/>
                    <w:widowControl/>
                    <w:suppressLineNumbers w:val="0"/>
                    <w:autoSpaceDE w:val="0"/>
                    <w:autoSpaceDN w:val="0"/>
                    <w:adjustRightInd w:val="0"/>
                    <w:spacing w:before="0" w:beforeAutospacing="0" w:after="0" w:afterAutospacing="0"/>
                    <w:ind w:left="0" w:right="0"/>
                    <w:jc w:val="center"/>
                    <w:rPr>
                      <w:rFonts w:hint="default"/>
                      <w:color w:val="auto"/>
                      <w:kern w:val="0"/>
                      <w:szCs w:val="21"/>
                    </w:rPr>
                  </w:pPr>
                </w:p>
              </w:tc>
              <w:tc>
                <w:tcPr>
                  <w:tcW w:w="927" w:type="dxa"/>
                  <w:vMerge w:val="restart"/>
                  <w:vAlign w:val="center"/>
                </w:tcPr>
                <w:p w14:paraId="7916DEE4">
                  <w:pPr>
                    <w:keepNext w:val="0"/>
                    <w:keepLines w:val="0"/>
                    <w:suppressLineNumbers w:val="0"/>
                    <w:tabs>
                      <w:tab w:val="left" w:pos="3400"/>
                    </w:tabs>
                    <w:snapToGrid w:val="0"/>
                    <w:spacing w:before="0" w:beforeAutospacing="0" w:after="0" w:afterAutospacing="0"/>
                    <w:ind w:left="0" w:right="0"/>
                    <w:jc w:val="center"/>
                    <w:rPr>
                      <w:rFonts w:hint="default"/>
                      <w:color w:val="auto"/>
                      <w:szCs w:val="21"/>
                    </w:rPr>
                  </w:pPr>
                  <w:r>
                    <w:rPr>
                      <w:rFonts w:hint="default"/>
                      <w:color w:val="auto"/>
                      <w:szCs w:val="21"/>
                    </w:rPr>
                    <w:t>无组织废气</w:t>
                  </w:r>
                </w:p>
              </w:tc>
              <w:tc>
                <w:tcPr>
                  <w:tcW w:w="1817" w:type="dxa"/>
                  <w:vAlign w:val="center"/>
                </w:tcPr>
                <w:p w14:paraId="7D71DA78">
                  <w:pPr>
                    <w:keepNext w:val="0"/>
                    <w:keepLines w:val="0"/>
                    <w:suppressLineNumbers w:val="0"/>
                    <w:tabs>
                      <w:tab w:val="left" w:pos="3400"/>
                    </w:tabs>
                    <w:snapToGrid w:val="0"/>
                    <w:spacing w:before="0" w:beforeAutospacing="0" w:after="0" w:afterAutospacing="0"/>
                    <w:ind w:left="0" w:right="0"/>
                    <w:jc w:val="center"/>
                    <w:rPr>
                      <w:rFonts w:hint="default"/>
                      <w:bCs/>
                      <w:color w:val="auto"/>
                      <w:szCs w:val="21"/>
                    </w:rPr>
                  </w:pPr>
                  <w:r>
                    <w:rPr>
                      <w:rFonts w:hint="default"/>
                      <w:bCs/>
                      <w:color w:val="auto"/>
                      <w:szCs w:val="21"/>
                    </w:rPr>
                    <w:t>厂界</w:t>
                  </w:r>
                </w:p>
              </w:tc>
              <w:tc>
                <w:tcPr>
                  <w:tcW w:w="1333" w:type="dxa"/>
                  <w:vAlign w:val="center"/>
                </w:tcPr>
                <w:p w14:paraId="13D7215C">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颗粒物、</w:t>
                  </w:r>
                  <w:r>
                    <w:rPr>
                      <w:rFonts w:hint="default"/>
                      <w:color w:val="auto"/>
                      <w:kern w:val="0"/>
                      <w:szCs w:val="21"/>
                      <w:lang w:bidi="ar"/>
                    </w:rPr>
                    <w:t>非甲烷总烃</w:t>
                  </w:r>
                </w:p>
              </w:tc>
              <w:tc>
                <w:tcPr>
                  <w:tcW w:w="867" w:type="dxa"/>
                  <w:vAlign w:val="center"/>
                </w:tcPr>
                <w:p w14:paraId="3F279253">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1次/半年</w:t>
                  </w:r>
                </w:p>
              </w:tc>
              <w:tc>
                <w:tcPr>
                  <w:tcW w:w="3031" w:type="dxa"/>
                  <w:vAlign w:val="center"/>
                </w:tcPr>
                <w:p w14:paraId="6C255410">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kern w:val="0"/>
                      <w:szCs w:val="21"/>
                    </w:rPr>
                    <w:t>《大气污染物综合排放标准》（GB 16297-1996）表2</w:t>
                  </w:r>
                </w:p>
              </w:tc>
            </w:tr>
            <w:tr w14:paraId="4188D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dxa"/>
                  <w:vMerge w:val="continue"/>
                  <w:vAlign w:val="center"/>
                </w:tcPr>
                <w:p w14:paraId="5CEE6F45">
                  <w:pPr>
                    <w:keepNext w:val="0"/>
                    <w:keepLines w:val="0"/>
                    <w:widowControl/>
                    <w:suppressLineNumbers w:val="0"/>
                    <w:autoSpaceDE w:val="0"/>
                    <w:autoSpaceDN w:val="0"/>
                    <w:adjustRightInd w:val="0"/>
                    <w:spacing w:before="0" w:beforeAutospacing="0" w:after="0" w:afterAutospacing="0"/>
                    <w:ind w:left="0" w:right="0"/>
                    <w:jc w:val="center"/>
                    <w:rPr>
                      <w:rFonts w:hint="default"/>
                      <w:color w:val="auto"/>
                      <w:kern w:val="0"/>
                      <w:szCs w:val="21"/>
                    </w:rPr>
                  </w:pPr>
                </w:p>
              </w:tc>
              <w:tc>
                <w:tcPr>
                  <w:tcW w:w="927" w:type="dxa"/>
                  <w:vMerge w:val="continue"/>
                  <w:vAlign w:val="center"/>
                </w:tcPr>
                <w:p w14:paraId="422F7FB6">
                  <w:pPr>
                    <w:keepNext w:val="0"/>
                    <w:keepLines w:val="0"/>
                    <w:suppressLineNumbers w:val="0"/>
                    <w:tabs>
                      <w:tab w:val="left" w:pos="3400"/>
                    </w:tabs>
                    <w:snapToGrid w:val="0"/>
                    <w:spacing w:before="0" w:beforeAutospacing="0" w:after="0" w:afterAutospacing="0"/>
                    <w:ind w:left="0" w:right="0"/>
                    <w:jc w:val="center"/>
                    <w:rPr>
                      <w:rFonts w:hint="default"/>
                      <w:color w:val="auto"/>
                      <w:szCs w:val="21"/>
                    </w:rPr>
                  </w:pPr>
                </w:p>
              </w:tc>
              <w:tc>
                <w:tcPr>
                  <w:tcW w:w="1817" w:type="dxa"/>
                  <w:vAlign w:val="center"/>
                </w:tcPr>
                <w:p w14:paraId="33433432">
                  <w:pPr>
                    <w:keepNext w:val="0"/>
                    <w:keepLines w:val="0"/>
                    <w:suppressLineNumbers w:val="0"/>
                    <w:tabs>
                      <w:tab w:val="left" w:pos="3400"/>
                    </w:tabs>
                    <w:snapToGrid w:val="0"/>
                    <w:spacing w:before="0" w:beforeAutospacing="0" w:after="0" w:afterAutospacing="0"/>
                    <w:ind w:left="0" w:right="0"/>
                    <w:jc w:val="center"/>
                    <w:rPr>
                      <w:rFonts w:hint="default"/>
                      <w:bCs/>
                      <w:color w:val="auto"/>
                      <w:szCs w:val="21"/>
                    </w:rPr>
                  </w:pPr>
                  <w:r>
                    <w:rPr>
                      <w:rFonts w:hint="default"/>
                      <w:bCs/>
                      <w:color w:val="auto"/>
                      <w:szCs w:val="21"/>
                    </w:rPr>
                    <w:t>厂区内</w:t>
                  </w:r>
                </w:p>
              </w:tc>
              <w:tc>
                <w:tcPr>
                  <w:tcW w:w="1333" w:type="dxa"/>
                  <w:vAlign w:val="center"/>
                </w:tcPr>
                <w:p w14:paraId="34363C27">
                  <w:pPr>
                    <w:keepNext w:val="0"/>
                    <w:keepLines w:val="0"/>
                    <w:widowControl/>
                    <w:suppressLineNumbers w:val="0"/>
                    <w:spacing w:before="0" w:beforeAutospacing="0" w:after="0" w:afterAutospacing="0"/>
                    <w:ind w:left="0" w:right="0"/>
                    <w:jc w:val="center"/>
                    <w:rPr>
                      <w:rFonts w:hint="default"/>
                      <w:color w:val="auto"/>
                      <w:kern w:val="0"/>
                      <w:szCs w:val="21"/>
                      <w:lang w:bidi="ar"/>
                    </w:rPr>
                  </w:pPr>
                  <w:r>
                    <w:rPr>
                      <w:rFonts w:hint="default"/>
                      <w:color w:val="auto"/>
                      <w:kern w:val="0"/>
                      <w:szCs w:val="21"/>
                      <w:lang w:bidi="ar"/>
                    </w:rPr>
                    <w:t>非甲烷总烃</w:t>
                  </w:r>
                </w:p>
              </w:tc>
              <w:tc>
                <w:tcPr>
                  <w:tcW w:w="867" w:type="dxa"/>
                  <w:vAlign w:val="center"/>
                </w:tcPr>
                <w:p w14:paraId="1FAE83C7">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1次/年</w:t>
                  </w:r>
                </w:p>
              </w:tc>
              <w:tc>
                <w:tcPr>
                  <w:tcW w:w="3031" w:type="dxa"/>
                  <w:vAlign w:val="center"/>
                </w:tcPr>
                <w:p w14:paraId="05023A72">
                  <w:pPr>
                    <w:keepNext w:val="0"/>
                    <w:keepLines w:val="0"/>
                    <w:widowControl/>
                    <w:suppressLineNumbers w:val="0"/>
                    <w:spacing w:before="0" w:beforeAutospacing="0" w:after="0" w:afterAutospacing="0"/>
                    <w:ind w:left="0" w:right="0"/>
                    <w:jc w:val="center"/>
                    <w:rPr>
                      <w:rFonts w:hint="default"/>
                      <w:color w:val="auto"/>
                      <w:kern w:val="0"/>
                      <w:szCs w:val="21"/>
                    </w:rPr>
                  </w:pPr>
                  <w:r>
                    <w:rPr>
                      <w:rFonts w:hint="default"/>
                      <w:color w:val="auto"/>
                      <w:szCs w:val="21"/>
                    </w:rPr>
                    <w:t>《固定源挥发性有机物综合排放标准第6部分：其他行业》（DB34/4812.6-2024）表4</w:t>
                  </w:r>
                </w:p>
              </w:tc>
            </w:tr>
          </w:tbl>
          <w:p w14:paraId="52809AE1">
            <w:pPr>
              <w:keepNext w:val="0"/>
              <w:keepLines w:val="0"/>
              <w:suppressLineNumbers w:val="0"/>
              <w:autoSpaceDE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lang w:bidi="ar"/>
              </w:rPr>
            </w:pPr>
            <w:r>
              <w:rPr>
                <w:rFonts w:hint="default" w:ascii="Times New Roman" w:hAnsi="Times New Roman" w:cs="Times New Roman"/>
                <w:b/>
                <w:bCs/>
                <w:color w:val="auto"/>
                <w:sz w:val="24"/>
                <w:highlight w:val="none"/>
                <w:lang w:bidi="ar"/>
              </w:rPr>
              <w:t>5、大气环境影响分析</w:t>
            </w:r>
          </w:p>
          <w:p w14:paraId="1F4F4EAB">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kern w:val="1"/>
                <w:sz w:val="24"/>
                <w:highlight w:val="none"/>
              </w:rPr>
              <w:t>项目所在区域为环境空气</w:t>
            </w:r>
            <w:r>
              <w:rPr>
                <w:rFonts w:hint="default" w:ascii="Times New Roman" w:hAnsi="Times New Roman" w:eastAsia="宋体" w:cs="Times New Roman"/>
                <w:color w:val="auto"/>
                <w:kern w:val="1"/>
                <w:sz w:val="24"/>
                <w:highlight w:val="none"/>
              </w:rPr>
              <w:t>“达标区”。项目</w:t>
            </w:r>
            <w:r>
              <w:rPr>
                <w:rFonts w:hint="eastAsia" w:ascii="Times New Roman" w:hAnsi="Times New Roman" w:eastAsia="宋体" w:cs="Times New Roman"/>
                <w:color w:val="auto"/>
                <w:kern w:val="1"/>
                <w:sz w:val="24"/>
                <w:highlight w:val="none"/>
                <w:lang w:val="en-US" w:eastAsia="zh-CN"/>
              </w:rPr>
              <w:t>西侧31m有一敏感保护目标-安徽兴泰人才公寓，除此</w:t>
            </w:r>
            <w:r>
              <w:rPr>
                <w:rFonts w:hint="default" w:ascii="Times New Roman" w:hAnsi="Times New Roman" w:eastAsia="宋体" w:cs="Times New Roman"/>
                <w:color w:val="auto"/>
                <w:kern w:val="1"/>
                <w:sz w:val="24"/>
                <w:highlight w:val="none"/>
              </w:rPr>
              <w:t>厂界外500米范围内无自然保护区、风景名胜区、文化区、居住区保护目标。外</w:t>
            </w:r>
            <w:r>
              <w:rPr>
                <w:rFonts w:hint="default" w:ascii="Times New Roman" w:hAnsi="Times New Roman" w:cs="Times New Roman"/>
                <w:color w:val="auto"/>
                <w:kern w:val="1"/>
                <w:sz w:val="24"/>
                <w:highlight w:val="none"/>
              </w:rPr>
              <w:t>环境制约因素较小。本项目采取的废气治理措施可行，排放的各类污染物经采取有效的处理措施后，均能达标排放。建设单位落实本次环评提出的废气防治措施后，外排废气对周围大气环境影响可以接受。</w:t>
            </w:r>
          </w:p>
        </w:tc>
      </w:tr>
      <w:tr w14:paraId="0568C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 w:type="dxa"/>
            <w:vMerge w:val="continue"/>
            <w:shd w:val="clear" w:color="auto" w:fill="auto"/>
          </w:tcPr>
          <w:p w14:paraId="1278B88C">
            <w:pPr>
              <w:keepNext w:val="0"/>
              <w:keepLines w:val="0"/>
              <w:suppressLineNumbers w:val="0"/>
              <w:tabs>
                <w:tab w:val="left" w:pos="1077"/>
              </w:tabs>
              <w:spacing w:before="0" w:beforeAutospacing="0" w:after="0" w:afterAutospacing="0"/>
              <w:ind w:left="0" w:right="0"/>
              <w:rPr>
                <w:rFonts w:hint="default" w:ascii="Times New Roman" w:hAnsi="Times New Roman" w:cs="Times New Roman"/>
                <w:color w:val="auto"/>
                <w:sz w:val="24"/>
                <w:highlight w:val="none"/>
              </w:rPr>
            </w:pPr>
          </w:p>
        </w:tc>
        <w:tc>
          <w:tcPr>
            <w:tcW w:w="8609" w:type="dxa"/>
            <w:shd w:val="clear" w:color="auto" w:fill="auto"/>
          </w:tcPr>
          <w:p w14:paraId="412F8A64">
            <w:pPr>
              <w:keepNext w:val="0"/>
              <w:keepLines w:val="0"/>
              <w:suppressLineNumbers w:val="0"/>
              <w:tabs>
                <w:tab w:val="left" w:pos="1077"/>
              </w:tabs>
              <w:spacing w:before="0" w:beforeAutospacing="0" w:after="0" w:afterAutospacing="0" w:line="360" w:lineRule="auto"/>
              <w:ind w:left="0" w:right="0" w:firstLine="482"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b/>
                <w:bCs/>
                <w:color w:val="auto"/>
                <w:sz w:val="24"/>
                <w:highlight w:val="none"/>
              </w:rPr>
              <w:t>二、废水环境影响和保护措施</w:t>
            </w:r>
          </w:p>
          <w:p w14:paraId="2190BF47">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cs="Times New Roman"/>
                <w:b/>
                <w:bCs/>
                <w:color w:val="auto"/>
                <w:kern w:val="0"/>
                <w:sz w:val="24"/>
                <w:szCs w:val="20"/>
                <w:highlight w:val="none"/>
              </w:rPr>
            </w:pPr>
            <w:r>
              <w:rPr>
                <w:rFonts w:hint="default" w:ascii="Times New Roman" w:hAnsi="Times New Roman" w:cs="Times New Roman"/>
                <w:b/>
                <w:bCs/>
                <w:color w:val="auto"/>
                <w:kern w:val="0"/>
                <w:sz w:val="24"/>
                <w:szCs w:val="20"/>
                <w:highlight w:val="none"/>
              </w:rPr>
              <w:t>1、废水污染物源强核算</w:t>
            </w:r>
            <w:r>
              <w:rPr>
                <w:rFonts w:hint="default"/>
              </w:rPr>
              <w:commentReference w:id="35"/>
            </w:r>
          </w:p>
          <w:p w14:paraId="68E41AB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highlight w:val="none"/>
              </w:rPr>
            </w:pPr>
            <w:r>
              <w:rPr>
                <w:rFonts w:hint="default" w:ascii="Times New Roman" w:hAnsi="Times New Roman" w:cs="Times New Roman"/>
                <w:color w:val="auto"/>
                <w:sz w:val="24"/>
                <w:highlight w:val="none"/>
                <w:lang w:val="en-US" w:eastAsia="zh-CN"/>
              </w:rPr>
              <w:t>生活污水</w:t>
            </w:r>
            <w:r>
              <w:rPr>
                <w:rFonts w:hint="default" w:ascii="Times New Roman" w:hAnsi="Times New Roman" w:cs="Times New Roman"/>
                <w:color w:val="auto"/>
                <w:sz w:val="24"/>
                <w:highlight w:val="none"/>
              </w:rPr>
              <w:t>源强浓度参照《排放源统计调查产排污核算方法和系数手册》中生活源产排污核算系数手册数据及生活</w:t>
            </w:r>
            <w:r>
              <w:rPr>
                <w:rFonts w:hint="default" w:ascii="Times New Roman" w:hAnsi="Times New Roman" w:cs="Times New Roman"/>
                <w:color w:val="auto"/>
                <w:sz w:val="24"/>
                <w:highlight w:val="none"/>
                <w:lang w:val="en-US" w:eastAsia="zh-CN"/>
              </w:rPr>
              <w:t>污水</w:t>
            </w:r>
            <w:r>
              <w:rPr>
                <w:rFonts w:hint="default" w:ascii="Times New Roman" w:hAnsi="Times New Roman" w:cs="Times New Roman"/>
                <w:color w:val="auto"/>
                <w:sz w:val="24"/>
                <w:highlight w:val="none"/>
              </w:rPr>
              <w:t>浓度调查数据</w:t>
            </w:r>
            <w:r>
              <w:rPr>
                <w:rFonts w:hint="eastAsia" w:cs="Times New Roman"/>
                <w:color w:val="auto"/>
                <w:kern w:val="0"/>
                <w:sz w:val="24"/>
                <w:szCs w:val="20"/>
                <w:highlight w:val="none"/>
                <w:lang w:eastAsia="zh-CN"/>
              </w:rPr>
              <w:t>；</w:t>
            </w:r>
            <w:r>
              <w:rPr>
                <w:rFonts w:hint="default"/>
                <w:color w:val="auto"/>
                <w:sz w:val="24"/>
                <w:highlight w:val="none"/>
              </w:rPr>
              <w:t>项目生产废水为</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w:t>
            </w:r>
            <w:r>
              <w:rPr>
                <w:rFonts w:hint="default"/>
                <w:color w:val="auto"/>
                <w:sz w:val="24"/>
                <w:highlight w:val="none"/>
              </w:rPr>
              <w:t>，</w:t>
            </w:r>
            <w:r>
              <w:rPr>
                <w:rFonts w:hint="default"/>
                <w:color w:val="auto"/>
                <w:kern w:val="0"/>
                <w:sz w:val="24"/>
                <w:szCs w:val="20"/>
                <w:highlight w:val="none"/>
              </w:rPr>
              <w:t>类比同行业企业废水例行项检测数据，</w:t>
            </w:r>
            <w:r>
              <w:rPr>
                <w:rFonts w:hint="default" w:ascii="Times New Roman" w:hAnsi="Times New Roman" w:cs="Times New Roman"/>
                <w:color w:val="auto"/>
                <w:sz w:val="24"/>
                <w:highlight w:val="none"/>
              </w:rPr>
              <w:t>项目运营期污水产生情况详见下表：</w:t>
            </w:r>
          </w:p>
          <w:p w14:paraId="6E6A99E8">
            <w:pPr>
              <w:keepNext w:val="0"/>
              <w:keepLines w:val="0"/>
              <w:widowControl/>
              <w:suppressLineNumbers w:val="0"/>
              <w:spacing w:before="0" w:beforeAutospacing="0" w:after="0" w:afterAutospacing="0"/>
              <w:ind w:left="-105" w:leftChars="-50" w:right="0"/>
              <w:jc w:val="center"/>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w:t>
            </w:r>
            <w:r>
              <w:rPr>
                <w:rFonts w:hint="eastAsia" w:cs="Times New Roman"/>
                <w:b/>
                <w:color w:val="auto"/>
                <w:kern w:val="0"/>
                <w:sz w:val="24"/>
                <w:highlight w:val="none"/>
                <w:lang w:val="en-US" w:eastAsia="zh-CN"/>
              </w:rPr>
              <w:t>22</w:t>
            </w:r>
            <w:r>
              <w:rPr>
                <w:rFonts w:hint="default" w:ascii="Times New Roman" w:hAnsi="Times New Roman" w:cs="Times New Roman"/>
                <w:b/>
                <w:color w:val="auto"/>
                <w:kern w:val="0"/>
                <w:sz w:val="24"/>
                <w:highlight w:val="none"/>
              </w:rPr>
              <w:t xml:space="preserve">  项目废水产生及排放情况一览表</w:t>
            </w:r>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870"/>
              <w:gridCol w:w="918"/>
              <w:gridCol w:w="818"/>
              <w:gridCol w:w="680"/>
              <w:gridCol w:w="573"/>
              <w:gridCol w:w="899"/>
              <w:gridCol w:w="1013"/>
              <w:gridCol w:w="695"/>
              <w:gridCol w:w="700"/>
            </w:tblGrid>
            <w:tr w14:paraId="3E61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29E9B949">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污染源</w:t>
                  </w:r>
                </w:p>
              </w:tc>
              <w:tc>
                <w:tcPr>
                  <w:tcW w:w="870" w:type="dxa"/>
                  <w:vMerge w:val="restart"/>
                  <w:vAlign w:val="center"/>
                </w:tcPr>
                <w:p w14:paraId="0675FB2B">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污染物名称</w:t>
                  </w:r>
                </w:p>
              </w:tc>
              <w:tc>
                <w:tcPr>
                  <w:tcW w:w="1736" w:type="dxa"/>
                  <w:gridSpan w:val="2"/>
                  <w:vAlign w:val="center"/>
                </w:tcPr>
                <w:p w14:paraId="77314555">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处理前</w:t>
                  </w:r>
                </w:p>
              </w:tc>
              <w:tc>
                <w:tcPr>
                  <w:tcW w:w="680" w:type="dxa"/>
                  <w:vMerge w:val="restart"/>
                  <w:vAlign w:val="center"/>
                </w:tcPr>
                <w:p w14:paraId="383DCE3B">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治理措施</w:t>
                  </w:r>
                </w:p>
              </w:tc>
              <w:tc>
                <w:tcPr>
                  <w:tcW w:w="573" w:type="dxa"/>
                  <w:vMerge w:val="restart"/>
                  <w:vAlign w:val="center"/>
                </w:tcPr>
                <w:p w14:paraId="361D8D1E">
                  <w:pPr>
                    <w:keepNext w:val="0"/>
                    <w:keepLines w:val="0"/>
                    <w:suppressLineNumbers w:val="0"/>
                    <w:spacing w:before="0" w:beforeAutospacing="0" w:after="0" w:afterAutospacing="0"/>
                    <w:ind w:left="0" w:right="0"/>
                    <w:jc w:val="center"/>
                    <w:rPr>
                      <w:rFonts w:hint="eastAsia" w:eastAsia="宋体"/>
                      <w:b/>
                      <w:color w:val="auto"/>
                      <w:szCs w:val="21"/>
                      <w:highlight w:val="none"/>
                      <w:lang w:val="en-US" w:eastAsia="zh-CN"/>
                    </w:rPr>
                  </w:pPr>
                  <w:r>
                    <w:rPr>
                      <w:rFonts w:hint="eastAsia"/>
                      <w:b/>
                      <w:color w:val="auto"/>
                      <w:szCs w:val="21"/>
                      <w:highlight w:val="none"/>
                      <w:lang w:val="en-US" w:eastAsia="zh-CN"/>
                    </w:rPr>
                    <w:t>去除</w:t>
                  </w:r>
                  <w:r>
                    <w:rPr>
                      <w:rFonts w:hint="default"/>
                      <w:b/>
                      <w:color w:val="auto"/>
                      <w:szCs w:val="21"/>
                      <w:highlight w:val="none"/>
                    </w:rPr>
                    <w:t>效率</w:t>
                  </w:r>
                  <w:r>
                    <w:rPr>
                      <w:rFonts w:hint="eastAsia"/>
                      <w:b/>
                      <w:color w:val="auto"/>
                      <w:szCs w:val="21"/>
                      <w:highlight w:val="none"/>
                      <w:lang w:val="en-US" w:eastAsia="zh-CN"/>
                    </w:rPr>
                    <w:t>%</w:t>
                  </w:r>
                </w:p>
              </w:tc>
              <w:tc>
                <w:tcPr>
                  <w:tcW w:w="1912" w:type="dxa"/>
                  <w:gridSpan w:val="2"/>
                  <w:vAlign w:val="center"/>
                </w:tcPr>
                <w:p w14:paraId="26BB9004">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初步处理后</w:t>
                  </w:r>
                </w:p>
              </w:tc>
              <w:tc>
                <w:tcPr>
                  <w:tcW w:w="1395" w:type="dxa"/>
                  <w:gridSpan w:val="2"/>
                  <w:vAlign w:val="center"/>
                </w:tcPr>
                <w:p w14:paraId="0490B44F">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外排环境量</w:t>
                  </w:r>
                </w:p>
              </w:tc>
            </w:tr>
            <w:tr w14:paraId="00796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09E87A1">
                  <w:pPr>
                    <w:keepNext w:val="0"/>
                    <w:keepLines w:val="0"/>
                    <w:suppressLineNumbers w:val="0"/>
                    <w:spacing w:before="0" w:beforeAutospacing="0" w:after="0" w:afterAutospacing="0"/>
                    <w:ind w:left="0" w:right="0"/>
                    <w:jc w:val="center"/>
                    <w:rPr>
                      <w:rFonts w:hint="default"/>
                      <w:b/>
                      <w:color w:val="auto"/>
                      <w:szCs w:val="21"/>
                      <w:highlight w:val="none"/>
                    </w:rPr>
                  </w:pPr>
                </w:p>
              </w:tc>
              <w:tc>
                <w:tcPr>
                  <w:tcW w:w="870" w:type="dxa"/>
                  <w:vMerge w:val="continue"/>
                  <w:vAlign w:val="center"/>
                </w:tcPr>
                <w:p w14:paraId="6CC5FB82">
                  <w:pPr>
                    <w:keepNext w:val="0"/>
                    <w:keepLines w:val="0"/>
                    <w:suppressLineNumbers w:val="0"/>
                    <w:spacing w:before="0" w:beforeAutospacing="0" w:after="0" w:afterAutospacing="0"/>
                    <w:ind w:left="0" w:right="0"/>
                    <w:jc w:val="center"/>
                    <w:rPr>
                      <w:rFonts w:hint="default"/>
                      <w:b/>
                      <w:color w:val="auto"/>
                      <w:szCs w:val="21"/>
                      <w:highlight w:val="none"/>
                    </w:rPr>
                  </w:pPr>
                </w:p>
              </w:tc>
              <w:tc>
                <w:tcPr>
                  <w:tcW w:w="918" w:type="dxa"/>
                  <w:vAlign w:val="center"/>
                </w:tcPr>
                <w:p w14:paraId="024EAA22">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浓度mg/L</w:t>
                  </w:r>
                </w:p>
              </w:tc>
              <w:tc>
                <w:tcPr>
                  <w:tcW w:w="818" w:type="dxa"/>
                  <w:vAlign w:val="center"/>
                </w:tcPr>
                <w:p w14:paraId="1EE1903A">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产生量t/a</w:t>
                  </w:r>
                </w:p>
              </w:tc>
              <w:tc>
                <w:tcPr>
                  <w:tcW w:w="680" w:type="dxa"/>
                  <w:vMerge w:val="continue"/>
                  <w:vAlign w:val="center"/>
                </w:tcPr>
                <w:p w14:paraId="4E66CB8D">
                  <w:pPr>
                    <w:keepNext w:val="0"/>
                    <w:keepLines w:val="0"/>
                    <w:suppressLineNumbers w:val="0"/>
                    <w:spacing w:before="0" w:beforeAutospacing="0" w:after="0" w:afterAutospacing="0"/>
                    <w:ind w:left="0" w:right="0"/>
                    <w:jc w:val="center"/>
                    <w:rPr>
                      <w:rFonts w:hint="default"/>
                      <w:b/>
                      <w:color w:val="auto"/>
                      <w:szCs w:val="21"/>
                      <w:highlight w:val="none"/>
                    </w:rPr>
                  </w:pPr>
                </w:p>
              </w:tc>
              <w:tc>
                <w:tcPr>
                  <w:tcW w:w="573" w:type="dxa"/>
                  <w:vMerge w:val="continue"/>
                  <w:vAlign w:val="center"/>
                </w:tcPr>
                <w:p w14:paraId="589BBFD4">
                  <w:pPr>
                    <w:keepNext w:val="0"/>
                    <w:keepLines w:val="0"/>
                    <w:suppressLineNumbers w:val="0"/>
                    <w:spacing w:before="0" w:beforeAutospacing="0" w:after="0" w:afterAutospacing="0"/>
                    <w:ind w:left="0" w:right="0"/>
                    <w:jc w:val="center"/>
                    <w:rPr>
                      <w:rFonts w:hint="default"/>
                      <w:b/>
                      <w:color w:val="auto"/>
                      <w:szCs w:val="21"/>
                      <w:highlight w:val="none"/>
                    </w:rPr>
                  </w:pPr>
                </w:p>
              </w:tc>
              <w:tc>
                <w:tcPr>
                  <w:tcW w:w="899" w:type="dxa"/>
                  <w:vAlign w:val="center"/>
                </w:tcPr>
                <w:p w14:paraId="6A1B1F86">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浓度</w:t>
                  </w:r>
                </w:p>
                <w:p w14:paraId="2D954D05">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mg/L</w:t>
                  </w:r>
                </w:p>
              </w:tc>
              <w:tc>
                <w:tcPr>
                  <w:tcW w:w="1013" w:type="dxa"/>
                  <w:vAlign w:val="center"/>
                </w:tcPr>
                <w:p w14:paraId="53B87D86">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排放量t/a</w:t>
                  </w:r>
                </w:p>
              </w:tc>
              <w:tc>
                <w:tcPr>
                  <w:tcW w:w="695" w:type="dxa"/>
                  <w:vAlign w:val="center"/>
                </w:tcPr>
                <w:p w14:paraId="67B46D2C">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浓度</w:t>
                  </w:r>
                </w:p>
                <w:p w14:paraId="0FCD159E">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mg/L</w:t>
                  </w:r>
                </w:p>
              </w:tc>
              <w:tc>
                <w:tcPr>
                  <w:tcW w:w="700" w:type="dxa"/>
                  <w:vAlign w:val="center"/>
                </w:tcPr>
                <w:p w14:paraId="49C2FFB3">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排放量</w:t>
                  </w:r>
                </w:p>
                <w:p w14:paraId="58D863CC">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t/a</w:t>
                  </w:r>
                </w:p>
              </w:tc>
            </w:tr>
            <w:tr w14:paraId="63288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restart"/>
                  <w:vAlign w:val="center"/>
                </w:tcPr>
                <w:p w14:paraId="3A1190E0">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生活</w:t>
                  </w:r>
                  <w:r>
                    <w:rPr>
                      <w:rFonts w:hint="default" w:ascii="Times New Roman" w:hAnsi="Times New Roman" w:eastAsia="宋体" w:cs="Times New Roman"/>
                      <w:color w:val="auto"/>
                      <w:szCs w:val="21"/>
                      <w:highlight w:val="none"/>
                    </w:rPr>
                    <w:t>污水</w:t>
                  </w:r>
                  <w:r>
                    <w:rPr>
                      <w:rFonts w:hint="eastAsia" w:ascii="Times New Roman" w:hAnsi="Times New Roman" w:eastAsia="宋体" w:cs="Times New Roman"/>
                      <w:color w:val="auto"/>
                      <w:szCs w:val="21"/>
                      <w:highlight w:val="none"/>
                      <w:lang w:val="en-US" w:eastAsia="zh-CN"/>
                    </w:rPr>
                    <w:t>1536t</w:t>
                  </w:r>
                  <w:r>
                    <w:rPr>
                      <w:rFonts w:hint="default" w:ascii="Times New Roman" w:hAnsi="Times New Roman" w:eastAsia="宋体" w:cs="Times New Roman"/>
                      <w:color w:val="auto"/>
                      <w:szCs w:val="21"/>
                      <w:highlight w:val="none"/>
                    </w:rPr>
                    <w:t>/a</w:t>
                  </w:r>
                </w:p>
              </w:tc>
              <w:tc>
                <w:tcPr>
                  <w:tcW w:w="870" w:type="dxa"/>
                  <w:vAlign w:val="center"/>
                </w:tcPr>
                <w:p w14:paraId="4EEFA88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szCs w:val="21"/>
                      <w:highlight w:val="none"/>
                      <w:lang w:bidi="ar"/>
                    </w:rPr>
                    <w:t>pH</w:t>
                  </w:r>
                </w:p>
              </w:tc>
              <w:tc>
                <w:tcPr>
                  <w:tcW w:w="918" w:type="dxa"/>
                  <w:vAlign w:val="center"/>
                </w:tcPr>
                <w:p w14:paraId="5B223EDA">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szCs w:val="21"/>
                      <w:highlight w:val="none"/>
                      <w:lang w:bidi="ar"/>
                    </w:rPr>
                    <w:t>6~9</w:t>
                  </w:r>
                </w:p>
              </w:tc>
              <w:tc>
                <w:tcPr>
                  <w:tcW w:w="818" w:type="dxa"/>
                  <w:vAlign w:val="center"/>
                </w:tcPr>
                <w:p w14:paraId="4BD2274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restart"/>
                  <w:vAlign w:val="center"/>
                </w:tcPr>
                <w:p w14:paraId="5839D92F">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化粪池</w:t>
                  </w:r>
                </w:p>
              </w:tc>
              <w:tc>
                <w:tcPr>
                  <w:tcW w:w="573" w:type="dxa"/>
                  <w:vAlign w:val="center"/>
                </w:tcPr>
                <w:p w14:paraId="3E4DCCB8">
                  <w:pPr>
                    <w:keepNext w:val="0"/>
                    <w:keepLines w:val="0"/>
                    <w:widowControl/>
                    <w:suppressLineNumbers w:val="0"/>
                    <w:spacing w:before="0" w:beforeAutospacing="0" w:after="0" w:afterAutospacing="0"/>
                    <w:ind w:left="0" w:right="0"/>
                    <w:jc w:val="center"/>
                    <w:rPr>
                      <w:rFonts w:hint="default"/>
                      <w:color w:val="auto"/>
                      <w:szCs w:val="21"/>
                      <w:highlight w:val="none"/>
                      <w:lang w:bidi="ar"/>
                    </w:rPr>
                  </w:pPr>
                  <w:r>
                    <w:rPr>
                      <w:rFonts w:hint="default"/>
                      <w:color w:val="auto"/>
                      <w:szCs w:val="21"/>
                      <w:highlight w:val="none"/>
                    </w:rPr>
                    <w:t>/</w:t>
                  </w:r>
                </w:p>
              </w:tc>
              <w:tc>
                <w:tcPr>
                  <w:tcW w:w="899" w:type="dxa"/>
                  <w:vAlign w:val="center"/>
                </w:tcPr>
                <w:p w14:paraId="49B3973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vAlign w:val="center"/>
                </w:tcPr>
                <w:p w14:paraId="09BD1A2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vAlign w:val="center"/>
                </w:tcPr>
                <w:p w14:paraId="36A1501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6589665A">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7533A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179" w:type="dxa"/>
                  <w:vMerge w:val="continue"/>
                  <w:vAlign w:val="center"/>
                </w:tcPr>
                <w:p w14:paraId="2462B6D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vAlign w:val="center"/>
                </w:tcPr>
                <w:p w14:paraId="7A0E2F4C">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COD</w:t>
                  </w:r>
                </w:p>
              </w:tc>
              <w:tc>
                <w:tcPr>
                  <w:tcW w:w="918" w:type="dxa"/>
                  <w:shd w:val="clear" w:color="auto" w:fill="auto"/>
                  <w:vAlign w:val="center"/>
                </w:tcPr>
                <w:p w14:paraId="0D396FD9">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340</w:t>
                  </w:r>
                </w:p>
              </w:tc>
              <w:tc>
                <w:tcPr>
                  <w:tcW w:w="818" w:type="dxa"/>
                  <w:shd w:val="clear" w:color="auto" w:fill="auto"/>
                  <w:vAlign w:val="center"/>
                </w:tcPr>
                <w:p w14:paraId="6F84876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0.522 </w:t>
                  </w:r>
                </w:p>
              </w:tc>
              <w:tc>
                <w:tcPr>
                  <w:tcW w:w="680" w:type="dxa"/>
                  <w:vMerge w:val="continue"/>
                  <w:vAlign w:val="center"/>
                </w:tcPr>
                <w:p w14:paraId="4A4BAE19">
                  <w:pPr>
                    <w:keepNext w:val="0"/>
                    <w:keepLines w:val="0"/>
                    <w:widowControl/>
                    <w:suppressLineNumbers w:val="0"/>
                    <w:spacing w:before="0" w:beforeAutospacing="0" w:after="0" w:afterAutospacing="0"/>
                    <w:ind w:left="0" w:right="0"/>
                    <w:jc w:val="center"/>
                    <w:rPr>
                      <w:rFonts w:hint="default"/>
                      <w:color w:val="auto"/>
                      <w:szCs w:val="21"/>
                      <w:highlight w:val="none"/>
                    </w:rPr>
                  </w:pPr>
                </w:p>
              </w:tc>
              <w:tc>
                <w:tcPr>
                  <w:tcW w:w="573" w:type="dxa"/>
                  <w:vAlign w:val="center"/>
                </w:tcPr>
                <w:p w14:paraId="5462BEBC">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15</w:t>
                  </w:r>
                </w:p>
              </w:tc>
              <w:tc>
                <w:tcPr>
                  <w:tcW w:w="899" w:type="dxa"/>
                  <w:shd w:val="clear" w:color="auto" w:fill="auto"/>
                  <w:vAlign w:val="center"/>
                </w:tcPr>
                <w:p w14:paraId="6B3C215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289</w:t>
                  </w:r>
                </w:p>
              </w:tc>
              <w:tc>
                <w:tcPr>
                  <w:tcW w:w="1013" w:type="dxa"/>
                  <w:shd w:val="clear" w:color="auto" w:fill="auto"/>
                  <w:vAlign w:val="center"/>
                </w:tcPr>
                <w:p w14:paraId="7CD7E7C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0.444 </w:t>
                  </w:r>
                </w:p>
              </w:tc>
              <w:tc>
                <w:tcPr>
                  <w:tcW w:w="695" w:type="dxa"/>
                  <w:vAlign w:val="center"/>
                </w:tcPr>
                <w:p w14:paraId="01E3FA7E">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220D599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4857A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A45AD06">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vAlign w:val="center"/>
                </w:tcPr>
                <w:p w14:paraId="3E0BB365">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BOD</w:t>
                  </w:r>
                  <w:r>
                    <w:rPr>
                      <w:rFonts w:hint="default"/>
                      <w:color w:val="auto"/>
                      <w:szCs w:val="21"/>
                      <w:highlight w:val="none"/>
                      <w:vertAlign w:val="subscript"/>
                    </w:rPr>
                    <w:t>5</w:t>
                  </w:r>
                </w:p>
              </w:tc>
              <w:tc>
                <w:tcPr>
                  <w:tcW w:w="918" w:type="dxa"/>
                  <w:shd w:val="clear" w:color="auto" w:fill="auto"/>
                  <w:vAlign w:val="center"/>
                </w:tcPr>
                <w:p w14:paraId="61EDF8F7">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180</w:t>
                  </w:r>
                </w:p>
              </w:tc>
              <w:tc>
                <w:tcPr>
                  <w:tcW w:w="818" w:type="dxa"/>
                  <w:shd w:val="clear" w:color="auto" w:fill="auto"/>
                  <w:vAlign w:val="center"/>
                </w:tcPr>
                <w:p w14:paraId="0174FC5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0.276 </w:t>
                  </w:r>
                </w:p>
              </w:tc>
              <w:tc>
                <w:tcPr>
                  <w:tcW w:w="680" w:type="dxa"/>
                  <w:vMerge w:val="continue"/>
                  <w:vAlign w:val="center"/>
                </w:tcPr>
                <w:p w14:paraId="00006813">
                  <w:pPr>
                    <w:keepNext w:val="0"/>
                    <w:keepLines w:val="0"/>
                    <w:widowControl/>
                    <w:suppressLineNumbers w:val="0"/>
                    <w:spacing w:before="0" w:beforeAutospacing="0" w:after="0" w:afterAutospacing="0"/>
                    <w:ind w:left="0" w:right="0"/>
                    <w:jc w:val="center"/>
                    <w:rPr>
                      <w:rFonts w:hint="default"/>
                      <w:color w:val="auto"/>
                      <w:szCs w:val="21"/>
                      <w:highlight w:val="none"/>
                    </w:rPr>
                  </w:pPr>
                </w:p>
              </w:tc>
              <w:tc>
                <w:tcPr>
                  <w:tcW w:w="573" w:type="dxa"/>
                  <w:vAlign w:val="center"/>
                </w:tcPr>
                <w:p w14:paraId="2AA560AB">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12</w:t>
                  </w:r>
                </w:p>
              </w:tc>
              <w:tc>
                <w:tcPr>
                  <w:tcW w:w="899" w:type="dxa"/>
                  <w:shd w:val="clear" w:color="auto" w:fill="auto"/>
                  <w:vAlign w:val="center"/>
                </w:tcPr>
                <w:p w14:paraId="257A5534">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158.4</w:t>
                  </w:r>
                </w:p>
              </w:tc>
              <w:tc>
                <w:tcPr>
                  <w:tcW w:w="1013" w:type="dxa"/>
                  <w:shd w:val="clear" w:color="auto" w:fill="auto"/>
                  <w:vAlign w:val="center"/>
                </w:tcPr>
                <w:p w14:paraId="6123678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0.243 </w:t>
                  </w:r>
                </w:p>
              </w:tc>
              <w:tc>
                <w:tcPr>
                  <w:tcW w:w="695" w:type="dxa"/>
                  <w:vAlign w:val="center"/>
                </w:tcPr>
                <w:p w14:paraId="2647BCBA">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291FE9C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4B4CC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66CFAFA9">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vAlign w:val="center"/>
                </w:tcPr>
                <w:p w14:paraId="4892C3D4">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SS</w:t>
                  </w:r>
                </w:p>
              </w:tc>
              <w:tc>
                <w:tcPr>
                  <w:tcW w:w="918" w:type="dxa"/>
                  <w:shd w:val="clear" w:color="auto" w:fill="auto"/>
                  <w:vAlign w:val="center"/>
                </w:tcPr>
                <w:p w14:paraId="416F8943">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200</w:t>
                  </w:r>
                </w:p>
              </w:tc>
              <w:tc>
                <w:tcPr>
                  <w:tcW w:w="818" w:type="dxa"/>
                  <w:shd w:val="clear" w:color="auto" w:fill="auto"/>
                  <w:vAlign w:val="center"/>
                </w:tcPr>
                <w:p w14:paraId="6EF1A2B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0.307 </w:t>
                  </w:r>
                </w:p>
              </w:tc>
              <w:tc>
                <w:tcPr>
                  <w:tcW w:w="680" w:type="dxa"/>
                  <w:vMerge w:val="continue"/>
                  <w:vAlign w:val="center"/>
                </w:tcPr>
                <w:p w14:paraId="46FCE681">
                  <w:pPr>
                    <w:keepNext w:val="0"/>
                    <w:keepLines w:val="0"/>
                    <w:widowControl/>
                    <w:suppressLineNumbers w:val="0"/>
                    <w:spacing w:before="0" w:beforeAutospacing="0" w:after="0" w:afterAutospacing="0"/>
                    <w:ind w:left="0" w:right="0"/>
                    <w:jc w:val="center"/>
                    <w:rPr>
                      <w:rFonts w:hint="default"/>
                      <w:color w:val="auto"/>
                      <w:szCs w:val="21"/>
                      <w:highlight w:val="none"/>
                    </w:rPr>
                  </w:pPr>
                </w:p>
              </w:tc>
              <w:tc>
                <w:tcPr>
                  <w:tcW w:w="573" w:type="dxa"/>
                  <w:vAlign w:val="center"/>
                </w:tcPr>
                <w:p w14:paraId="6F23C564">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30</w:t>
                  </w:r>
                </w:p>
              </w:tc>
              <w:tc>
                <w:tcPr>
                  <w:tcW w:w="899" w:type="dxa"/>
                  <w:shd w:val="clear" w:color="auto" w:fill="auto"/>
                  <w:vAlign w:val="center"/>
                </w:tcPr>
                <w:p w14:paraId="4A58880F">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140</w:t>
                  </w:r>
                </w:p>
              </w:tc>
              <w:tc>
                <w:tcPr>
                  <w:tcW w:w="1013" w:type="dxa"/>
                  <w:shd w:val="clear" w:color="auto" w:fill="auto"/>
                  <w:vAlign w:val="center"/>
                </w:tcPr>
                <w:p w14:paraId="416895A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0.215 </w:t>
                  </w:r>
                </w:p>
              </w:tc>
              <w:tc>
                <w:tcPr>
                  <w:tcW w:w="695" w:type="dxa"/>
                  <w:vAlign w:val="center"/>
                </w:tcPr>
                <w:p w14:paraId="6442A260">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6B5C343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59C29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BCF767A">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vAlign w:val="center"/>
                </w:tcPr>
                <w:p w14:paraId="41011511">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NH</w:t>
                  </w:r>
                  <w:r>
                    <w:rPr>
                      <w:rFonts w:hint="default"/>
                      <w:color w:val="auto"/>
                      <w:szCs w:val="21"/>
                      <w:highlight w:val="none"/>
                      <w:vertAlign w:val="subscript"/>
                    </w:rPr>
                    <w:t>3</w:t>
                  </w:r>
                  <w:r>
                    <w:rPr>
                      <w:rFonts w:hint="default"/>
                      <w:color w:val="auto"/>
                      <w:szCs w:val="21"/>
                      <w:highlight w:val="none"/>
                    </w:rPr>
                    <w:t>-N</w:t>
                  </w:r>
                </w:p>
              </w:tc>
              <w:tc>
                <w:tcPr>
                  <w:tcW w:w="918" w:type="dxa"/>
                  <w:shd w:val="clear" w:color="auto" w:fill="auto"/>
                  <w:vAlign w:val="center"/>
                </w:tcPr>
                <w:p w14:paraId="6191F27C">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30</w:t>
                  </w:r>
                </w:p>
              </w:tc>
              <w:tc>
                <w:tcPr>
                  <w:tcW w:w="818" w:type="dxa"/>
                  <w:shd w:val="clear" w:color="auto" w:fill="auto"/>
                  <w:vAlign w:val="center"/>
                </w:tcPr>
                <w:p w14:paraId="37105990">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0.046 </w:t>
                  </w:r>
                </w:p>
              </w:tc>
              <w:tc>
                <w:tcPr>
                  <w:tcW w:w="680" w:type="dxa"/>
                  <w:vMerge w:val="continue"/>
                  <w:vAlign w:val="center"/>
                </w:tcPr>
                <w:p w14:paraId="0948ACFA">
                  <w:pPr>
                    <w:keepNext w:val="0"/>
                    <w:keepLines w:val="0"/>
                    <w:widowControl/>
                    <w:suppressLineNumbers w:val="0"/>
                    <w:spacing w:before="0" w:beforeAutospacing="0" w:after="0" w:afterAutospacing="0"/>
                    <w:ind w:left="0" w:right="0"/>
                    <w:jc w:val="center"/>
                    <w:rPr>
                      <w:rFonts w:hint="default"/>
                      <w:color w:val="auto"/>
                      <w:szCs w:val="21"/>
                      <w:highlight w:val="none"/>
                    </w:rPr>
                  </w:pPr>
                </w:p>
              </w:tc>
              <w:tc>
                <w:tcPr>
                  <w:tcW w:w="573" w:type="dxa"/>
                  <w:vAlign w:val="center"/>
                </w:tcPr>
                <w:p w14:paraId="4420A71F">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3</w:t>
                  </w:r>
                </w:p>
              </w:tc>
              <w:tc>
                <w:tcPr>
                  <w:tcW w:w="899" w:type="dxa"/>
                  <w:shd w:val="clear" w:color="auto" w:fill="auto"/>
                  <w:vAlign w:val="center"/>
                </w:tcPr>
                <w:p w14:paraId="33B821D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29.1</w:t>
                  </w:r>
                </w:p>
              </w:tc>
              <w:tc>
                <w:tcPr>
                  <w:tcW w:w="1013" w:type="dxa"/>
                  <w:shd w:val="clear" w:color="auto" w:fill="auto"/>
                  <w:vAlign w:val="center"/>
                </w:tcPr>
                <w:p w14:paraId="39F7C75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0.045 </w:t>
                  </w:r>
                </w:p>
              </w:tc>
              <w:tc>
                <w:tcPr>
                  <w:tcW w:w="695" w:type="dxa"/>
                  <w:vAlign w:val="center"/>
                </w:tcPr>
                <w:p w14:paraId="71A74D50">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A4DE7C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1562B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1987071C">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vAlign w:val="center"/>
                </w:tcPr>
                <w:p w14:paraId="6C288793">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TP</w:t>
                  </w:r>
                </w:p>
              </w:tc>
              <w:tc>
                <w:tcPr>
                  <w:tcW w:w="918" w:type="dxa"/>
                  <w:shd w:val="clear" w:color="auto" w:fill="auto"/>
                  <w:vAlign w:val="center"/>
                </w:tcPr>
                <w:p w14:paraId="69E5FA67">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4</w:t>
                  </w:r>
                </w:p>
              </w:tc>
              <w:tc>
                <w:tcPr>
                  <w:tcW w:w="818" w:type="dxa"/>
                  <w:shd w:val="clear" w:color="auto" w:fill="auto"/>
                  <w:vAlign w:val="center"/>
                </w:tcPr>
                <w:p w14:paraId="36C41FC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0.006 </w:t>
                  </w:r>
                </w:p>
              </w:tc>
              <w:tc>
                <w:tcPr>
                  <w:tcW w:w="680" w:type="dxa"/>
                  <w:vMerge w:val="continue"/>
                  <w:vAlign w:val="center"/>
                </w:tcPr>
                <w:p w14:paraId="1D02FCE4">
                  <w:pPr>
                    <w:keepNext w:val="0"/>
                    <w:keepLines w:val="0"/>
                    <w:widowControl/>
                    <w:suppressLineNumbers w:val="0"/>
                    <w:spacing w:before="0" w:beforeAutospacing="0" w:after="0" w:afterAutospacing="0"/>
                    <w:ind w:left="0" w:right="0"/>
                    <w:jc w:val="center"/>
                    <w:rPr>
                      <w:rFonts w:hint="default"/>
                      <w:color w:val="auto"/>
                      <w:szCs w:val="21"/>
                      <w:highlight w:val="none"/>
                    </w:rPr>
                  </w:pPr>
                </w:p>
              </w:tc>
              <w:tc>
                <w:tcPr>
                  <w:tcW w:w="573" w:type="dxa"/>
                  <w:vAlign w:val="center"/>
                </w:tcPr>
                <w:p w14:paraId="16AC7F23">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c>
                <w:tcPr>
                  <w:tcW w:w="899" w:type="dxa"/>
                  <w:shd w:val="clear" w:color="auto" w:fill="auto"/>
                  <w:vAlign w:val="center"/>
                </w:tcPr>
                <w:p w14:paraId="7296200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013" w:type="dxa"/>
                  <w:shd w:val="clear" w:color="auto" w:fill="auto"/>
                  <w:vAlign w:val="center"/>
                </w:tcPr>
                <w:p w14:paraId="045897B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0.006 </w:t>
                  </w:r>
                </w:p>
              </w:tc>
              <w:tc>
                <w:tcPr>
                  <w:tcW w:w="695" w:type="dxa"/>
                  <w:vAlign w:val="center"/>
                </w:tcPr>
                <w:p w14:paraId="55C15791">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75493AD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45EFB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763C515">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vAlign w:val="center"/>
                </w:tcPr>
                <w:p w14:paraId="198C77A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TN</w:t>
                  </w:r>
                </w:p>
              </w:tc>
              <w:tc>
                <w:tcPr>
                  <w:tcW w:w="918" w:type="dxa"/>
                  <w:shd w:val="clear" w:color="auto" w:fill="auto"/>
                  <w:vAlign w:val="center"/>
                </w:tcPr>
                <w:p w14:paraId="3CD7A81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40</w:t>
                  </w:r>
                </w:p>
              </w:tc>
              <w:tc>
                <w:tcPr>
                  <w:tcW w:w="818" w:type="dxa"/>
                  <w:shd w:val="clear" w:color="auto" w:fill="auto"/>
                  <w:vAlign w:val="center"/>
                </w:tcPr>
                <w:p w14:paraId="3857A94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0.061 </w:t>
                  </w:r>
                </w:p>
              </w:tc>
              <w:tc>
                <w:tcPr>
                  <w:tcW w:w="680" w:type="dxa"/>
                  <w:vMerge w:val="continue"/>
                  <w:vAlign w:val="center"/>
                </w:tcPr>
                <w:p w14:paraId="16061AD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03401188">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c>
                <w:tcPr>
                  <w:tcW w:w="899" w:type="dxa"/>
                  <w:shd w:val="clear" w:color="auto" w:fill="auto"/>
                  <w:vAlign w:val="center"/>
                </w:tcPr>
                <w:p w14:paraId="4BED521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1013" w:type="dxa"/>
                  <w:shd w:val="clear" w:color="auto" w:fill="auto"/>
                  <w:vAlign w:val="center"/>
                </w:tcPr>
                <w:p w14:paraId="6A7230D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0.061 </w:t>
                  </w:r>
                </w:p>
              </w:tc>
              <w:tc>
                <w:tcPr>
                  <w:tcW w:w="695" w:type="dxa"/>
                  <w:vAlign w:val="center"/>
                </w:tcPr>
                <w:p w14:paraId="39C890B5">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5E64391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296D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shd w:val="clear" w:color="auto" w:fill="auto"/>
                  <w:vAlign w:val="center"/>
                </w:tcPr>
                <w:p w14:paraId="4D217960">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000000" w:themeColor="text1"/>
                      <w:szCs w:val="21"/>
                      <w14:textFill>
                        <w14:solidFill>
                          <w14:schemeClr w14:val="tx1"/>
                        </w14:solidFill>
                      </w14:textFill>
                    </w:rPr>
                    <w:t>纯水制备浓水</w:t>
                  </w:r>
                  <w:r>
                    <w:rPr>
                      <w:rFonts w:hint="eastAsia"/>
                      <w:color w:val="000000" w:themeColor="text1"/>
                      <w:szCs w:val="21"/>
                      <w:lang w:val="en-US" w:eastAsia="zh-CN"/>
                      <w14:textFill>
                        <w14:solidFill>
                          <w14:schemeClr w14:val="tx1"/>
                        </w14:solidFill>
                      </w14:textFill>
                    </w:rPr>
                    <w:t>20.571</w:t>
                  </w:r>
                  <w:r>
                    <w:rPr>
                      <w:rFonts w:hint="default"/>
                      <w:color w:val="000000" w:themeColor="text1"/>
                      <w:szCs w:val="21"/>
                      <w14:textFill>
                        <w14:solidFill>
                          <w14:schemeClr w14:val="tx1"/>
                        </w14:solidFill>
                      </w14:textFill>
                    </w:rPr>
                    <w:t>t/a</w:t>
                  </w:r>
                </w:p>
              </w:tc>
              <w:tc>
                <w:tcPr>
                  <w:tcW w:w="870" w:type="dxa"/>
                  <w:shd w:val="clear" w:color="auto" w:fill="auto"/>
                  <w:vAlign w:val="center"/>
                </w:tcPr>
                <w:p w14:paraId="03036A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color w:val="000000" w:themeColor="text1"/>
                      <w:szCs w:val="21"/>
                      <w:lang w:bidi="ar"/>
                      <w14:textFill>
                        <w14:solidFill>
                          <w14:schemeClr w14:val="tx1"/>
                        </w14:solidFill>
                      </w14:textFill>
                    </w:rPr>
                    <w:t>pH</w:t>
                  </w:r>
                </w:p>
              </w:tc>
              <w:tc>
                <w:tcPr>
                  <w:tcW w:w="918" w:type="dxa"/>
                  <w:shd w:val="clear" w:color="auto" w:fill="auto"/>
                  <w:vAlign w:val="center"/>
                </w:tcPr>
                <w:p w14:paraId="6335A7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color w:val="000000" w:themeColor="text1"/>
                      <w:szCs w:val="21"/>
                      <w:lang w:bidi="ar"/>
                      <w14:textFill>
                        <w14:solidFill>
                          <w14:schemeClr w14:val="tx1"/>
                        </w14:solidFill>
                      </w14:textFill>
                    </w:rPr>
                    <w:t>6~9</w:t>
                  </w:r>
                </w:p>
              </w:tc>
              <w:tc>
                <w:tcPr>
                  <w:tcW w:w="818" w:type="dxa"/>
                  <w:shd w:val="clear" w:color="auto" w:fill="auto"/>
                  <w:vAlign w:val="center"/>
                </w:tcPr>
                <w:p w14:paraId="4F5077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restart"/>
                  <w:shd w:val="clear" w:color="auto" w:fill="auto"/>
                  <w:vAlign w:val="center"/>
                </w:tcPr>
                <w:p w14:paraId="076AB8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color w:val="000000" w:themeColor="text1"/>
                      <w:kern w:val="0"/>
                      <w:szCs w:val="21"/>
                      <w:lang w:bidi="ar"/>
                      <w14:textFill>
                        <w14:solidFill>
                          <w14:schemeClr w14:val="tx1"/>
                        </w14:solidFill>
                      </w14:textFill>
                    </w:rPr>
                    <w:t>市政污水官网</w:t>
                  </w:r>
                </w:p>
                <w:p w14:paraId="505F810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EB1423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color w:val="000000" w:themeColor="text1"/>
                      <w:szCs w:val="21"/>
                      <w14:textFill>
                        <w14:solidFill>
                          <w14:schemeClr w14:val="tx1"/>
                        </w14:solidFill>
                      </w14:textFill>
                    </w:rPr>
                    <w:t>/</w:t>
                  </w:r>
                </w:p>
              </w:tc>
              <w:tc>
                <w:tcPr>
                  <w:tcW w:w="899" w:type="dxa"/>
                  <w:shd w:val="clear" w:color="auto" w:fill="auto"/>
                  <w:vAlign w:val="center"/>
                </w:tcPr>
                <w:p w14:paraId="4D6473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475687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shd w:val="clear" w:color="auto" w:fill="auto"/>
                  <w:vAlign w:val="center"/>
                </w:tcPr>
                <w:p w14:paraId="646F46A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color w:val="000000" w:themeColor="text1"/>
                      <w:kern w:val="0"/>
                      <w:szCs w:val="21"/>
                      <w:lang w:bidi="ar"/>
                      <w14:textFill>
                        <w14:solidFill>
                          <w14:schemeClr w14:val="tx1"/>
                        </w14:solidFill>
                      </w14:textFill>
                    </w:rPr>
                    <w:t>/</w:t>
                  </w:r>
                </w:p>
              </w:tc>
              <w:tc>
                <w:tcPr>
                  <w:tcW w:w="700" w:type="dxa"/>
                  <w:shd w:val="clear" w:color="auto" w:fill="auto"/>
                  <w:vAlign w:val="center"/>
                </w:tcPr>
                <w:p w14:paraId="446D471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color w:val="000000" w:themeColor="text1"/>
                      <w:kern w:val="0"/>
                      <w:szCs w:val="21"/>
                      <w:lang w:bidi="ar"/>
                      <w14:textFill>
                        <w14:solidFill>
                          <w14:schemeClr w14:val="tx1"/>
                        </w14:solidFill>
                      </w14:textFill>
                    </w:rPr>
                    <w:t>/</w:t>
                  </w:r>
                </w:p>
              </w:tc>
            </w:tr>
            <w:tr w14:paraId="3EA31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4B43222">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FA1FB1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COD</w:t>
                  </w:r>
                </w:p>
              </w:tc>
              <w:tc>
                <w:tcPr>
                  <w:tcW w:w="918" w:type="dxa"/>
                  <w:shd w:val="clear" w:color="auto" w:fill="auto"/>
                  <w:vAlign w:val="center"/>
                </w:tcPr>
                <w:p w14:paraId="69A8B85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50</w:t>
                  </w:r>
                </w:p>
              </w:tc>
              <w:tc>
                <w:tcPr>
                  <w:tcW w:w="818" w:type="dxa"/>
                  <w:shd w:val="clear" w:color="auto" w:fill="auto"/>
                  <w:vAlign w:val="center"/>
                </w:tcPr>
                <w:p w14:paraId="760BCB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69665A5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F32C78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w:t>
                  </w:r>
                </w:p>
              </w:tc>
              <w:tc>
                <w:tcPr>
                  <w:tcW w:w="899" w:type="dxa"/>
                  <w:shd w:val="clear" w:color="auto" w:fill="auto"/>
                  <w:vAlign w:val="center"/>
                </w:tcPr>
                <w:p w14:paraId="5A8664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1013" w:type="dxa"/>
                  <w:shd w:val="clear" w:color="auto" w:fill="auto"/>
                  <w:vAlign w:val="center"/>
                </w:tcPr>
                <w:p w14:paraId="29205F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shd w:val="clear" w:color="auto" w:fill="auto"/>
                  <w:vAlign w:val="center"/>
                </w:tcPr>
                <w:p w14:paraId="3214826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kern w:val="0"/>
                      <w:szCs w:val="21"/>
                      <w:lang w:bidi="ar"/>
                      <w14:textFill>
                        <w14:solidFill>
                          <w14:schemeClr w14:val="tx1"/>
                        </w14:solidFill>
                      </w14:textFill>
                    </w:rPr>
                    <w:t>/</w:t>
                  </w:r>
                </w:p>
              </w:tc>
              <w:tc>
                <w:tcPr>
                  <w:tcW w:w="700" w:type="dxa"/>
                  <w:shd w:val="clear" w:color="auto" w:fill="auto"/>
                  <w:vAlign w:val="center"/>
                </w:tcPr>
                <w:p w14:paraId="18EA580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kern w:val="0"/>
                      <w:szCs w:val="21"/>
                      <w:lang w:bidi="ar"/>
                      <w14:textFill>
                        <w14:solidFill>
                          <w14:schemeClr w14:val="tx1"/>
                        </w14:solidFill>
                      </w14:textFill>
                    </w:rPr>
                    <w:t>/</w:t>
                  </w:r>
                </w:p>
              </w:tc>
            </w:tr>
            <w:tr w14:paraId="29EA4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7DACB71D">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C0B165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SS</w:t>
                  </w:r>
                </w:p>
              </w:tc>
              <w:tc>
                <w:tcPr>
                  <w:tcW w:w="918" w:type="dxa"/>
                  <w:shd w:val="clear" w:color="auto" w:fill="auto"/>
                  <w:vAlign w:val="center"/>
                </w:tcPr>
                <w:p w14:paraId="627CF86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50</w:t>
                  </w:r>
                </w:p>
              </w:tc>
              <w:tc>
                <w:tcPr>
                  <w:tcW w:w="818" w:type="dxa"/>
                  <w:shd w:val="clear" w:color="auto" w:fill="auto"/>
                  <w:vAlign w:val="center"/>
                </w:tcPr>
                <w:p w14:paraId="3F3957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7E02A0A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48E4FB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w:t>
                  </w:r>
                </w:p>
              </w:tc>
              <w:tc>
                <w:tcPr>
                  <w:tcW w:w="899" w:type="dxa"/>
                  <w:shd w:val="clear" w:color="auto" w:fill="auto"/>
                  <w:vAlign w:val="center"/>
                </w:tcPr>
                <w:p w14:paraId="0E6734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1013" w:type="dxa"/>
                  <w:shd w:val="clear" w:color="auto" w:fill="auto"/>
                  <w:vAlign w:val="center"/>
                </w:tcPr>
                <w:p w14:paraId="414E3F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shd w:val="clear" w:color="auto" w:fill="auto"/>
                  <w:vAlign w:val="center"/>
                </w:tcPr>
                <w:p w14:paraId="22DE809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kern w:val="0"/>
                      <w:szCs w:val="21"/>
                      <w:lang w:bidi="ar"/>
                      <w14:textFill>
                        <w14:solidFill>
                          <w14:schemeClr w14:val="tx1"/>
                        </w14:solidFill>
                      </w14:textFill>
                    </w:rPr>
                    <w:t>/</w:t>
                  </w:r>
                </w:p>
              </w:tc>
              <w:tc>
                <w:tcPr>
                  <w:tcW w:w="700" w:type="dxa"/>
                  <w:shd w:val="clear" w:color="auto" w:fill="auto"/>
                  <w:vAlign w:val="center"/>
                </w:tcPr>
                <w:p w14:paraId="24CF549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kern w:val="0"/>
                      <w:szCs w:val="21"/>
                      <w:lang w:bidi="ar"/>
                      <w14:textFill>
                        <w14:solidFill>
                          <w14:schemeClr w14:val="tx1"/>
                        </w14:solidFill>
                      </w14:textFill>
                    </w:rPr>
                    <w:t>/</w:t>
                  </w:r>
                </w:p>
              </w:tc>
            </w:tr>
            <w:tr w14:paraId="7B5B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restart"/>
                  <w:vAlign w:val="center"/>
                </w:tcPr>
                <w:p w14:paraId="31A819F4">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喷枪清洗废水2.048t/a</w:t>
                  </w:r>
                </w:p>
              </w:tc>
              <w:tc>
                <w:tcPr>
                  <w:tcW w:w="870" w:type="dxa"/>
                  <w:shd w:val="clear" w:color="auto" w:fill="auto"/>
                  <w:vAlign w:val="center"/>
                </w:tcPr>
                <w:p w14:paraId="0FF0CF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pH</w:t>
                  </w:r>
                </w:p>
              </w:tc>
              <w:tc>
                <w:tcPr>
                  <w:tcW w:w="918" w:type="dxa"/>
                  <w:shd w:val="clear" w:color="auto" w:fill="auto"/>
                  <w:vAlign w:val="center"/>
                </w:tcPr>
                <w:p w14:paraId="495C1A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color w:val="auto"/>
                      <w:szCs w:val="21"/>
                      <w:highlight w:val="none"/>
                      <w:lang w:bidi="ar"/>
                    </w:rPr>
                    <w:t>6~9</w:t>
                  </w:r>
                </w:p>
              </w:tc>
              <w:tc>
                <w:tcPr>
                  <w:tcW w:w="818" w:type="dxa"/>
                  <w:shd w:val="clear" w:color="auto" w:fill="auto"/>
                  <w:vAlign w:val="center"/>
                </w:tcPr>
                <w:p w14:paraId="685E32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restart"/>
                  <w:shd w:val="clear" w:color="auto" w:fill="auto"/>
                  <w:vAlign w:val="center"/>
                </w:tcPr>
                <w:p w14:paraId="6435C3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color w:val="auto"/>
                      <w:kern w:val="0"/>
                      <w:szCs w:val="21"/>
                      <w:highlight w:val="none"/>
                      <w:lang w:bidi="ar"/>
                    </w:rPr>
                    <w:t>自建污水处理站</w:t>
                  </w:r>
                </w:p>
              </w:tc>
              <w:tc>
                <w:tcPr>
                  <w:tcW w:w="573" w:type="dxa"/>
                  <w:shd w:val="clear" w:color="auto" w:fill="auto"/>
                  <w:vAlign w:val="center"/>
                </w:tcPr>
                <w:p w14:paraId="25A59F1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w:t>
                  </w:r>
                </w:p>
              </w:tc>
              <w:tc>
                <w:tcPr>
                  <w:tcW w:w="899" w:type="dxa"/>
                  <w:shd w:val="clear" w:color="auto" w:fill="auto"/>
                  <w:vAlign w:val="center"/>
                </w:tcPr>
                <w:p w14:paraId="10CBB9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1EB28205">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shd w:val="clear" w:color="auto" w:fill="auto"/>
                  <w:vAlign w:val="center"/>
                </w:tcPr>
                <w:p w14:paraId="75EA5DF2">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1C2B7BEC">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6870B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4276B5E4">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01AB0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COD</w:t>
                  </w:r>
                </w:p>
              </w:tc>
              <w:tc>
                <w:tcPr>
                  <w:tcW w:w="918" w:type="dxa"/>
                  <w:shd w:val="clear" w:color="auto" w:fill="auto"/>
                  <w:vAlign w:val="center"/>
                </w:tcPr>
                <w:p w14:paraId="0A364D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5000</w:t>
                  </w:r>
                </w:p>
              </w:tc>
              <w:tc>
                <w:tcPr>
                  <w:tcW w:w="818" w:type="dxa"/>
                  <w:shd w:val="clear" w:color="auto" w:fill="auto"/>
                  <w:vAlign w:val="center"/>
                </w:tcPr>
                <w:p w14:paraId="280F65D7">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0.010 </w:t>
                  </w:r>
                </w:p>
              </w:tc>
              <w:tc>
                <w:tcPr>
                  <w:tcW w:w="680" w:type="dxa"/>
                  <w:vMerge w:val="continue"/>
                  <w:vAlign w:val="center"/>
                </w:tcPr>
                <w:p w14:paraId="4B55950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041C5B7A">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411185E2">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750</w:t>
                  </w:r>
                </w:p>
              </w:tc>
              <w:tc>
                <w:tcPr>
                  <w:tcW w:w="1013" w:type="dxa"/>
                  <w:shd w:val="clear" w:color="auto" w:fill="auto"/>
                  <w:vAlign w:val="center"/>
                </w:tcPr>
                <w:p w14:paraId="5307B1C4">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95" w:type="dxa"/>
                  <w:shd w:val="clear" w:color="auto" w:fill="auto"/>
                  <w:vAlign w:val="center"/>
                </w:tcPr>
                <w:p w14:paraId="6133CF1D">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460ED4B7">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23698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530EF76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2607AF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72A21E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2000</w:t>
                  </w:r>
                </w:p>
              </w:tc>
              <w:tc>
                <w:tcPr>
                  <w:tcW w:w="818" w:type="dxa"/>
                  <w:shd w:val="clear" w:color="auto" w:fill="auto"/>
                  <w:vAlign w:val="center"/>
                </w:tcPr>
                <w:p w14:paraId="5A4F03DC">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0.004 </w:t>
                  </w:r>
                </w:p>
              </w:tc>
              <w:tc>
                <w:tcPr>
                  <w:tcW w:w="680" w:type="dxa"/>
                  <w:vMerge w:val="continue"/>
                  <w:vAlign w:val="center"/>
                </w:tcPr>
                <w:p w14:paraId="1685DE1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C726F50">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224F9371">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400</w:t>
                  </w:r>
                </w:p>
              </w:tc>
              <w:tc>
                <w:tcPr>
                  <w:tcW w:w="1013" w:type="dxa"/>
                  <w:shd w:val="clear" w:color="auto" w:fill="auto"/>
                  <w:vAlign w:val="center"/>
                </w:tcPr>
                <w:p w14:paraId="38246937">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shd w:val="clear" w:color="auto" w:fill="auto"/>
                  <w:vAlign w:val="center"/>
                </w:tcPr>
                <w:p w14:paraId="763BF7CC">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487CF7EE">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07502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37F14D63">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2502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SS</w:t>
                  </w:r>
                </w:p>
              </w:tc>
              <w:tc>
                <w:tcPr>
                  <w:tcW w:w="918" w:type="dxa"/>
                  <w:shd w:val="clear" w:color="auto" w:fill="auto"/>
                  <w:vAlign w:val="center"/>
                </w:tcPr>
                <w:p w14:paraId="7FF5CF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5000</w:t>
                  </w:r>
                </w:p>
              </w:tc>
              <w:tc>
                <w:tcPr>
                  <w:tcW w:w="818" w:type="dxa"/>
                  <w:shd w:val="clear" w:color="auto" w:fill="auto"/>
                  <w:vAlign w:val="center"/>
                </w:tcPr>
                <w:p w14:paraId="292FEA45">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0.010 </w:t>
                  </w:r>
                </w:p>
              </w:tc>
              <w:tc>
                <w:tcPr>
                  <w:tcW w:w="680" w:type="dxa"/>
                  <w:vMerge w:val="continue"/>
                  <w:vAlign w:val="center"/>
                </w:tcPr>
                <w:p w14:paraId="60727F3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53BF74F5">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5FB0C2B4">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1013" w:type="dxa"/>
                  <w:shd w:val="clear" w:color="auto" w:fill="auto"/>
                  <w:vAlign w:val="center"/>
                </w:tcPr>
                <w:p w14:paraId="01AB73AB">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95" w:type="dxa"/>
                  <w:shd w:val="clear" w:color="auto" w:fill="auto"/>
                  <w:vAlign w:val="center"/>
                </w:tcPr>
                <w:p w14:paraId="7B0D62F3">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11178BB3">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304B8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715E8E81">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919FC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0246C2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60</w:t>
                  </w:r>
                </w:p>
              </w:tc>
              <w:tc>
                <w:tcPr>
                  <w:tcW w:w="818" w:type="dxa"/>
                  <w:shd w:val="clear" w:color="auto" w:fill="auto"/>
                  <w:vAlign w:val="center"/>
                </w:tcPr>
                <w:p w14:paraId="58396329">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80" w:type="dxa"/>
                  <w:vMerge w:val="continue"/>
                  <w:vAlign w:val="center"/>
                </w:tcPr>
                <w:p w14:paraId="499DCAE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5E271D86">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386CFA5E">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45</w:t>
                  </w:r>
                </w:p>
              </w:tc>
              <w:tc>
                <w:tcPr>
                  <w:tcW w:w="1013" w:type="dxa"/>
                  <w:shd w:val="clear" w:color="auto" w:fill="auto"/>
                  <w:vAlign w:val="center"/>
                </w:tcPr>
                <w:p w14:paraId="111343B3">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shd w:val="clear" w:color="auto" w:fill="auto"/>
                  <w:vAlign w:val="center"/>
                </w:tcPr>
                <w:p w14:paraId="47D6DBCB">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77792602">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663CD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419B5550">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A45B7E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2A15F1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30</w:t>
                  </w:r>
                </w:p>
              </w:tc>
              <w:tc>
                <w:tcPr>
                  <w:tcW w:w="818" w:type="dxa"/>
                  <w:shd w:val="clear" w:color="auto" w:fill="auto"/>
                  <w:vAlign w:val="center"/>
                </w:tcPr>
                <w:p w14:paraId="60EEA04D">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80" w:type="dxa"/>
                  <w:vMerge w:val="continue"/>
                  <w:vAlign w:val="center"/>
                </w:tcPr>
                <w:p w14:paraId="73EA8F6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FB0F97E">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28D66084">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013" w:type="dxa"/>
                  <w:shd w:val="clear" w:color="auto" w:fill="auto"/>
                  <w:vAlign w:val="center"/>
                </w:tcPr>
                <w:p w14:paraId="3D2CAEBC">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0.00001 </w:t>
                  </w:r>
                </w:p>
              </w:tc>
              <w:tc>
                <w:tcPr>
                  <w:tcW w:w="695" w:type="dxa"/>
                  <w:shd w:val="clear" w:color="auto" w:fill="auto"/>
                  <w:vAlign w:val="center"/>
                </w:tcPr>
                <w:p w14:paraId="7DB977CF">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7160C371">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29A8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4947BC46">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27149C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721871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80</w:t>
                  </w:r>
                </w:p>
              </w:tc>
              <w:tc>
                <w:tcPr>
                  <w:tcW w:w="818" w:type="dxa"/>
                  <w:shd w:val="clear" w:color="auto" w:fill="auto"/>
                  <w:vAlign w:val="center"/>
                </w:tcPr>
                <w:p w14:paraId="1E39DAEF">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80" w:type="dxa"/>
                  <w:vMerge w:val="continue"/>
                  <w:vAlign w:val="center"/>
                </w:tcPr>
                <w:p w14:paraId="5463E84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AA1BA0B">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2CBC3821">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64</w:t>
                  </w:r>
                </w:p>
              </w:tc>
              <w:tc>
                <w:tcPr>
                  <w:tcW w:w="1013" w:type="dxa"/>
                  <w:shd w:val="clear" w:color="auto" w:fill="auto"/>
                  <w:vAlign w:val="center"/>
                </w:tcPr>
                <w:p w14:paraId="05432A6D">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shd w:val="clear" w:color="auto" w:fill="auto"/>
                  <w:vAlign w:val="center"/>
                </w:tcPr>
                <w:p w14:paraId="75AFEBF0">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48D51ECF">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586D5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64D22A80">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8BC8E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LAS</w:t>
                  </w:r>
                </w:p>
              </w:tc>
              <w:tc>
                <w:tcPr>
                  <w:tcW w:w="918" w:type="dxa"/>
                  <w:shd w:val="clear" w:color="auto" w:fill="auto"/>
                  <w:vAlign w:val="center"/>
                </w:tcPr>
                <w:p w14:paraId="421295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100</w:t>
                  </w:r>
                </w:p>
              </w:tc>
              <w:tc>
                <w:tcPr>
                  <w:tcW w:w="818" w:type="dxa"/>
                  <w:shd w:val="clear" w:color="auto" w:fill="auto"/>
                  <w:vAlign w:val="center"/>
                </w:tcPr>
                <w:p w14:paraId="1D591A75">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80" w:type="dxa"/>
                  <w:vMerge w:val="continue"/>
                  <w:vAlign w:val="center"/>
                </w:tcPr>
                <w:p w14:paraId="4D0B4DE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78EB7BF">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47763D88">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013" w:type="dxa"/>
                  <w:shd w:val="clear" w:color="auto" w:fill="auto"/>
                  <w:vAlign w:val="center"/>
                </w:tcPr>
                <w:p w14:paraId="598D058F">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0.00003 </w:t>
                  </w:r>
                </w:p>
              </w:tc>
              <w:tc>
                <w:tcPr>
                  <w:tcW w:w="695" w:type="dxa"/>
                  <w:shd w:val="clear" w:color="auto" w:fill="auto"/>
                  <w:vAlign w:val="center"/>
                </w:tcPr>
                <w:p w14:paraId="64474CB4">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72CDBFA2">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48DC4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179" w:type="dxa"/>
                  <w:vMerge w:val="continue"/>
                  <w:vAlign w:val="center"/>
                </w:tcPr>
                <w:p w14:paraId="23FD8FE8">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7A6E96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石油类</w:t>
                  </w:r>
                </w:p>
              </w:tc>
              <w:tc>
                <w:tcPr>
                  <w:tcW w:w="918" w:type="dxa"/>
                  <w:shd w:val="clear" w:color="auto" w:fill="auto"/>
                  <w:vAlign w:val="center"/>
                </w:tcPr>
                <w:p w14:paraId="51CB9A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40</w:t>
                  </w:r>
                </w:p>
              </w:tc>
              <w:tc>
                <w:tcPr>
                  <w:tcW w:w="818" w:type="dxa"/>
                  <w:shd w:val="clear" w:color="auto" w:fill="auto"/>
                  <w:vAlign w:val="center"/>
                </w:tcPr>
                <w:p w14:paraId="401C8287">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80" w:type="dxa"/>
                  <w:vMerge w:val="continue"/>
                  <w:vAlign w:val="center"/>
                </w:tcPr>
                <w:p w14:paraId="0231DE5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0E650107">
                  <w:pPr>
                    <w:keepNext w:val="0"/>
                    <w:keepLines w:val="0"/>
                    <w:widowControl/>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6D094998">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13" w:type="dxa"/>
                  <w:shd w:val="clear" w:color="auto" w:fill="auto"/>
                  <w:vAlign w:val="center"/>
                </w:tcPr>
                <w:p w14:paraId="56189D9E">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0.000004 </w:t>
                  </w:r>
                </w:p>
              </w:tc>
              <w:tc>
                <w:tcPr>
                  <w:tcW w:w="695" w:type="dxa"/>
                  <w:shd w:val="clear" w:color="auto" w:fill="auto"/>
                  <w:vAlign w:val="center"/>
                </w:tcPr>
                <w:p w14:paraId="775774BF">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1F34AB27">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59E4B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restart"/>
                  <w:vAlign w:val="center"/>
                </w:tcPr>
                <w:p w14:paraId="06B06A97">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水性光亮剂配比废水</w:t>
                  </w:r>
                  <w:r>
                    <w:rPr>
                      <w:rFonts w:hint="eastAsia"/>
                      <w:color w:val="000000" w:themeColor="text1"/>
                      <w:szCs w:val="21"/>
                      <w:lang w:val="en-US" w:eastAsia="zh-CN"/>
                      <w14:textFill>
                        <w14:solidFill>
                          <w14:schemeClr w14:val="tx1"/>
                        </w14:solidFill>
                      </w14:textFill>
                    </w:rPr>
                    <w:t>0.48</w:t>
                  </w:r>
                  <w:r>
                    <w:rPr>
                      <w:rFonts w:hint="default"/>
                      <w:color w:val="000000" w:themeColor="text1"/>
                      <w:szCs w:val="21"/>
                      <w14:textFill>
                        <w14:solidFill>
                          <w14:schemeClr w14:val="tx1"/>
                        </w14:solidFill>
                      </w14:textFill>
                    </w:rPr>
                    <w:t>t/a</w:t>
                  </w:r>
                </w:p>
              </w:tc>
              <w:tc>
                <w:tcPr>
                  <w:tcW w:w="870" w:type="dxa"/>
                  <w:shd w:val="clear" w:color="auto" w:fill="auto"/>
                  <w:vAlign w:val="center"/>
                </w:tcPr>
                <w:p w14:paraId="63FD32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pH</w:t>
                  </w:r>
                </w:p>
              </w:tc>
              <w:tc>
                <w:tcPr>
                  <w:tcW w:w="918" w:type="dxa"/>
                  <w:shd w:val="clear" w:color="auto" w:fill="auto"/>
                  <w:vAlign w:val="center"/>
                </w:tcPr>
                <w:p w14:paraId="0DEB0855">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auto"/>
                      <w:szCs w:val="21"/>
                      <w:highlight w:val="none"/>
                      <w:lang w:bidi="ar"/>
                    </w:rPr>
                    <w:t>6~9</w:t>
                  </w:r>
                </w:p>
              </w:tc>
              <w:tc>
                <w:tcPr>
                  <w:tcW w:w="818" w:type="dxa"/>
                  <w:shd w:val="clear" w:color="auto" w:fill="auto"/>
                  <w:vAlign w:val="center"/>
                </w:tcPr>
                <w:p w14:paraId="1A6ECD8B">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continue"/>
                  <w:vAlign w:val="center"/>
                </w:tcPr>
                <w:p w14:paraId="2614B37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810C466">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auto"/>
                      <w:szCs w:val="21"/>
                      <w:highlight w:val="none"/>
                    </w:rPr>
                    <w:t>/</w:t>
                  </w:r>
                </w:p>
              </w:tc>
              <w:tc>
                <w:tcPr>
                  <w:tcW w:w="899" w:type="dxa"/>
                  <w:shd w:val="clear" w:color="auto" w:fill="auto"/>
                  <w:vAlign w:val="center"/>
                </w:tcPr>
                <w:p w14:paraId="2A68DCBE">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01B62B60">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shd w:val="clear" w:color="auto" w:fill="auto"/>
                  <w:vAlign w:val="center"/>
                </w:tcPr>
                <w:p w14:paraId="7512E9A5">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4246AAC0">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309AD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45B94571">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A6BD0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COD</w:t>
                  </w:r>
                </w:p>
              </w:tc>
              <w:tc>
                <w:tcPr>
                  <w:tcW w:w="918" w:type="dxa"/>
                  <w:shd w:val="clear" w:color="auto" w:fill="auto"/>
                  <w:vAlign w:val="center"/>
                </w:tcPr>
                <w:p w14:paraId="622B44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1200</w:t>
                  </w:r>
                </w:p>
              </w:tc>
              <w:tc>
                <w:tcPr>
                  <w:tcW w:w="818" w:type="dxa"/>
                  <w:shd w:val="clear" w:color="auto" w:fill="auto"/>
                  <w:vAlign w:val="center"/>
                </w:tcPr>
                <w:p w14:paraId="2B937015">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5F848AC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0E729C8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29E364FB">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180</w:t>
                  </w:r>
                </w:p>
              </w:tc>
              <w:tc>
                <w:tcPr>
                  <w:tcW w:w="1013" w:type="dxa"/>
                  <w:shd w:val="clear" w:color="auto" w:fill="auto"/>
                  <w:vAlign w:val="center"/>
                </w:tcPr>
                <w:p w14:paraId="45C26CE8">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shd w:val="clear" w:color="auto" w:fill="auto"/>
                  <w:vAlign w:val="center"/>
                </w:tcPr>
                <w:p w14:paraId="32BE7B28">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068715F7">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2318D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0A73A4A7">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7DC909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765629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400</w:t>
                  </w:r>
                </w:p>
              </w:tc>
              <w:tc>
                <w:tcPr>
                  <w:tcW w:w="818" w:type="dxa"/>
                  <w:shd w:val="clear" w:color="auto" w:fill="auto"/>
                  <w:vAlign w:val="center"/>
                </w:tcPr>
                <w:p w14:paraId="7A5FB418">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80" w:type="dxa"/>
                  <w:vMerge w:val="continue"/>
                  <w:vAlign w:val="center"/>
                </w:tcPr>
                <w:p w14:paraId="3DA22FB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33656A8">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0A4FB1CA">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1013" w:type="dxa"/>
                  <w:shd w:val="clear" w:color="auto" w:fill="auto"/>
                  <w:vAlign w:val="center"/>
                </w:tcPr>
                <w:p w14:paraId="4AEF2AA4">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0.00004 </w:t>
                  </w:r>
                </w:p>
              </w:tc>
              <w:tc>
                <w:tcPr>
                  <w:tcW w:w="695" w:type="dxa"/>
                  <w:shd w:val="clear" w:color="auto" w:fill="auto"/>
                  <w:vAlign w:val="center"/>
                </w:tcPr>
                <w:p w14:paraId="23A6CE17">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75DDAA83">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7DD1F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1196BF5C">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B7434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SS</w:t>
                  </w:r>
                </w:p>
              </w:tc>
              <w:tc>
                <w:tcPr>
                  <w:tcW w:w="918" w:type="dxa"/>
                  <w:shd w:val="clear" w:color="auto" w:fill="auto"/>
                  <w:vAlign w:val="center"/>
                </w:tcPr>
                <w:p w14:paraId="4A9DBB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500</w:t>
                  </w:r>
                </w:p>
              </w:tc>
              <w:tc>
                <w:tcPr>
                  <w:tcW w:w="818" w:type="dxa"/>
                  <w:shd w:val="clear" w:color="auto" w:fill="auto"/>
                  <w:vAlign w:val="center"/>
                </w:tcPr>
                <w:p w14:paraId="2CC3F83F">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80" w:type="dxa"/>
                  <w:vMerge w:val="continue"/>
                  <w:vAlign w:val="center"/>
                </w:tcPr>
                <w:p w14:paraId="28E5AAD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4EA18546">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74372CC7">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1013" w:type="dxa"/>
                  <w:shd w:val="clear" w:color="auto" w:fill="auto"/>
                  <w:vAlign w:val="center"/>
                </w:tcPr>
                <w:p w14:paraId="6B0BCD73">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0.000005 </w:t>
                  </w:r>
                </w:p>
              </w:tc>
              <w:tc>
                <w:tcPr>
                  <w:tcW w:w="695" w:type="dxa"/>
                  <w:shd w:val="clear" w:color="auto" w:fill="auto"/>
                  <w:vAlign w:val="center"/>
                </w:tcPr>
                <w:p w14:paraId="2BC78694">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6E137BD0">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06E89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5DF29043">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B20A2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4E9F62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40</w:t>
                  </w:r>
                </w:p>
              </w:tc>
              <w:tc>
                <w:tcPr>
                  <w:tcW w:w="818" w:type="dxa"/>
                  <w:shd w:val="clear" w:color="auto" w:fill="auto"/>
                  <w:vAlign w:val="center"/>
                </w:tcPr>
                <w:p w14:paraId="1A6B1437">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0.00002 </w:t>
                  </w:r>
                </w:p>
              </w:tc>
              <w:tc>
                <w:tcPr>
                  <w:tcW w:w="680" w:type="dxa"/>
                  <w:vMerge w:val="continue"/>
                  <w:vAlign w:val="center"/>
                </w:tcPr>
                <w:p w14:paraId="3A42B33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F8669E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7611A98F">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013" w:type="dxa"/>
                  <w:shd w:val="clear" w:color="auto" w:fill="auto"/>
                  <w:vAlign w:val="center"/>
                </w:tcPr>
                <w:p w14:paraId="070E46CD">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0.00001 </w:t>
                  </w:r>
                </w:p>
              </w:tc>
              <w:tc>
                <w:tcPr>
                  <w:tcW w:w="695" w:type="dxa"/>
                  <w:shd w:val="clear" w:color="auto" w:fill="auto"/>
                  <w:vAlign w:val="center"/>
                </w:tcPr>
                <w:p w14:paraId="19244550">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210ECEDE">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10849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3DEEE47C">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3C67A9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7F11DB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818" w:type="dxa"/>
                  <w:shd w:val="clear" w:color="auto" w:fill="auto"/>
                  <w:vAlign w:val="center"/>
                </w:tcPr>
                <w:p w14:paraId="2F336B9D">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0.000005 </w:t>
                  </w:r>
                </w:p>
              </w:tc>
              <w:tc>
                <w:tcPr>
                  <w:tcW w:w="680" w:type="dxa"/>
                  <w:vMerge w:val="continue"/>
                  <w:vAlign w:val="center"/>
                </w:tcPr>
                <w:p w14:paraId="062ED56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E45CA08">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5EE80EDB">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13" w:type="dxa"/>
                  <w:shd w:val="clear" w:color="auto" w:fill="auto"/>
                  <w:vAlign w:val="center"/>
                </w:tcPr>
                <w:p w14:paraId="0ED0B55D">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0.00000 </w:t>
                  </w:r>
                </w:p>
              </w:tc>
              <w:tc>
                <w:tcPr>
                  <w:tcW w:w="695" w:type="dxa"/>
                  <w:shd w:val="clear" w:color="auto" w:fill="auto"/>
                  <w:vAlign w:val="center"/>
                </w:tcPr>
                <w:p w14:paraId="5BB50109">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7D08C4F4">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5BBB6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1AB002E2">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743F2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3C9846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8" w:type="dxa"/>
                  <w:shd w:val="clear" w:color="auto" w:fill="auto"/>
                  <w:vAlign w:val="center"/>
                </w:tcPr>
                <w:p w14:paraId="1807DC5B">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0.00003 </w:t>
                  </w:r>
                </w:p>
              </w:tc>
              <w:tc>
                <w:tcPr>
                  <w:tcW w:w="680" w:type="dxa"/>
                  <w:vMerge w:val="continue"/>
                  <w:vAlign w:val="center"/>
                </w:tcPr>
                <w:p w14:paraId="5FD2969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13A2BB9">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17FD14F9">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013" w:type="dxa"/>
                  <w:shd w:val="clear" w:color="auto" w:fill="auto"/>
                  <w:vAlign w:val="center"/>
                </w:tcPr>
                <w:p w14:paraId="675A54B3">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0.00002 </w:t>
                  </w:r>
                </w:p>
              </w:tc>
              <w:tc>
                <w:tcPr>
                  <w:tcW w:w="695" w:type="dxa"/>
                  <w:shd w:val="clear" w:color="auto" w:fill="auto"/>
                  <w:vAlign w:val="center"/>
                </w:tcPr>
                <w:p w14:paraId="7B5E6179">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1FFBED49">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16C42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674FB3B5">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2B539B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LAS</w:t>
                  </w:r>
                </w:p>
              </w:tc>
              <w:tc>
                <w:tcPr>
                  <w:tcW w:w="918" w:type="dxa"/>
                  <w:shd w:val="clear" w:color="auto" w:fill="auto"/>
                  <w:vAlign w:val="center"/>
                </w:tcPr>
                <w:p w14:paraId="34C140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70</w:t>
                  </w:r>
                </w:p>
              </w:tc>
              <w:tc>
                <w:tcPr>
                  <w:tcW w:w="818" w:type="dxa"/>
                  <w:shd w:val="clear" w:color="auto" w:fill="auto"/>
                  <w:vAlign w:val="center"/>
                </w:tcPr>
                <w:p w14:paraId="08897DF3">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0.00003 </w:t>
                  </w:r>
                </w:p>
              </w:tc>
              <w:tc>
                <w:tcPr>
                  <w:tcW w:w="680" w:type="dxa"/>
                  <w:vMerge w:val="continue"/>
                  <w:vAlign w:val="center"/>
                </w:tcPr>
                <w:p w14:paraId="35D8AD2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E9C274E">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265A9FD3">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10.5</w:t>
                  </w:r>
                </w:p>
              </w:tc>
              <w:tc>
                <w:tcPr>
                  <w:tcW w:w="1013" w:type="dxa"/>
                  <w:shd w:val="clear" w:color="auto" w:fill="auto"/>
                  <w:vAlign w:val="center"/>
                </w:tcPr>
                <w:p w14:paraId="5B65A9D2">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0.00001 </w:t>
                  </w:r>
                </w:p>
              </w:tc>
              <w:tc>
                <w:tcPr>
                  <w:tcW w:w="695" w:type="dxa"/>
                  <w:shd w:val="clear" w:color="auto" w:fill="auto"/>
                  <w:vAlign w:val="center"/>
                </w:tcPr>
                <w:p w14:paraId="74B1401B">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103478DA">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08011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1A04FDDC">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2BCA8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石油类</w:t>
                  </w:r>
                </w:p>
              </w:tc>
              <w:tc>
                <w:tcPr>
                  <w:tcW w:w="918" w:type="dxa"/>
                  <w:shd w:val="clear" w:color="auto" w:fill="auto"/>
                  <w:vAlign w:val="center"/>
                </w:tcPr>
                <w:p w14:paraId="779BA7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50</w:t>
                  </w:r>
                </w:p>
              </w:tc>
              <w:tc>
                <w:tcPr>
                  <w:tcW w:w="818" w:type="dxa"/>
                  <w:shd w:val="clear" w:color="auto" w:fill="auto"/>
                  <w:vAlign w:val="center"/>
                </w:tcPr>
                <w:p w14:paraId="08C65B2E">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0.00002 </w:t>
                  </w:r>
                </w:p>
              </w:tc>
              <w:tc>
                <w:tcPr>
                  <w:tcW w:w="680" w:type="dxa"/>
                  <w:vMerge w:val="continue"/>
                  <w:vAlign w:val="center"/>
                </w:tcPr>
                <w:p w14:paraId="4326A25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DA85CEE">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463D0EEF">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1013" w:type="dxa"/>
                  <w:shd w:val="clear" w:color="auto" w:fill="auto"/>
                  <w:vAlign w:val="center"/>
                </w:tcPr>
                <w:p w14:paraId="3CD98CBE">
                  <w:pPr>
                    <w:keepNext w:val="0"/>
                    <w:keepLines w:val="0"/>
                    <w:widowControl/>
                    <w:suppressLineNumbers w:val="0"/>
                    <w:spacing w:before="0" w:beforeAutospacing="0" w:after="0" w:afterAutospacing="0"/>
                    <w:ind w:left="0" w:right="0"/>
                    <w:jc w:val="center"/>
                    <w:textAlignment w:val="center"/>
                    <w:rPr>
                      <w:rFonts w:hint="default"/>
                      <w:color w:val="000000" w:themeColor="text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0.000001 </w:t>
                  </w:r>
                </w:p>
              </w:tc>
              <w:tc>
                <w:tcPr>
                  <w:tcW w:w="695" w:type="dxa"/>
                  <w:shd w:val="clear" w:color="auto" w:fill="auto"/>
                  <w:vAlign w:val="center"/>
                </w:tcPr>
                <w:p w14:paraId="575B986D">
                  <w:pPr>
                    <w:keepNext w:val="0"/>
                    <w:keepLines w:val="0"/>
                    <w:widowControl/>
                    <w:suppressLineNumbers w:val="0"/>
                    <w:spacing w:before="0" w:beforeAutospacing="0" w:after="0" w:afterAutospacing="0"/>
                    <w:ind w:left="0" w:right="0"/>
                    <w:jc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c>
                <w:tcPr>
                  <w:tcW w:w="700" w:type="dxa"/>
                  <w:shd w:val="clear" w:color="auto" w:fill="auto"/>
                  <w:vAlign w:val="center"/>
                </w:tcPr>
                <w:p w14:paraId="2691B932">
                  <w:pPr>
                    <w:keepNext w:val="0"/>
                    <w:keepLines w:val="0"/>
                    <w:widowControl/>
                    <w:suppressLineNumbers w:val="0"/>
                    <w:spacing w:before="0" w:beforeAutospacing="0" w:after="0" w:afterAutospacing="0"/>
                    <w:ind w:left="0" w:right="0"/>
                    <w:jc w:val="center"/>
                    <w:textAlignment w:val="center"/>
                    <w:rPr>
                      <w:rFonts w:hint="default"/>
                      <w:color w:val="000000" w:themeColor="text1"/>
                      <w:kern w:val="0"/>
                      <w:szCs w:val="21"/>
                      <w:lang w:bidi="ar"/>
                      <w14:textFill>
                        <w14:solidFill>
                          <w14:schemeClr w14:val="tx1"/>
                        </w14:solidFill>
                      </w14:textFill>
                    </w:rPr>
                  </w:pPr>
                  <w:r>
                    <w:rPr>
                      <w:rFonts w:hint="default"/>
                      <w:color w:val="auto"/>
                      <w:kern w:val="0"/>
                      <w:szCs w:val="21"/>
                      <w:highlight w:val="none"/>
                      <w:lang w:bidi="ar"/>
                    </w:rPr>
                    <w:t>/</w:t>
                  </w:r>
                </w:p>
              </w:tc>
            </w:tr>
            <w:tr w14:paraId="0CAA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641C048A">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超声波清洗废水</w:t>
                  </w:r>
                </w:p>
                <w:p w14:paraId="21E7196C">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lang w:val="en-US" w:eastAsia="zh-CN"/>
                    </w:rPr>
                    <w:t>43.2</w:t>
                  </w:r>
                  <w:r>
                    <w:rPr>
                      <w:rFonts w:hint="default"/>
                      <w:color w:val="auto"/>
                      <w:szCs w:val="21"/>
                      <w:highlight w:val="none"/>
                    </w:rPr>
                    <w:t>t/a</w:t>
                  </w:r>
                </w:p>
              </w:tc>
              <w:tc>
                <w:tcPr>
                  <w:tcW w:w="870" w:type="dxa"/>
                  <w:shd w:val="clear" w:color="auto" w:fill="auto"/>
                  <w:vAlign w:val="center"/>
                </w:tcPr>
                <w:p w14:paraId="39C6FE4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pH</w:t>
                  </w:r>
                </w:p>
              </w:tc>
              <w:tc>
                <w:tcPr>
                  <w:tcW w:w="918" w:type="dxa"/>
                  <w:shd w:val="clear" w:color="auto" w:fill="auto"/>
                  <w:vAlign w:val="center"/>
                </w:tcPr>
                <w:p w14:paraId="2216C76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szCs w:val="21"/>
                      <w:highlight w:val="none"/>
                      <w:lang w:bidi="ar"/>
                    </w:rPr>
                    <w:t>6~9</w:t>
                  </w:r>
                </w:p>
              </w:tc>
              <w:tc>
                <w:tcPr>
                  <w:tcW w:w="818" w:type="dxa"/>
                  <w:shd w:val="clear" w:color="auto" w:fill="auto"/>
                  <w:vAlign w:val="center"/>
                </w:tcPr>
                <w:p w14:paraId="5EECCF2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continue"/>
                  <w:vAlign w:val="center"/>
                </w:tcPr>
                <w:p w14:paraId="3DD3D40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0278CCC2">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c>
                <w:tcPr>
                  <w:tcW w:w="899" w:type="dxa"/>
                  <w:shd w:val="clear" w:color="auto" w:fill="auto"/>
                  <w:vAlign w:val="center"/>
                </w:tcPr>
                <w:p w14:paraId="6F53F04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0235269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vAlign w:val="center"/>
                </w:tcPr>
                <w:p w14:paraId="4C173192">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0D5946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1077C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C0DE593">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C2CF94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COD</w:t>
                  </w:r>
                </w:p>
              </w:tc>
              <w:tc>
                <w:tcPr>
                  <w:tcW w:w="918" w:type="dxa"/>
                  <w:shd w:val="clear" w:color="auto" w:fill="auto"/>
                  <w:vAlign w:val="center"/>
                </w:tcPr>
                <w:p w14:paraId="34647143">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1200</w:t>
                  </w:r>
                </w:p>
              </w:tc>
              <w:tc>
                <w:tcPr>
                  <w:tcW w:w="818" w:type="dxa"/>
                  <w:shd w:val="clear" w:color="auto" w:fill="auto"/>
                  <w:vAlign w:val="center"/>
                </w:tcPr>
                <w:p w14:paraId="0C59E7F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0.052 </w:t>
                  </w:r>
                </w:p>
              </w:tc>
              <w:tc>
                <w:tcPr>
                  <w:tcW w:w="680" w:type="dxa"/>
                  <w:vMerge w:val="continue"/>
                  <w:vAlign w:val="center"/>
                </w:tcPr>
                <w:p w14:paraId="7024B34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4AFEFF7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339A58B6">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180</w:t>
                  </w:r>
                </w:p>
              </w:tc>
              <w:tc>
                <w:tcPr>
                  <w:tcW w:w="1013" w:type="dxa"/>
                  <w:shd w:val="clear" w:color="auto" w:fill="auto"/>
                  <w:vAlign w:val="center"/>
                </w:tcPr>
                <w:p w14:paraId="4349FC9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0.008 </w:t>
                  </w:r>
                </w:p>
              </w:tc>
              <w:tc>
                <w:tcPr>
                  <w:tcW w:w="695" w:type="dxa"/>
                  <w:vAlign w:val="center"/>
                </w:tcPr>
                <w:p w14:paraId="086CB2E2">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4D17432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44DA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5D425F08">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644A9F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233976CC">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400</w:t>
                  </w:r>
                </w:p>
              </w:tc>
              <w:tc>
                <w:tcPr>
                  <w:tcW w:w="818" w:type="dxa"/>
                  <w:shd w:val="clear" w:color="auto" w:fill="auto"/>
                  <w:vAlign w:val="center"/>
                </w:tcPr>
                <w:p w14:paraId="6E8F329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0.017 </w:t>
                  </w:r>
                </w:p>
              </w:tc>
              <w:tc>
                <w:tcPr>
                  <w:tcW w:w="680" w:type="dxa"/>
                  <w:vMerge w:val="continue"/>
                  <w:vAlign w:val="center"/>
                </w:tcPr>
                <w:p w14:paraId="0693E94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369F5E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430C85D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1013" w:type="dxa"/>
                  <w:shd w:val="clear" w:color="auto" w:fill="auto"/>
                  <w:vAlign w:val="center"/>
                </w:tcPr>
                <w:p w14:paraId="5276CBE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695" w:type="dxa"/>
                  <w:vAlign w:val="center"/>
                </w:tcPr>
                <w:p w14:paraId="3278B44F">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5BAA034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2442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13B6C5F">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6FB963A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SS</w:t>
                  </w:r>
                </w:p>
              </w:tc>
              <w:tc>
                <w:tcPr>
                  <w:tcW w:w="918" w:type="dxa"/>
                  <w:shd w:val="clear" w:color="auto" w:fill="auto"/>
                  <w:vAlign w:val="center"/>
                </w:tcPr>
                <w:p w14:paraId="36311A7E">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500</w:t>
                  </w:r>
                </w:p>
              </w:tc>
              <w:tc>
                <w:tcPr>
                  <w:tcW w:w="818" w:type="dxa"/>
                  <w:shd w:val="clear" w:color="auto" w:fill="auto"/>
                  <w:vAlign w:val="center"/>
                </w:tcPr>
                <w:p w14:paraId="14D2345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0.022 </w:t>
                  </w:r>
                </w:p>
              </w:tc>
              <w:tc>
                <w:tcPr>
                  <w:tcW w:w="680" w:type="dxa"/>
                  <w:vMerge w:val="continue"/>
                  <w:vAlign w:val="center"/>
                </w:tcPr>
                <w:p w14:paraId="5F2F661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86B804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0F25F9E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1013" w:type="dxa"/>
                  <w:shd w:val="clear" w:color="auto" w:fill="auto"/>
                  <w:vAlign w:val="center"/>
                </w:tcPr>
                <w:p w14:paraId="3EF16E1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0.0004 </w:t>
                  </w:r>
                </w:p>
              </w:tc>
              <w:tc>
                <w:tcPr>
                  <w:tcW w:w="695" w:type="dxa"/>
                  <w:vAlign w:val="center"/>
                </w:tcPr>
                <w:p w14:paraId="4F1900EE">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0D459A7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0C3ED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4BF3B5F7">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F98B51F">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006951CA">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40</w:t>
                  </w:r>
                </w:p>
              </w:tc>
              <w:tc>
                <w:tcPr>
                  <w:tcW w:w="818" w:type="dxa"/>
                  <w:shd w:val="clear" w:color="auto" w:fill="auto"/>
                  <w:vAlign w:val="center"/>
                </w:tcPr>
                <w:p w14:paraId="6373589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80" w:type="dxa"/>
                  <w:vMerge w:val="continue"/>
                  <w:vAlign w:val="center"/>
                </w:tcPr>
                <w:p w14:paraId="5B1AB17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A17CA5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6DBA8C2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013" w:type="dxa"/>
                  <w:shd w:val="clear" w:color="auto" w:fill="auto"/>
                  <w:vAlign w:val="center"/>
                </w:tcPr>
                <w:p w14:paraId="28A07E0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vAlign w:val="center"/>
                </w:tcPr>
                <w:p w14:paraId="300EB652">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F7525F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1E62C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4F065026">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5C8FFD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31EFA8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818" w:type="dxa"/>
                  <w:shd w:val="clear" w:color="auto" w:fill="auto"/>
                  <w:vAlign w:val="center"/>
                </w:tcPr>
                <w:p w14:paraId="2F5DEA4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0.0004 </w:t>
                  </w:r>
                </w:p>
              </w:tc>
              <w:tc>
                <w:tcPr>
                  <w:tcW w:w="680" w:type="dxa"/>
                  <w:vMerge w:val="continue"/>
                  <w:vAlign w:val="center"/>
                </w:tcPr>
                <w:p w14:paraId="3059A1B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022B40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2D576EB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13" w:type="dxa"/>
                  <w:shd w:val="clear" w:color="auto" w:fill="auto"/>
                  <w:vAlign w:val="center"/>
                </w:tcPr>
                <w:p w14:paraId="2F46EAA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 </w:t>
                  </w:r>
                </w:p>
              </w:tc>
              <w:tc>
                <w:tcPr>
                  <w:tcW w:w="695" w:type="dxa"/>
                  <w:vAlign w:val="center"/>
                </w:tcPr>
                <w:p w14:paraId="1401CD0E">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4A61F44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7BE7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9" w:type="dxa"/>
                  <w:vMerge w:val="continue"/>
                  <w:vAlign w:val="center"/>
                </w:tcPr>
                <w:p w14:paraId="0DA29B7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B9F32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79ABD2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8" w:type="dxa"/>
                  <w:shd w:val="clear" w:color="auto" w:fill="auto"/>
                  <w:vAlign w:val="center"/>
                </w:tcPr>
                <w:p w14:paraId="2ABBEDD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680" w:type="dxa"/>
                  <w:vMerge w:val="continue"/>
                  <w:vAlign w:val="center"/>
                </w:tcPr>
                <w:p w14:paraId="63CC439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84A7D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4959012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013" w:type="dxa"/>
                  <w:shd w:val="clear" w:color="auto" w:fill="auto"/>
                  <w:vAlign w:val="center"/>
                </w:tcPr>
                <w:p w14:paraId="78D8E73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95" w:type="dxa"/>
                  <w:vAlign w:val="center"/>
                </w:tcPr>
                <w:p w14:paraId="4708A78D">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55A904F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6628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64AE2CA0">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170B0E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LAS</w:t>
                  </w:r>
                </w:p>
              </w:tc>
              <w:tc>
                <w:tcPr>
                  <w:tcW w:w="918" w:type="dxa"/>
                  <w:shd w:val="clear" w:color="auto" w:fill="auto"/>
                  <w:vAlign w:val="center"/>
                </w:tcPr>
                <w:p w14:paraId="2B403AFB">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70</w:t>
                  </w:r>
                </w:p>
              </w:tc>
              <w:tc>
                <w:tcPr>
                  <w:tcW w:w="818" w:type="dxa"/>
                  <w:shd w:val="clear" w:color="auto" w:fill="auto"/>
                  <w:vAlign w:val="center"/>
                </w:tcPr>
                <w:p w14:paraId="5A23829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680" w:type="dxa"/>
                  <w:vMerge w:val="continue"/>
                  <w:vAlign w:val="center"/>
                </w:tcPr>
                <w:p w14:paraId="1F5547F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5B6FDF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783AA74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10.5</w:t>
                  </w:r>
                </w:p>
              </w:tc>
              <w:tc>
                <w:tcPr>
                  <w:tcW w:w="1013" w:type="dxa"/>
                  <w:shd w:val="clear" w:color="auto" w:fill="auto"/>
                  <w:vAlign w:val="center"/>
                </w:tcPr>
                <w:p w14:paraId="7D303CD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0.0005 </w:t>
                  </w:r>
                </w:p>
              </w:tc>
              <w:tc>
                <w:tcPr>
                  <w:tcW w:w="695" w:type="dxa"/>
                  <w:vAlign w:val="center"/>
                </w:tcPr>
                <w:p w14:paraId="3E9BBDAE">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77C89C7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0960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397488A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6AC434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石油类</w:t>
                  </w:r>
                </w:p>
              </w:tc>
              <w:tc>
                <w:tcPr>
                  <w:tcW w:w="918" w:type="dxa"/>
                  <w:shd w:val="clear" w:color="auto" w:fill="auto"/>
                  <w:vAlign w:val="center"/>
                </w:tcPr>
                <w:p w14:paraId="599E640B">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50</w:t>
                  </w:r>
                </w:p>
              </w:tc>
              <w:tc>
                <w:tcPr>
                  <w:tcW w:w="818" w:type="dxa"/>
                  <w:shd w:val="clear" w:color="auto" w:fill="auto"/>
                  <w:vAlign w:val="center"/>
                </w:tcPr>
                <w:p w14:paraId="2C70E4F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80" w:type="dxa"/>
                  <w:vMerge w:val="continue"/>
                  <w:vAlign w:val="center"/>
                </w:tcPr>
                <w:p w14:paraId="020DCCC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67696D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6E864D3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1013" w:type="dxa"/>
                  <w:shd w:val="clear" w:color="auto" w:fill="auto"/>
                  <w:vAlign w:val="center"/>
                </w:tcPr>
                <w:p w14:paraId="314D18E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vAlign w:val="center"/>
                </w:tcPr>
                <w:p w14:paraId="75C18C11">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1D2757D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2055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1897C7CC">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预脱脂槽清洗废水</w:t>
                  </w:r>
                  <w:r>
                    <w:rPr>
                      <w:rFonts w:hint="eastAsia"/>
                      <w:color w:val="auto"/>
                      <w:szCs w:val="21"/>
                      <w:highlight w:val="none"/>
                      <w:lang w:val="en-US" w:eastAsia="zh-CN"/>
                    </w:rPr>
                    <w:t>8.64</w:t>
                  </w:r>
                  <w:r>
                    <w:rPr>
                      <w:rFonts w:hint="default"/>
                      <w:color w:val="auto"/>
                      <w:szCs w:val="21"/>
                      <w:highlight w:val="none"/>
                    </w:rPr>
                    <w:t>t/a</w:t>
                  </w:r>
                </w:p>
              </w:tc>
              <w:tc>
                <w:tcPr>
                  <w:tcW w:w="870" w:type="dxa"/>
                  <w:shd w:val="clear" w:color="auto" w:fill="auto"/>
                  <w:vAlign w:val="center"/>
                </w:tcPr>
                <w:p w14:paraId="11D8AAE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pH</w:t>
                  </w:r>
                </w:p>
              </w:tc>
              <w:tc>
                <w:tcPr>
                  <w:tcW w:w="918" w:type="dxa"/>
                  <w:shd w:val="clear" w:color="auto" w:fill="auto"/>
                  <w:vAlign w:val="center"/>
                </w:tcPr>
                <w:p w14:paraId="40208EC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szCs w:val="21"/>
                      <w:highlight w:val="none"/>
                      <w:lang w:bidi="ar"/>
                    </w:rPr>
                    <w:t>6~9</w:t>
                  </w:r>
                </w:p>
              </w:tc>
              <w:tc>
                <w:tcPr>
                  <w:tcW w:w="818" w:type="dxa"/>
                  <w:shd w:val="clear" w:color="auto" w:fill="auto"/>
                  <w:vAlign w:val="center"/>
                </w:tcPr>
                <w:p w14:paraId="3C12004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continue"/>
                  <w:vAlign w:val="center"/>
                </w:tcPr>
                <w:p w14:paraId="19A135B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5895FDAD">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c>
                <w:tcPr>
                  <w:tcW w:w="899" w:type="dxa"/>
                  <w:shd w:val="clear" w:color="auto" w:fill="auto"/>
                  <w:vAlign w:val="center"/>
                </w:tcPr>
                <w:p w14:paraId="0D31B40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46D47D1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vAlign w:val="center"/>
                </w:tcPr>
                <w:p w14:paraId="60D06BB8">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6C155C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74741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122C0385">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D8FB964">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COD</w:t>
                  </w:r>
                </w:p>
              </w:tc>
              <w:tc>
                <w:tcPr>
                  <w:tcW w:w="918" w:type="dxa"/>
                  <w:shd w:val="clear" w:color="auto" w:fill="auto"/>
                  <w:vAlign w:val="center"/>
                </w:tcPr>
                <w:p w14:paraId="4DC81462">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1300</w:t>
                  </w:r>
                </w:p>
              </w:tc>
              <w:tc>
                <w:tcPr>
                  <w:tcW w:w="818" w:type="dxa"/>
                  <w:shd w:val="clear" w:color="auto" w:fill="auto"/>
                  <w:vAlign w:val="center"/>
                </w:tcPr>
                <w:p w14:paraId="0FC2D26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0.011 </w:t>
                  </w:r>
                </w:p>
              </w:tc>
              <w:tc>
                <w:tcPr>
                  <w:tcW w:w="680" w:type="dxa"/>
                  <w:vMerge w:val="continue"/>
                  <w:vAlign w:val="center"/>
                </w:tcPr>
                <w:p w14:paraId="400DF13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1EA946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4F4B3430">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195</w:t>
                  </w:r>
                </w:p>
              </w:tc>
              <w:tc>
                <w:tcPr>
                  <w:tcW w:w="1013" w:type="dxa"/>
                  <w:shd w:val="clear" w:color="auto" w:fill="auto"/>
                  <w:vAlign w:val="center"/>
                </w:tcPr>
                <w:p w14:paraId="131E057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95" w:type="dxa"/>
                  <w:vAlign w:val="center"/>
                </w:tcPr>
                <w:p w14:paraId="01C42230">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5C60464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22CE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56354E4">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6EBC727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4E810013">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500</w:t>
                  </w:r>
                </w:p>
              </w:tc>
              <w:tc>
                <w:tcPr>
                  <w:tcW w:w="818" w:type="dxa"/>
                  <w:shd w:val="clear" w:color="auto" w:fill="auto"/>
                  <w:vAlign w:val="center"/>
                </w:tcPr>
                <w:p w14:paraId="45ECAAA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0.004 </w:t>
                  </w:r>
                </w:p>
              </w:tc>
              <w:tc>
                <w:tcPr>
                  <w:tcW w:w="680" w:type="dxa"/>
                  <w:vMerge w:val="continue"/>
                  <w:vAlign w:val="center"/>
                </w:tcPr>
                <w:p w14:paraId="235B82A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08B07DD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75D9536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1013" w:type="dxa"/>
                  <w:shd w:val="clear" w:color="auto" w:fill="auto"/>
                  <w:vAlign w:val="center"/>
                </w:tcPr>
                <w:p w14:paraId="2D61D1F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vAlign w:val="center"/>
                </w:tcPr>
                <w:p w14:paraId="1CC0BD16">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2922ABF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042A6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0E0DBF5">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D62FF7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SS</w:t>
                  </w:r>
                </w:p>
              </w:tc>
              <w:tc>
                <w:tcPr>
                  <w:tcW w:w="918" w:type="dxa"/>
                  <w:shd w:val="clear" w:color="auto" w:fill="auto"/>
                  <w:vAlign w:val="center"/>
                </w:tcPr>
                <w:p w14:paraId="69EFAB02">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550</w:t>
                  </w:r>
                </w:p>
              </w:tc>
              <w:tc>
                <w:tcPr>
                  <w:tcW w:w="818" w:type="dxa"/>
                  <w:shd w:val="clear" w:color="auto" w:fill="auto"/>
                  <w:vAlign w:val="center"/>
                </w:tcPr>
                <w:p w14:paraId="2A80602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0.005 </w:t>
                  </w:r>
                </w:p>
              </w:tc>
              <w:tc>
                <w:tcPr>
                  <w:tcW w:w="680" w:type="dxa"/>
                  <w:vMerge w:val="continue"/>
                  <w:vAlign w:val="center"/>
                </w:tcPr>
                <w:p w14:paraId="19F60F7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0FBB0FE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165E176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1013" w:type="dxa"/>
                  <w:shd w:val="clear" w:color="auto" w:fill="auto"/>
                  <w:vAlign w:val="center"/>
                </w:tcPr>
                <w:p w14:paraId="32B5191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vAlign w:val="center"/>
                </w:tcPr>
                <w:p w14:paraId="688FA007">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68FB1A3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76540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6AA486D8">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4D5F13F">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5E94E37D">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40</w:t>
                  </w:r>
                </w:p>
              </w:tc>
              <w:tc>
                <w:tcPr>
                  <w:tcW w:w="818" w:type="dxa"/>
                  <w:shd w:val="clear" w:color="auto" w:fill="auto"/>
                  <w:vAlign w:val="center"/>
                </w:tcPr>
                <w:p w14:paraId="10E817F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0.0003 </w:t>
                  </w:r>
                </w:p>
              </w:tc>
              <w:tc>
                <w:tcPr>
                  <w:tcW w:w="680" w:type="dxa"/>
                  <w:vMerge w:val="continue"/>
                  <w:vAlign w:val="center"/>
                </w:tcPr>
                <w:p w14:paraId="32EB30C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03B9F21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0F88587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013" w:type="dxa"/>
                  <w:shd w:val="clear" w:color="auto" w:fill="auto"/>
                  <w:vAlign w:val="center"/>
                </w:tcPr>
                <w:p w14:paraId="7CB74C8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0.0003 </w:t>
                  </w:r>
                </w:p>
              </w:tc>
              <w:tc>
                <w:tcPr>
                  <w:tcW w:w="695" w:type="dxa"/>
                  <w:vAlign w:val="center"/>
                </w:tcPr>
                <w:p w14:paraId="1EFF11A9">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A5552B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2AB3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59E5E07">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D44996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21B5675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818" w:type="dxa"/>
                  <w:shd w:val="clear" w:color="auto" w:fill="auto"/>
                  <w:vAlign w:val="center"/>
                </w:tcPr>
                <w:p w14:paraId="45AC1E7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80" w:type="dxa"/>
                  <w:vMerge w:val="continue"/>
                  <w:vAlign w:val="center"/>
                </w:tcPr>
                <w:p w14:paraId="06B3599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B8630F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28CB3B6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13" w:type="dxa"/>
                  <w:shd w:val="clear" w:color="auto" w:fill="auto"/>
                  <w:vAlign w:val="center"/>
                </w:tcPr>
                <w:p w14:paraId="21498DF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0.00001 </w:t>
                  </w:r>
                </w:p>
              </w:tc>
              <w:tc>
                <w:tcPr>
                  <w:tcW w:w="695" w:type="dxa"/>
                  <w:vAlign w:val="center"/>
                </w:tcPr>
                <w:p w14:paraId="34A179AC">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70F171D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6E6C7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42629269">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76DFF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4A799F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8" w:type="dxa"/>
                  <w:shd w:val="clear" w:color="auto" w:fill="auto"/>
                  <w:vAlign w:val="center"/>
                </w:tcPr>
                <w:p w14:paraId="2002386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03B4CC8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4D6F891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2D40B9C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013" w:type="dxa"/>
                  <w:shd w:val="clear" w:color="auto" w:fill="auto"/>
                  <w:vAlign w:val="center"/>
                </w:tcPr>
                <w:p w14:paraId="3F4B45D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0.0004 </w:t>
                  </w:r>
                </w:p>
              </w:tc>
              <w:tc>
                <w:tcPr>
                  <w:tcW w:w="695" w:type="dxa"/>
                  <w:vAlign w:val="center"/>
                </w:tcPr>
                <w:p w14:paraId="01020D3A">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2055E44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5674D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0CB3749">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DFB8A9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LAS</w:t>
                  </w:r>
                </w:p>
              </w:tc>
              <w:tc>
                <w:tcPr>
                  <w:tcW w:w="918" w:type="dxa"/>
                  <w:shd w:val="clear" w:color="auto" w:fill="auto"/>
                  <w:vAlign w:val="center"/>
                </w:tcPr>
                <w:p w14:paraId="05FFDCA8">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70</w:t>
                  </w:r>
                </w:p>
              </w:tc>
              <w:tc>
                <w:tcPr>
                  <w:tcW w:w="818" w:type="dxa"/>
                  <w:shd w:val="clear" w:color="auto" w:fill="auto"/>
                  <w:vAlign w:val="center"/>
                </w:tcPr>
                <w:p w14:paraId="43C0D5C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57D6D8D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84A636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08D3A34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10.5</w:t>
                  </w:r>
                </w:p>
              </w:tc>
              <w:tc>
                <w:tcPr>
                  <w:tcW w:w="1013" w:type="dxa"/>
                  <w:shd w:val="clear" w:color="auto" w:fill="auto"/>
                  <w:vAlign w:val="center"/>
                </w:tcPr>
                <w:p w14:paraId="3A2BE49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vAlign w:val="center"/>
                </w:tcPr>
                <w:p w14:paraId="40ED29C1">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6567B41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51A7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B0A611D">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83C6B1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石油类</w:t>
                  </w:r>
                </w:p>
              </w:tc>
              <w:tc>
                <w:tcPr>
                  <w:tcW w:w="918" w:type="dxa"/>
                  <w:shd w:val="clear" w:color="auto" w:fill="auto"/>
                  <w:vAlign w:val="center"/>
                </w:tcPr>
                <w:p w14:paraId="00E5AEEC">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50</w:t>
                  </w:r>
                </w:p>
              </w:tc>
              <w:tc>
                <w:tcPr>
                  <w:tcW w:w="818" w:type="dxa"/>
                  <w:shd w:val="clear" w:color="auto" w:fill="auto"/>
                  <w:vAlign w:val="center"/>
                </w:tcPr>
                <w:p w14:paraId="06744B7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0.0004 </w:t>
                  </w:r>
                </w:p>
              </w:tc>
              <w:tc>
                <w:tcPr>
                  <w:tcW w:w="680" w:type="dxa"/>
                  <w:vMerge w:val="continue"/>
                  <w:vAlign w:val="center"/>
                </w:tcPr>
                <w:p w14:paraId="36808CE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CAAF38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454DB964">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1013" w:type="dxa"/>
                  <w:shd w:val="clear" w:color="auto" w:fill="auto"/>
                  <w:vAlign w:val="center"/>
                </w:tcPr>
                <w:p w14:paraId="51CE1D7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0.00002 </w:t>
                  </w:r>
                </w:p>
              </w:tc>
              <w:tc>
                <w:tcPr>
                  <w:tcW w:w="695" w:type="dxa"/>
                  <w:vAlign w:val="center"/>
                </w:tcPr>
                <w:p w14:paraId="6B4CA2BC">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760BFDF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79A0B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2439DFC9">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主脱脂槽清洗废水</w:t>
                  </w:r>
                  <w:r>
                    <w:rPr>
                      <w:rFonts w:hint="eastAsia"/>
                      <w:color w:val="auto"/>
                      <w:szCs w:val="21"/>
                      <w:highlight w:val="none"/>
                      <w:lang w:val="en-US" w:eastAsia="zh-CN"/>
                    </w:rPr>
                    <w:t>11.52</w:t>
                  </w:r>
                  <w:r>
                    <w:rPr>
                      <w:rFonts w:hint="default"/>
                      <w:color w:val="auto"/>
                      <w:szCs w:val="21"/>
                      <w:highlight w:val="none"/>
                    </w:rPr>
                    <w:t>t/a</w:t>
                  </w:r>
                </w:p>
              </w:tc>
              <w:tc>
                <w:tcPr>
                  <w:tcW w:w="870" w:type="dxa"/>
                  <w:shd w:val="clear" w:color="auto" w:fill="auto"/>
                  <w:vAlign w:val="center"/>
                </w:tcPr>
                <w:p w14:paraId="5B4AEEBF">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pH</w:t>
                  </w:r>
                </w:p>
              </w:tc>
              <w:tc>
                <w:tcPr>
                  <w:tcW w:w="918" w:type="dxa"/>
                  <w:shd w:val="clear" w:color="auto" w:fill="auto"/>
                  <w:vAlign w:val="center"/>
                </w:tcPr>
                <w:p w14:paraId="64B5EF3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szCs w:val="21"/>
                      <w:highlight w:val="none"/>
                      <w:lang w:bidi="ar"/>
                    </w:rPr>
                    <w:t>6~9</w:t>
                  </w:r>
                </w:p>
              </w:tc>
              <w:tc>
                <w:tcPr>
                  <w:tcW w:w="818" w:type="dxa"/>
                  <w:shd w:val="clear" w:color="auto" w:fill="auto"/>
                  <w:vAlign w:val="center"/>
                </w:tcPr>
                <w:p w14:paraId="32A755B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continue"/>
                  <w:vAlign w:val="center"/>
                </w:tcPr>
                <w:p w14:paraId="5891336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556E37BB">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c>
                <w:tcPr>
                  <w:tcW w:w="899" w:type="dxa"/>
                  <w:shd w:val="clear" w:color="auto" w:fill="auto"/>
                  <w:vAlign w:val="center"/>
                </w:tcPr>
                <w:p w14:paraId="005CF30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08E505B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vAlign w:val="center"/>
                </w:tcPr>
                <w:p w14:paraId="551884E9">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28AFC18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E5F9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5021DD1">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D3EACF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COD</w:t>
                  </w:r>
                </w:p>
              </w:tc>
              <w:tc>
                <w:tcPr>
                  <w:tcW w:w="918" w:type="dxa"/>
                  <w:shd w:val="clear" w:color="auto" w:fill="auto"/>
                  <w:vAlign w:val="center"/>
                </w:tcPr>
                <w:p w14:paraId="487EA253">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1000</w:t>
                  </w:r>
                </w:p>
              </w:tc>
              <w:tc>
                <w:tcPr>
                  <w:tcW w:w="818" w:type="dxa"/>
                  <w:shd w:val="clear" w:color="auto" w:fill="auto"/>
                  <w:vAlign w:val="center"/>
                </w:tcPr>
                <w:p w14:paraId="3D262A2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0.012 </w:t>
                  </w:r>
                </w:p>
              </w:tc>
              <w:tc>
                <w:tcPr>
                  <w:tcW w:w="680" w:type="dxa"/>
                  <w:vMerge w:val="continue"/>
                  <w:vAlign w:val="center"/>
                </w:tcPr>
                <w:p w14:paraId="7C2B4E5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469405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74D6104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150</w:t>
                  </w:r>
                </w:p>
              </w:tc>
              <w:tc>
                <w:tcPr>
                  <w:tcW w:w="1013" w:type="dxa"/>
                  <w:shd w:val="clear" w:color="auto" w:fill="auto"/>
                  <w:vAlign w:val="center"/>
                </w:tcPr>
                <w:p w14:paraId="533ABF3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95" w:type="dxa"/>
                  <w:vAlign w:val="center"/>
                </w:tcPr>
                <w:p w14:paraId="0FC5A786">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2CB888A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6EE42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37435E6">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C44A59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0090DD56">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450</w:t>
                  </w:r>
                </w:p>
              </w:tc>
              <w:tc>
                <w:tcPr>
                  <w:tcW w:w="818" w:type="dxa"/>
                  <w:shd w:val="clear" w:color="auto" w:fill="auto"/>
                  <w:vAlign w:val="center"/>
                </w:tcPr>
                <w:p w14:paraId="5087D30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0.005 </w:t>
                  </w:r>
                </w:p>
              </w:tc>
              <w:tc>
                <w:tcPr>
                  <w:tcW w:w="680" w:type="dxa"/>
                  <w:vMerge w:val="continue"/>
                  <w:vAlign w:val="center"/>
                </w:tcPr>
                <w:p w14:paraId="05B89D6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67A304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689B342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90</w:t>
                  </w:r>
                </w:p>
              </w:tc>
              <w:tc>
                <w:tcPr>
                  <w:tcW w:w="1013" w:type="dxa"/>
                  <w:shd w:val="clear" w:color="auto" w:fill="auto"/>
                  <w:vAlign w:val="center"/>
                </w:tcPr>
                <w:p w14:paraId="252C17D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vAlign w:val="center"/>
                </w:tcPr>
                <w:p w14:paraId="279AF62F">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7EE33E9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A0C3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414CDAF1">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C782E7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SS</w:t>
                  </w:r>
                </w:p>
              </w:tc>
              <w:tc>
                <w:tcPr>
                  <w:tcW w:w="918" w:type="dxa"/>
                  <w:shd w:val="clear" w:color="auto" w:fill="auto"/>
                  <w:vAlign w:val="center"/>
                </w:tcPr>
                <w:p w14:paraId="699C2A34">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500</w:t>
                  </w:r>
                </w:p>
              </w:tc>
              <w:tc>
                <w:tcPr>
                  <w:tcW w:w="818" w:type="dxa"/>
                  <w:shd w:val="clear" w:color="auto" w:fill="auto"/>
                  <w:vAlign w:val="center"/>
                </w:tcPr>
                <w:p w14:paraId="270C00F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0.006 </w:t>
                  </w:r>
                </w:p>
              </w:tc>
              <w:tc>
                <w:tcPr>
                  <w:tcW w:w="680" w:type="dxa"/>
                  <w:vMerge w:val="continue"/>
                  <w:vAlign w:val="center"/>
                </w:tcPr>
                <w:p w14:paraId="128D785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584E8A6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58217C3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1013" w:type="dxa"/>
                  <w:shd w:val="clear" w:color="auto" w:fill="auto"/>
                  <w:vAlign w:val="center"/>
                </w:tcPr>
                <w:p w14:paraId="17A75D8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vAlign w:val="center"/>
                </w:tcPr>
                <w:p w14:paraId="0ABB5D62">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50FA369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78A88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3239D545">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6FB79460">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70C41EAF">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38</w:t>
                  </w:r>
                </w:p>
              </w:tc>
              <w:tc>
                <w:tcPr>
                  <w:tcW w:w="818" w:type="dxa"/>
                  <w:shd w:val="clear" w:color="auto" w:fill="auto"/>
                  <w:vAlign w:val="center"/>
                </w:tcPr>
                <w:p w14:paraId="2EDA0A8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0.0004 </w:t>
                  </w:r>
                </w:p>
              </w:tc>
              <w:tc>
                <w:tcPr>
                  <w:tcW w:w="680" w:type="dxa"/>
                  <w:vMerge w:val="continue"/>
                  <w:vAlign w:val="center"/>
                </w:tcPr>
                <w:p w14:paraId="7DD18BC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AEBD20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73E5C2F0">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28.5</w:t>
                  </w:r>
                </w:p>
              </w:tc>
              <w:tc>
                <w:tcPr>
                  <w:tcW w:w="1013" w:type="dxa"/>
                  <w:shd w:val="clear" w:color="auto" w:fill="auto"/>
                  <w:vAlign w:val="center"/>
                </w:tcPr>
                <w:p w14:paraId="5074746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0.0003 </w:t>
                  </w:r>
                </w:p>
              </w:tc>
              <w:tc>
                <w:tcPr>
                  <w:tcW w:w="695" w:type="dxa"/>
                  <w:vAlign w:val="center"/>
                </w:tcPr>
                <w:p w14:paraId="1EA1D5E7">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4197D3E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5CC0D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CD303D6">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658FBF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181624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818" w:type="dxa"/>
                  <w:shd w:val="clear" w:color="auto" w:fill="auto"/>
                  <w:vAlign w:val="center"/>
                </w:tcPr>
                <w:p w14:paraId="724BABC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80" w:type="dxa"/>
                  <w:vMerge w:val="continue"/>
                  <w:vAlign w:val="center"/>
                </w:tcPr>
                <w:p w14:paraId="4DEF766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5E2A80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3ACE2D0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13" w:type="dxa"/>
                  <w:shd w:val="clear" w:color="auto" w:fill="auto"/>
                  <w:vAlign w:val="center"/>
                </w:tcPr>
                <w:p w14:paraId="2FE1AFA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0.00001 </w:t>
                  </w:r>
                </w:p>
              </w:tc>
              <w:tc>
                <w:tcPr>
                  <w:tcW w:w="695" w:type="dxa"/>
                  <w:vAlign w:val="center"/>
                </w:tcPr>
                <w:p w14:paraId="6EC13A9A">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16B3EBF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1241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7CB6C6F">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7DD63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0209E7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8" w:type="dxa"/>
                  <w:shd w:val="clear" w:color="auto" w:fill="auto"/>
                  <w:vAlign w:val="center"/>
                </w:tcPr>
                <w:p w14:paraId="28C5D6A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363D433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07522F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3631DE9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013" w:type="dxa"/>
                  <w:shd w:val="clear" w:color="auto" w:fill="auto"/>
                  <w:vAlign w:val="center"/>
                </w:tcPr>
                <w:p w14:paraId="7B512CC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vAlign w:val="center"/>
                </w:tcPr>
                <w:p w14:paraId="7C9AC6A3">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2CE30B8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16E9F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40D05F80">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2901AA36">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LAS</w:t>
                  </w:r>
                </w:p>
              </w:tc>
              <w:tc>
                <w:tcPr>
                  <w:tcW w:w="918" w:type="dxa"/>
                  <w:shd w:val="clear" w:color="auto" w:fill="auto"/>
                  <w:vAlign w:val="center"/>
                </w:tcPr>
                <w:p w14:paraId="3FEBA42C">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60</w:t>
                  </w:r>
                </w:p>
              </w:tc>
              <w:tc>
                <w:tcPr>
                  <w:tcW w:w="818" w:type="dxa"/>
                  <w:shd w:val="clear" w:color="auto" w:fill="auto"/>
                  <w:vAlign w:val="center"/>
                </w:tcPr>
                <w:p w14:paraId="4E05FB8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5690730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E9A3B8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7DEA44F0">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013" w:type="dxa"/>
                  <w:shd w:val="clear" w:color="auto" w:fill="auto"/>
                  <w:vAlign w:val="center"/>
                </w:tcPr>
                <w:p w14:paraId="1F63B37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vAlign w:val="center"/>
                </w:tcPr>
                <w:p w14:paraId="4EE95F1B">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69F27E7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6A53B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84FA365">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23C21DA">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石油类</w:t>
                  </w:r>
                </w:p>
              </w:tc>
              <w:tc>
                <w:tcPr>
                  <w:tcW w:w="918" w:type="dxa"/>
                  <w:shd w:val="clear" w:color="auto" w:fill="auto"/>
                  <w:vAlign w:val="center"/>
                </w:tcPr>
                <w:p w14:paraId="27EB589A">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40</w:t>
                  </w:r>
                </w:p>
              </w:tc>
              <w:tc>
                <w:tcPr>
                  <w:tcW w:w="818" w:type="dxa"/>
                  <w:shd w:val="clear" w:color="auto" w:fill="auto"/>
                  <w:vAlign w:val="center"/>
                </w:tcPr>
                <w:p w14:paraId="0AB2CC7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0.0005 </w:t>
                  </w:r>
                </w:p>
              </w:tc>
              <w:tc>
                <w:tcPr>
                  <w:tcW w:w="680" w:type="dxa"/>
                  <w:vMerge w:val="continue"/>
                  <w:vAlign w:val="center"/>
                </w:tcPr>
                <w:p w14:paraId="085A8D6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4EF8DA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4519DBF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013" w:type="dxa"/>
                  <w:shd w:val="clear" w:color="auto" w:fill="auto"/>
                  <w:vAlign w:val="center"/>
                </w:tcPr>
                <w:p w14:paraId="0C196C1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0.00002 </w:t>
                  </w:r>
                </w:p>
              </w:tc>
              <w:tc>
                <w:tcPr>
                  <w:tcW w:w="695" w:type="dxa"/>
                  <w:vAlign w:val="center"/>
                </w:tcPr>
                <w:p w14:paraId="4653F5B6">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1E0614A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0B271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29A8782C">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脱脂后水洗槽废水</w:t>
                  </w:r>
                  <w:r>
                    <w:rPr>
                      <w:rFonts w:hint="eastAsia"/>
                      <w:color w:val="auto"/>
                      <w:szCs w:val="21"/>
                      <w:highlight w:val="none"/>
                      <w:lang w:val="en-US" w:eastAsia="zh-CN"/>
                    </w:rPr>
                    <w:t>960</w:t>
                  </w:r>
                  <w:r>
                    <w:rPr>
                      <w:rFonts w:hint="default"/>
                      <w:color w:val="auto"/>
                      <w:szCs w:val="21"/>
                      <w:highlight w:val="none"/>
                    </w:rPr>
                    <w:t>t/a</w:t>
                  </w:r>
                </w:p>
              </w:tc>
              <w:tc>
                <w:tcPr>
                  <w:tcW w:w="870" w:type="dxa"/>
                  <w:shd w:val="clear" w:color="auto" w:fill="auto"/>
                  <w:vAlign w:val="center"/>
                </w:tcPr>
                <w:p w14:paraId="3F16E722">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pH</w:t>
                  </w:r>
                </w:p>
              </w:tc>
              <w:tc>
                <w:tcPr>
                  <w:tcW w:w="918" w:type="dxa"/>
                  <w:shd w:val="clear" w:color="auto" w:fill="auto"/>
                  <w:vAlign w:val="center"/>
                </w:tcPr>
                <w:p w14:paraId="6CADD13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szCs w:val="21"/>
                      <w:highlight w:val="none"/>
                      <w:lang w:bidi="ar"/>
                    </w:rPr>
                    <w:t>6~9</w:t>
                  </w:r>
                </w:p>
              </w:tc>
              <w:tc>
                <w:tcPr>
                  <w:tcW w:w="818" w:type="dxa"/>
                  <w:shd w:val="clear" w:color="auto" w:fill="auto"/>
                  <w:vAlign w:val="center"/>
                </w:tcPr>
                <w:p w14:paraId="633F872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continue"/>
                  <w:vAlign w:val="center"/>
                </w:tcPr>
                <w:p w14:paraId="173136F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561774DB">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c>
                <w:tcPr>
                  <w:tcW w:w="899" w:type="dxa"/>
                  <w:shd w:val="clear" w:color="auto" w:fill="auto"/>
                  <w:vAlign w:val="center"/>
                </w:tcPr>
                <w:p w14:paraId="5CEAD37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37BE86B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vAlign w:val="center"/>
                </w:tcPr>
                <w:p w14:paraId="2344080F">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03F5E38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C0FE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5F2FB61">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5A2B18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COD</w:t>
                  </w:r>
                </w:p>
              </w:tc>
              <w:tc>
                <w:tcPr>
                  <w:tcW w:w="918" w:type="dxa"/>
                  <w:shd w:val="clear" w:color="auto" w:fill="auto"/>
                  <w:vAlign w:val="center"/>
                </w:tcPr>
                <w:p w14:paraId="4D8224B2">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800</w:t>
                  </w:r>
                </w:p>
              </w:tc>
              <w:tc>
                <w:tcPr>
                  <w:tcW w:w="818" w:type="dxa"/>
                  <w:shd w:val="clear" w:color="auto" w:fill="auto"/>
                  <w:vAlign w:val="center"/>
                </w:tcPr>
                <w:p w14:paraId="14C69C8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0.768 </w:t>
                  </w:r>
                </w:p>
              </w:tc>
              <w:tc>
                <w:tcPr>
                  <w:tcW w:w="680" w:type="dxa"/>
                  <w:vMerge w:val="continue"/>
                  <w:vAlign w:val="center"/>
                </w:tcPr>
                <w:p w14:paraId="226FB50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281443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24227D9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120</w:t>
                  </w:r>
                </w:p>
              </w:tc>
              <w:tc>
                <w:tcPr>
                  <w:tcW w:w="1013" w:type="dxa"/>
                  <w:shd w:val="clear" w:color="auto" w:fill="auto"/>
                  <w:vAlign w:val="center"/>
                </w:tcPr>
                <w:p w14:paraId="5A390FF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0.115 </w:t>
                  </w:r>
                </w:p>
              </w:tc>
              <w:tc>
                <w:tcPr>
                  <w:tcW w:w="695" w:type="dxa"/>
                  <w:vAlign w:val="center"/>
                </w:tcPr>
                <w:p w14:paraId="5A26C8E7">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1CF6330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3D04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8F40417">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44DEE80">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7CC37FFC">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400</w:t>
                  </w:r>
                </w:p>
              </w:tc>
              <w:tc>
                <w:tcPr>
                  <w:tcW w:w="818" w:type="dxa"/>
                  <w:shd w:val="clear" w:color="auto" w:fill="auto"/>
                  <w:vAlign w:val="center"/>
                </w:tcPr>
                <w:p w14:paraId="7311DE6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0.384 </w:t>
                  </w:r>
                </w:p>
              </w:tc>
              <w:tc>
                <w:tcPr>
                  <w:tcW w:w="680" w:type="dxa"/>
                  <w:vMerge w:val="continue"/>
                  <w:vAlign w:val="center"/>
                </w:tcPr>
                <w:p w14:paraId="0F8F13C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EF68FD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53F8D6B6">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1013" w:type="dxa"/>
                  <w:shd w:val="clear" w:color="auto" w:fill="auto"/>
                  <w:vAlign w:val="center"/>
                </w:tcPr>
                <w:p w14:paraId="0C51F98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0.077 </w:t>
                  </w:r>
                </w:p>
              </w:tc>
              <w:tc>
                <w:tcPr>
                  <w:tcW w:w="695" w:type="dxa"/>
                  <w:vAlign w:val="center"/>
                </w:tcPr>
                <w:p w14:paraId="3FDEA216">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5AFCEB0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9B12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7CDAE82">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8AC8A65">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SS</w:t>
                  </w:r>
                </w:p>
              </w:tc>
              <w:tc>
                <w:tcPr>
                  <w:tcW w:w="918" w:type="dxa"/>
                  <w:shd w:val="clear" w:color="auto" w:fill="auto"/>
                  <w:vAlign w:val="center"/>
                </w:tcPr>
                <w:p w14:paraId="5E45FE03">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450</w:t>
                  </w:r>
                </w:p>
              </w:tc>
              <w:tc>
                <w:tcPr>
                  <w:tcW w:w="818" w:type="dxa"/>
                  <w:shd w:val="clear" w:color="auto" w:fill="auto"/>
                  <w:vAlign w:val="center"/>
                </w:tcPr>
                <w:p w14:paraId="3E2E913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0.432 </w:t>
                  </w:r>
                </w:p>
              </w:tc>
              <w:tc>
                <w:tcPr>
                  <w:tcW w:w="680" w:type="dxa"/>
                  <w:vMerge w:val="continue"/>
                  <w:vAlign w:val="center"/>
                </w:tcPr>
                <w:p w14:paraId="1B85691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81E1C4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662ED595">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013" w:type="dxa"/>
                  <w:shd w:val="clear" w:color="auto" w:fill="auto"/>
                  <w:vAlign w:val="center"/>
                </w:tcPr>
                <w:p w14:paraId="2DC4AB8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0.009 </w:t>
                  </w:r>
                </w:p>
              </w:tc>
              <w:tc>
                <w:tcPr>
                  <w:tcW w:w="695" w:type="dxa"/>
                  <w:vAlign w:val="center"/>
                </w:tcPr>
                <w:p w14:paraId="6CF4C07D">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04897DF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57890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BB91680">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6A0D7B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738119B7">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35</w:t>
                  </w:r>
                </w:p>
              </w:tc>
              <w:tc>
                <w:tcPr>
                  <w:tcW w:w="818" w:type="dxa"/>
                  <w:shd w:val="clear" w:color="auto" w:fill="auto"/>
                  <w:vAlign w:val="center"/>
                </w:tcPr>
                <w:p w14:paraId="3AC47A3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0.034 </w:t>
                  </w:r>
                </w:p>
              </w:tc>
              <w:tc>
                <w:tcPr>
                  <w:tcW w:w="680" w:type="dxa"/>
                  <w:vMerge w:val="continue"/>
                  <w:vAlign w:val="center"/>
                </w:tcPr>
                <w:p w14:paraId="1E90754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6EF151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3D0891A2">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26.25</w:t>
                  </w:r>
                </w:p>
              </w:tc>
              <w:tc>
                <w:tcPr>
                  <w:tcW w:w="1013" w:type="dxa"/>
                  <w:shd w:val="clear" w:color="auto" w:fill="auto"/>
                  <w:vAlign w:val="center"/>
                </w:tcPr>
                <w:p w14:paraId="0CC7C6E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0.025 </w:t>
                  </w:r>
                </w:p>
              </w:tc>
              <w:tc>
                <w:tcPr>
                  <w:tcW w:w="695" w:type="dxa"/>
                  <w:vAlign w:val="center"/>
                </w:tcPr>
                <w:p w14:paraId="67253CBD">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1A9815C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0B824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3CE96D18">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64FD32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611D06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818" w:type="dxa"/>
                  <w:shd w:val="clear" w:color="auto" w:fill="auto"/>
                  <w:vAlign w:val="center"/>
                </w:tcPr>
                <w:p w14:paraId="73FAA7D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0.010 </w:t>
                  </w:r>
                </w:p>
              </w:tc>
              <w:tc>
                <w:tcPr>
                  <w:tcW w:w="680" w:type="dxa"/>
                  <w:vMerge w:val="continue"/>
                  <w:vAlign w:val="center"/>
                </w:tcPr>
                <w:p w14:paraId="500D233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5C87082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25B6203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13" w:type="dxa"/>
                  <w:shd w:val="clear" w:color="auto" w:fill="auto"/>
                  <w:vAlign w:val="center"/>
                </w:tcPr>
                <w:p w14:paraId="6F866E0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vAlign w:val="center"/>
                </w:tcPr>
                <w:p w14:paraId="126427C2">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79601E7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0C68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749FD6F">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6CB6D9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1853C7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8" w:type="dxa"/>
                  <w:shd w:val="clear" w:color="auto" w:fill="auto"/>
                  <w:vAlign w:val="center"/>
                </w:tcPr>
                <w:p w14:paraId="007B5E3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0.058 </w:t>
                  </w:r>
                </w:p>
              </w:tc>
              <w:tc>
                <w:tcPr>
                  <w:tcW w:w="680" w:type="dxa"/>
                  <w:vMerge w:val="continue"/>
                  <w:vAlign w:val="center"/>
                </w:tcPr>
                <w:p w14:paraId="6C1363F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A19CA6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0028EF1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013" w:type="dxa"/>
                  <w:shd w:val="clear" w:color="auto" w:fill="auto"/>
                  <w:vAlign w:val="center"/>
                </w:tcPr>
                <w:p w14:paraId="32ADEDD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0.046 </w:t>
                  </w:r>
                </w:p>
              </w:tc>
              <w:tc>
                <w:tcPr>
                  <w:tcW w:w="695" w:type="dxa"/>
                  <w:vAlign w:val="center"/>
                </w:tcPr>
                <w:p w14:paraId="7D8AFF39">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47C2A75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18C90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40CDD96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7057956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LAS</w:t>
                  </w:r>
                </w:p>
              </w:tc>
              <w:tc>
                <w:tcPr>
                  <w:tcW w:w="918" w:type="dxa"/>
                  <w:shd w:val="clear" w:color="auto" w:fill="auto"/>
                  <w:vAlign w:val="center"/>
                </w:tcPr>
                <w:p w14:paraId="6B0AA079">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58</w:t>
                  </w:r>
                </w:p>
              </w:tc>
              <w:tc>
                <w:tcPr>
                  <w:tcW w:w="818" w:type="dxa"/>
                  <w:shd w:val="clear" w:color="auto" w:fill="auto"/>
                  <w:vAlign w:val="center"/>
                </w:tcPr>
                <w:p w14:paraId="11BB341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0.056 </w:t>
                  </w:r>
                </w:p>
              </w:tc>
              <w:tc>
                <w:tcPr>
                  <w:tcW w:w="680" w:type="dxa"/>
                  <w:vMerge w:val="continue"/>
                  <w:vAlign w:val="center"/>
                </w:tcPr>
                <w:p w14:paraId="55C988F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F97E07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708C122B">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8.7</w:t>
                  </w:r>
                </w:p>
              </w:tc>
              <w:tc>
                <w:tcPr>
                  <w:tcW w:w="1013" w:type="dxa"/>
                  <w:shd w:val="clear" w:color="auto" w:fill="auto"/>
                  <w:vAlign w:val="center"/>
                </w:tcPr>
                <w:p w14:paraId="48A1F80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0.008 </w:t>
                  </w:r>
                </w:p>
              </w:tc>
              <w:tc>
                <w:tcPr>
                  <w:tcW w:w="695" w:type="dxa"/>
                  <w:vAlign w:val="center"/>
                </w:tcPr>
                <w:p w14:paraId="08B405EC">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7D53F41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7CEFA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2B9E337">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604E96F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石油类</w:t>
                  </w:r>
                </w:p>
              </w:tc>
              <w:tc>
                <w:tcPr>
                  <w:tcW w:w="918" w:type="dxa"/>
                  <w:shd w:val="clear" w:color="auto" w:fill="auto"/>
                  <w:vAlign w:val="center"/>
                </w:tcPr>
                <w:p w14:paraId="420331DD">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38</w:t>
                  </w:r>
                </w:p>
              </w:tc>
              <w:tc>
                <w:tcPr>
                  <w:tcW w:w="818" w:type="dxa"/>
                  <w:shd w:val="clear" w:color="auto" w:fill="auto"/>
                  <w:vAlign w:val="center"/>
                </w:tcPr>
                <w:p w14:paraId="0F9CCFD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0.036 </w:t>
                  </w:r>
                </w:p>
              </w:tc>
              <w:tc>
                <w:tcPr>
                  <w:tcW w:w="680" w:type="dxa"/>
                  <w:vMerge w:val="continue"/>
                  <w:vAlign w:val="center"/>
                </w:tcPr>
                <w:p w14:paraId="0DDE3BC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1A9195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6F3EE23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1013" w:type="dxa"/>
                  <w:shd w:val="clear" w:color="auto" w:fill="auto"/>
                  <w:vAlign w:val="center"/>
                </w:tcPr>
                <w:p w14:paraId="5A796B9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95" w:type="dxa"/>
                  <w:vAlign w:val="center"/>
                </w:tcPr>
                <w:p w14:paraId="7F215366">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C895E3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422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10987ACA">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硅烷槽废水</w:t>
                  </w:r>
                  <w:r>
                    <w:rPr>
                      <w:rFonts w:hint="eastAsia"/>
                      <w:color w:val="auto"/>
                      <w:szCs w:val="21"/>
                      <w:highlight w:val="none"/>
                      <w:lang w:val="en-US" w:eastAsia="zh-CN"/>
                    </w:rPr>
                    <w:t>2.88</w:t>
                  </w:r>
                  <w:r>
                    <w:rPr>
                      <w:rFonts w:hint="default"/>
                      <w:color w:val="auto"/>
                      <w:szCs w:val="21"/>
                      <w:highlight w:val="none"/>
                    </w:rPr>
                    <w:t>t/a</w:t>
                  </w:r>
                </w:p>
              </w:tc>
              <w:tc>
                <w:tcPr>
                  <w:tcW w:w="870" w:type="dxa"/>
                  <w:shd w:val="clear" w:color="auto" w:fill="auto"/>
                  <w:vAlign w:val="center"/>
                </w:tcPr>
                <w:p w14:paraId="44AB4FF4">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pH</w:t>
                  </w:r>
                </w:p>
              </w:tc>
              <w:tc>
                <w:tcPr>
                  <w:tcW w:w="918" w:type="dxa"/>
                  <w:shd w:val="clear" w:color="auto" w:fill="auto"/>
                  <w:vAlign w:val="center"/>
                </w:tcPr>
                <w:p w14:paraId="7B2722C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szCs w:val="21"/>
                      <w:highlight w:val="none"/>
                      <w:lang w:bidi="ar"/>
                    </w:rPr>
                    <w:t>6~9</w:t>
                  </w:r>
                </w:p>
              </w:tc>
              <w:tc>
                <w:tcPr>
                  <w:tcW w:w="818" w:type="dxa"/>
                  <w:shd w:val="clear" w:color="auto" w:fill="auto"/>
                  <w:vAlign w:val="center"/>
                </w:tcPr>
                <w:p w14:paraId="276EE02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continue"/>
                  <w:vAlign w:val="center"/>
                </w:tcPr>
                <w:p w14:paraId="639ADFC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47870545">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w:t>
                  </w:r>
                </w:p>
              </w:tc>
              <w:tc>
                <w:tcPr>
                  <w:tcW w:w="899" w:type="dxa"/>
                  <w:shd w:val="clear" w:color="auto" w:fill="auto"/>
                  <w:vAlign w:val="center"/>
                </w:tcPr>
                <w:p w14:paraId="21E20235">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767B726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vAlign w:val="center"/>
                </w:tcPr>
                <w:p w14:paraId="78E1FB97">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107DC60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F2A3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8906E2B">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7DF729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COD</w:t>
                  </w:r>
                </w:p>
              </w:tc>
              <w:tc>
                <w:tcPr>
                  <w:tcW w:w="918" w:type="dxa"/>
                  <w:shd w:val="clear" w:color="auto" w:fill="auto"/>
                  <w:vAlign w:val="center"/>
                </w:tcPr>
                <w:p w14:paraId="323CC8C7">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1000</w:t>
                  </w:r>
                </w:p>
              </w:tc>
              <w:tc>
                <w:tcPr>
                  <w:tcW w:w="818" w:type="dxa"/>
                  <w:shd w:val="clear" w:color="auto" w:fill="auto"/>
                  <w:vAlign w:val="center"/>
                </w:tcPr>
                <w:p w14:paraId="60EF48A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680" w:type="dxa"/>
                  <w:vMerge w:val="continue"/>
                  <w:vAlign w:val="center"/>
                </w:tcPr>
                <w:p w14:paraId="56C3A1C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2A236C4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2BFE813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150</w:t>
                  </w:r>
                </w:p>
              </w:tc>
              <w:tc>
                <w:tcPr>
                  <w:tcW w:w="1013" w:type="dxa"/>
                  <w:shd w:val="clear" w:color="auto" w:fill="auto"/>
                  <w:vAlign w:val="center"/>
                </w:tcPr>
                <w:p w14:paraId="5DB0F4F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0.0004 </w:t>
                  </w:r>
                </w:p>
              </w:tc>
              <w:tc>
                <w:tcPr>
                  <w:tcW w:w="695" w:type="dxa"/>
                  <w:vAlign w:val="center"/>
                </w:tcPr>
                <w:p w14:paraId="68B3D3CB">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55D107E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717E8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1D806B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7787648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2028E0D8">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500</w:t>
                  </w:r>
                </w:p>
              </w:tc>
              <w:tc>
                <w:tcPr>
                  <w:tcW w:w="818" w:type="dxa"/>
                  <w:shd w:val="clear" w:color="auto" w:fill="auto"/>
                  <w:vAlign w:val="center"/>
                </w:tcPr>
                <w:p w14:paraId="5B4688B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3BF7FB4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36F6CA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54A7C2F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1013" w:type="dxa"/>
                  <w:shd w:val="clear" w:color="auto" w:fill="auto"/>
                  <w:vAlign w:val="center"/>
                </w:tcPr>
                <w:p w14:paraId="42EF737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0.0003 </w:t>
                  </w:r>
                </w:p>
              </w:tc>
              <w:tc>
                <w:tcPr>
                  <w:tcW w:w="695" w:type="dxa"/>
                  <w:vAlign w:val="center"/>
                </w:tcPr>
                <w:p w14:paraId="772C9D99">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05A6F7D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2C77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1EF26008">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35AE24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SS</w:t>
                  </w:r>
                </w:p>
              </w:tc>
              <w:tc>
                <w:tcPr>
                  <w:tcW w:w="918" w:type="dxa"/>
                  <w:shd w:val="clear" w:color="auto" w:fill="auto"/>
                  <w:vAlign w:val="center"/>
                </w:tcPr>
                <w:p w14:paraId="60A6BF2A">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550</w:t>
                  </w:r>
                </w:p>
              </w:tc>
              <w:tc>
                <w:tcPr>
                  <w:tcW w:w="818" w:type="dxa"/>
                  <w:shd w:val="clear" w:color="auto" w:fill="auto"/>
                  <w:vAlign w:val="center"/>
                </w:tcPr>
                <w:p w14:paraId="7800892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0.002 </w:t>
                  </w:r>
                </w:p>
              </w:tc>
              <w:tc>
                <w:tcPr>
                  <w:tcW w:w="680" w:type="dxa"/>
                  <w:vMerge w:val="continue"/>
                  <w:vAlign w:val="center"/>
                </w:tcPr>
                <w:p w14:paraId="479A36F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023AA7F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1F4ACEE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1013" w:type="dxa"/>
                  <w:shd w:val="clear" w:color="auto" w:fill="auto"/>
                  <w:vAlign w:val="center"/>
                </w:tcPr>
                <w:p w14:paraId="13F1414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0.00003 </w:t>
                  </w:r>
                </w:p>
              </w:tc>
              <w:tc>
                <w:tcPr>
                  <w:tcW w:w="695" w:type="dxa"/>
                  <w:vAlign w:val="center"/>
                </w:tcPr>
                <w:p w14:paraId="29620FD8">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2069D2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73CD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A7F3390">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7CEA15D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3B53F287">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40</w:t>
                  </w:r>
                </w:p>
              </w:tc>
              <w:tc>
                <w:tcPr>
                  <w:tcW w:w="818" w:type="dxa"/>
                  <w:shd w:val="clear" w:color="auto" w:fill="auto"/>
                  <w:vAlign w:val="center"/>
                </w:tcPr>
                <w:p w14:paraId="1E8C0BC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80" w:type="dxa"/>
                  <w:vMerge w:val="continue"/>
                  <w:vAlign w:val="center"/>
                </w:tcPr>
                <w:p w14:paraId="7DAC5F8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58D9AB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3195A8F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013" w:type="dxa"/>
                  <w:shd w:val="clear" w:color="auto" w:fill="auto"/>
                  <w:vAlign w:val="center"/>
                </w:tcPr>
                <w:p w14:paraId="557FE68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vAlign w:val="center"/>
                </w:tcPr>
                <w:p w14:paraId="26BC4208">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1F3DF71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E7CB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3CA792F9">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3A6B30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7F2600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818" w:type="dxa"/>
                  <w:shd w:val="clear" w:color="auto" w:fill="auto"/>
                  <w:vAlign w:val="center"/>
                </w:tcPr>
                <w:p w14:paraId="2167E43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0.00003 </w:t>
                  </w:r>
                </w:p>
              </w:tc>
              <w:tc>
                <w:tcPr>
                  <w:tcW w:w="680" w:type="dxa"/>
                  <w:vMerge w:val="continue"/>
                  <w:vAlign w:val="center"/>
                </w:tcPr>
                <w:p w14:paraId="35E9D6A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63833A1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4F5EF11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13" w:type="dxa"/>
                  <w:shd w:val="clear" w:color="auto" w:fill="auto"/>
                  <w:vAlign w:val="center"/>
                </w:tcPr>
                <w:p w14:paraId="7169EA8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 </w:t>
                  </w:r>
                </w:p>
              </w:tc>
              <w:tc>
                <w:tcPr>
                  <w:tcW w:w="695" w:type="dxa"/>
                  <w:vAlign w:val="center"/>
                </w:tcPr>
                <w:p w14:paraId="5101826A">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5309083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6960B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624389AD">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7821E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73E2BC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8" w:type="dxa"/>
                  <w:shd w:val="clear" w:color="auto" w:fill="auto"/>
                  <w:vAlign w:val="center"/>
                </w:tcPr>
                <w:p w14:paraId="157A555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80" w:type="dxa"/>
                  <w:vMerge w:val="continue"/>
                  <w:vAlign w:val="center"/>
                </w:tcPr>
                <w:p w14:paraId="567ED98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D95AD0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79B5CAE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013" w:type="dxa"/>
                  <w:shd w:val="clear" w:color="auto" w:fill="auto"/>
                  <w:vAlign w:val="center"/>
                </w:tcPr>
                <w:p w14:paraId="221924D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95" w:type="dxa"/>
                  <w:vAlign w:val="center"/>
                </w:tcPr>
                <w:p w14:paraId="55FD7B86">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5AC27D8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5C652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921E7DA">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9C81AF4">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LAS</w:t>
                  </w:r>
                </w:p>
              </w:tc>
              <w:tc>
                <w:tcPr>
                  <w:tcW w:w="918" w:type="dxa"/>
                  <w:shd w:val="clear" w:color="auto" w:fill="auto"/>
                  <w:vAlign w:val="center"/>
                </w:tcPr>
                <w:p w14:paraId="4CBED583">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70</w:t>
                  </w:r>
                </w:p>
              </w:tc>
              <w:tc>
                <w:tcPr>
                  <w:tcW w:w="818" w:type="dxa"/>
                  <w:shd w:val="clear" w:color="auto" w:fill="auto"/>
                  <w:vAlign w:val="center"/>
                </w:tcPr>
                <w:p w14:paraId="5011D86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80" w:type="dxa"/>
                  <w:vMerge w:val="continue"/>
                  <w:vAlign w:val="center"/>
                </w:tcPr>
                <w:p w14:paraId="57A7009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CCF7F2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7F4D8EC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10.5</w:t>
                  </w:r>
                </w:p>
              </w:tc>
              <w:tc>
                <w:tcPr>
                  <w:tcW w:w="1013" w:type="dxa"/>
                  <w:shd w:val="clear" w:color="auto" w:fill="auto"/>
                  <w:vAlign w:val="center"/>
                </w:tcPr>
                <w:p w14:paraId="5D6C189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0.00003 </w:t>
                  </w:r>
                </w:p>
              </w:tc>
              <w:tc>
                <w:tcPr>
                  <w:tcW w:w="695" w:type="dxa"/>
                  <w:vAlign w:val="center"/>
                </w:tcPr>
                <w:p w14:paraId="16F7B1F8">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3773468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7D7F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F350CBA">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2135FC16">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石油类</w:t>
                  </w:r>
                </w:p>
              </w:tc>
              <w:tc>
                <w:tcPr>
                  <w:tcW w:w="918" w:type="dxa"/>
                  <w:shd w:val="clear" w:color="auto" w:fill="auto"/>
                  <w:vAlign w:val="center"/>
                </w:tcPr>
                <w:p w14:paraId="2F149A88">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50</w:t>
                  </w:r>
                </w:p>
              </w:tc>
              <w:tc>
                <w:tcPr>
                  <w:tcW w:w="818" w:type="dxa"/>
                  <w:shd w:val="clear" w:color="auto" w:fill="auto"/>
                  <w:vAlign w:val="center"/>
                </w:tcPr>
                <w:p w14:paraId="44791245">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0.0001 </w:t>
                  </w:r>
                </w:p>
              </w:tc>
              <w:tc>
                <w:tcPr>
                  <w:tcW w:w="680" w:type="dxa"/>
                  <w:vMerge w:val="continue"/>
                  <w:vAlign w:val="center"/>
                </w:tcPr>
                <w:p w14:paraId="73BECA1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95CADB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73808CE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1013" w:type="dxa"/>
                  <w:shd w:val="clear" w:color="auto" w:fill="auto"/>
                  <w:vAlign w:val="center"/>
                </w:tcPr>
                <w:p w14:paraId="25AA9B3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0.00001 </w:t>
                  </w:r>
                </w:p>
              </w:tc>
              <w:tc>
                <w:tcPr>
                  <w:tcW w:w="695" w:type="dxa"/>
                  <w:vAlign w:val="center"/>
                </w:tcPr>
                <w:p w14:paraId="1D124FD9">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vAlign w:val="center"/>
                </w:tcPr>
                <w:p w14:paraId="628E05C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0577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46C81932">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lang w:val="en-US" w:eastAsia="zh-CN"/>
                    </w:rPr>
                    <w:t>喷漆水帘柜</w:t>
                  </w:r>
                  <w:r>
                    <w:rPr>
                      <w:rFonts w:hint="default"/>
                      <w:color w:val="auto"/>
                      <w:szCs w:val="21"/>
                      <w:highlight w:val="none"/>
                    </w:rPr>
                    <w:t>废水</w:t>
                  </w:r>
                  <w:r>
                    <w:rPr>
                      <w:rFonts w:hint="eastAsia"/>
                      <w:color w:val="auto"/>
                      <w:szCs w:val="21"/>
                      <w:highlight w:val="none"/>
                      <w:lang w:val="en-US" w:eastAsia="zh-CN"/>
                    </w:rPr>
                    <w:t>12</w:t>
                  </w:r>
                  <w:r>
                    <w:rPr>
                      <w:rFonts w:hint="default"/>
                      <w:color w:val="auto"/>
                      <w:szCs w:val="21"/>
                      <w:highlight w:val="none"/>
                    </w:rPr>
                    <w:t>t/a</w:t>
                  </w:r>
                </w:p>
              </w:tc>
              <w:tc>
                <w:tcPr>
                  <w:tcW w:w="870" w:type="dxa"/>
                  <w:shd w:val="clear" w:color="auto" w:fill="auto"/>
                  <w:vAlign w:val="center"/>
                </w:tcPr>
                <w:p w14:paraId="650B84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pH</w:t>
                  </w:r>
                </w:p>
              </w:tc>
              <w:tc>
                <w:tcPr>
                  <w:tcW w:w="918" w:type="dxa"/>
                  <w:shd w:val="clear" w:color="auto" w:fill="auto"/>
                  <w:vAlign w:val="center"/>
                </w:tcPr>
                <w:p w14:paraId="5DD8B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color w:val="auto"/>
                      <w:szCs w:val="21"/>
                      <w:highlight w:val="none"/>
                      <w:lang w:bidi="ar"/>
                    </w:rPr>
                    <w:t>6~9</w:t>
                  </w:r>
                </w:p>
              </w:tc>
              <w:tc>
                <w:tcPr>
                  <w:tcW w:w="818" w:type="dxa"/>
                  <w:shd w:val="clear" w:color="auto" w:fill="auto"/>
                  <w:vAlign w:val="center"/>
                </w:tcPr>
                <w:p w14:paraId="3F02AD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80" w:type="dxa"/>
                  <w:vMerge w:val="continue"/>
                  <w:vAlign w:val="center"/>
                </w:tcPr>
                <w:p w14:paraId="26F898D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26DE07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w:t>
                  </w:r>
                </w:p>
              </w:tc>
              <w:tc>
                <w:tcPr>
                  <w:tcW w:w="899" w:type="dxa"/>
                  <w:shd w:val="clear" w:color="auto" w:fill="auto"/>
                  <w:vAlign w:val="center"/>
                </w:tcPr>
                <w:p w14:paraId="5DC90E2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013" w:type="dxa"/>
                  <w:shd w:val="clear" w:color="auto" w:fill="auto"/>
                  <w:vAlign w:val="center"/>
                </w:tcPr>
                <w:p w14:paraId="1A8FD1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95" w:type="dxa"/>
                  <w:vAlign w:val="center"/>
                </w:tcPr>
                <w:p w14:paraId="64F7CE1F">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172113A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2468F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DCFC9C8">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66D4A3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COD</w:t>
                  </w:r>
                </w:p>
              </w:tc>
              <w:tc>
                <w:tcPr>
                  <w:tcW w:w="918" w:type="dxa"/>
                  <w:shd w:val="clear" w:color="auto" w:fill="auto"/>
                  <w:vAlign w:val="center"/>
                </w:tcPr>
                <w:p w14:paraId="52D2BA7D">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8000</w:t>
                  </w:r>
                </w:p>
              </w:tc>
              <w:tc>
                <w:tcPr>
                  <w:tcW w:w="818" w:type="dxa"/>
                  <w:shd w:val="clear" w:color="auto" w:fill="auto"/>
                  <w:vAlign w:val="center"/>
                </w:tcPr>
                <w:p w14:paraId="5B42EA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0.096 </w:t>
                  </w:r>
                </w:p>
              </w:tc>
              <w:tc>
                <w:tcPr>
                  <w:tcW w:w="680" w:type="dxa"/>
                  <w:vMerge w:val="continue"/>
                  <w:vAlign w:val="center"/>
                </w:tcPr>
                <w:p w14:paraId="7A64ACD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39806E4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4F1C60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1200</w:t>
                  </w:r>
                </w:p>
              </w:tc>
              <w:tc>
                <w:tcPr>
                  <w:tcW w:w="1013" w:type="dxa"/>
                  <w:shd w:val="clear" w:color="auto" w:fill="auto"/>
                  <w:vAlign w:val="center"/>
                </w:tcPr>
                <w:p w14:paraId="6E6005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0.014 </w:t>
                  </w:r>
                </w:p>
              </w:tc>
              <w:tc>
                <w:tcPr>
                  <w:tcW w:w="695" w:type="dxa"/>
                  <w:vAlign w:val="center"/>
                </w:tcPr>
                <w:p w14:paraId="7AC98E39">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5327C23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10062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318E568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8A56B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shd w:val="clear" w:color="auto" w:fill="auto"/>
                  <w:vAlign w:val="center"/>
                </w:tcPr>
                <w:p w14:paraId="78F7EF31">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2000</w:t>
                  </w:r>
                </w:p>
              </w:tc>
              <w:tc>
                <w:tcPr>
                  <w:tcW w:w="818" w:type="dxa"/>
                  <w:shd w:val="clear" w:color="auto" w:fill="auto"/>
                  <w:vAlign w:val="center"/>
                </w:tcPr>
                <w:p w14:paraId="21B44D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0.024 </w:t>
                  </w:r>
                </w:p>
              </w:tc>
              <w:tc>
                <w:tcPr>
                  <w:tcW w:w="680" w:type="dxa"/>
                  <w:vMerge w:val="continue"/>
                  <w:vAlign w:val="center"/>
                </w:tcPr>
                <w:p w14:paraId="0E33466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971EDD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80</w:t>
                  </w:r>
                </w:p>
              </w:tc>
              <w:tc>
                <w:tcPr>
                  <w:tcW w:w="899" w:type="dxa"/>
                  <w:shd w:val="clear" w:color="auto" w:fill="auto"/>
                  <w:vAlign w:val="center"/>
                </w:tcPr>
                <w:p w14:paraId="721119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400</w:t>
                  </w:r>
                </w:p>
              </w:tc>
              <w:tc>
                <w:tcPr>
                  <w:tcW w:w="1013" w:type="dxa"/>
                  <w:shd w:val="clear" w:color="auto" w:fill="auto"/>
                  <w:vAlign w:val="center"/>
                </w:tcPr>
                <w:p w14:paraId="797FF8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0.005 </w:t>
                  </w:r>
                </w:p>
              </w:tc>
              <w:tc>
                <w:tcPr>
                  <w:tcW w:w="695" w:type="dxa"/>
                  <w:vAlign w:val="center"/>
                </w:tcPr>
                <w:p w14:paraId="7378D5D2">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69BA107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1C44A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45F68EC">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DC76E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SS</w:t>
                  </w:r>
                </w:p>
              </w:tc>
              <w:tc>
                <w:tcPr>
                  <w:tcW w:w="918" w:type="dxa"/>
                  <w:shd w:val="clear" w:color="auto" w:fill="auto"/>
                  <w:vAlign w:val="center"/>
                </w:tcPr>
                <w:p w14:paraId="7ADED151">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3000</w:t>
                  </w:r>
                </w:p>
              </w:tc>
              <w:tc>
                <w:tcPr>
                  <w:tcW w:w="818" w:type="dxa"/>
                  <w:shd w:val="clear" w:color="auto" w:fill="auto"/>
                  <w:vAlign w:val="center"/>
                </w:tcPr>
                <w:p w14:paraId="6A5AD2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0.036 </w:t>
                  </w:r>
                </w:p>
              </w:tc>
              <w:tc>
                <w:tcPr>
                  <w:tcW w:w="680" w:type="dxa"/>
                  <w:vMerge w:val="continue"/>
                  <w:vAlign w:val="center"/>
                </w:tcPr>
                <w:p w14:paraId="67FA678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47F02FF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98</w:t>
                  </w:r>
                </w:p>
              </w:tc>
              <w:tc>
                <w:tcPr>
                  <w:tcW w:w="899" w:type="dxa"/>
                  <w:shd w:val="clear" w:color="auto" w:fill="auto"/>
                  <w:vAlign w:val="center"/>
                </w:tcPr>
                <w:p w14:paraId="0D0789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1013" w:type="dxa"/>
                  <w:shd w:val="clear" w:color="auto" w:fill="auto"/>
                  <w:vAlign w:val="center"/>
                </w:tcPr>
                <w:p w14:paraId="03E5C6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vAlign w:val="center"/>
                </w:tcPr>
                <w:p w14:paraId="54B2A3E1">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114D21C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3637C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50E59917">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1D9DA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shd w:val="clear" w:color="auto" w:fill="auto"/>
                  <w:vAlign w:val="center"/>
                </w:tcPr>
                <w:p w14:paraId="31FBAE7A">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60</w:t>
                  </w:r>
                </w:p>
              </w:tc>
              <w:tc>
                <w:tcPr>
                  <w:tcW w:w="818" w:type="dxa"/>
                  <w:shd w:val="clear" w:color="auto" w:fill="auto"/>
                  <w:vAlign w:val="center"/>
                </w:tcPr>
                <w:p w14:paraId="6C2312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6D033CF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48875A9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25</w:t>
                  </w:r>
                </w:p>
              </w:tc>
              <w:tc>
                <w:tcPr>
                  <w:tcW w:w="899" w:type="dxa"/>
                  <w:shd w:val="clear" w:color="auto" w:fill="auto"/>
                  <w:vAlign w:val="center"/>
                </w:tcPr>
                <w:p w14:paraId="641B65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45</w:t>
                  </w:r>
                </w:p>
              </w:tc>
              <w:tc>
                <w:tcPr>
                  <w:tcW w:w="1013" w:type="dxa"/>
                  <w:shd w:val="clear" w:color="auto" w:fill="auto"/>
                  <w:vAlign w:val="center"/>
                </w:tcPr>
                <w:p w14:paraId="6E3166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95" w:type="dxa"/>
                  <w:vAlign w:val="center"/>
                </w:tcPr>
                <w:p w14:paraId="6B2FB8D6">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408CD7A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02941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63E65A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20FA591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rPr>
                    <w:t>TP</w:t>
                  </w:r>
                </w:p>
              </w:tc>
              <w:tc>
                <w:tcPr>
                  <w:tcW w:w="918" w:type="dxa"/>
                  <w:shd w:val="clear" w:color="auto" w:fill="auto"/>
                  <w:vAlign w:val="center"/>
                </w:tcPr>
                <w:p w14:paraId="271D0C8D">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30</w:t>
                  </w:r>
                </w:p>
              </w:tc>
              <w:tc>
                <w:tcPr>
                  <w:tcW w:w="818" w:type="dxa"/>
                  <w:shd w:val="clear" w:color="auto" w:fill="auto"/>
                  <w:vAlign w:val="center"/>
                </w:tcPr>
                <w:p w14:paraId="00B66E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0.0004 </w:t>
                  </w:r>
                </w:p>
              </w:tc>
              <w:tc>
                <w:tcPr>
                  <w:tcW w:w="680" w:type="dxa"/>
                  <w:vMerge w:val="continue"/>
                  <w:vAlign w:val="center"/>
                </w:tcPr>
                <w:p w14:paraId="3F2BD410">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1141C72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90</w:t>
                  </w:r>
                </w:p>
              </w:tc>
              <w:tc>
                <w:tcPr>
                  <w:tcW w:w="899" w:type="dxa"/>
                  <w:shd w:val="clear" w:color="auto" w:fill="auto"/>
                  <w:vAlign w:val="center"/>
                </w:tcPr>
                <w:p w14:paraId="764E4F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013" w:type="dxa"/>
                  <w:shd w:val="clear" w:color="auto" w:fill="auto"/>
                  <w:vAlign w:val="center"/>
                </w:tcPr>
                <w:p w14:paraId="16EFDE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0.00004 </w:t>
                  </w:r>
                </w:p>
              </w:tc>
              <w:tc>
                <w:tcPr>
                  <w:tcW w:w="695" w:type="dxa"/>
                  <w:vAlign w:val="center"/>
                </w:tcPr>
                <w:p w14:paraId="0F832F4A">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0DF8F06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5CB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17744F49">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6105D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kern w:val="0"/>
                      <w:szCs w:val="21"/>
                      <w:highlight w:val="none"/>
                      <w:lang w:bidi="ar"/>
                    </w:rPr>
                    <w:t>TN</w:t>
                  </w:r>
                </w:p>
              </w:tc>
              <w:tc>
                <w:tcPr>
                  <w:tcW w:w="918" w:type="dxa"/>
                  <w:shd w:val="clear" w:color="auto" w:fill="auto"/>
                  <w:vAlign w:val="center"/>
                </w:tcPr>
                <w:p w14:paraId="60D2C462">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80</w:t>
                  </w:r>
                </w:p>
              </w:tc>
              <w:tc>
                <w:tcPr>
                  <w:tcW w:w="818" w:type="dxa"/>
                  <w:shd w:val="clear" w:color="auto" w:fill="auto"/>
                  <w:vAlign w:val="center"/>
                </w:tcPr>
                <w:p w14:paraId="127094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619225F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7140F48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20</w:t>
                  </w:r>
                </w:p>
              </w:tc>
              <w:tc>
                <w:tcPr>
                  <w:tcW w:w="899" w:type="dxa"/>
                  <w:shd w:val="clear" w:color="auto" w:fill="auto"/>
                  <w:vAlign w:val="center"/>
                </w:tcPr>
                <w:p w14:paraId="37CFEB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64</w:t>
                  </w:r>
                </w:p>
              </w:tc>
              <w:tc>
                <w:tcPr>
                  <w:tcW w:w="1013" w:type="dxa"/>
                  <w:shd w:val="clear" w:color="auto" w:fill="auto"/>
                  <w:vAlign w:val="center"/>
                </w:tcPr>
                <w:p w14:paraId="3703FF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0.0008 </w:t>
                  </w:r>
                </w:p>
              </w:tc>
              <w:tc>
                <w:tcPr>
                  <w:tcW w:w="695" w:type="dxa"/>
                  <w:vAlign w:val="center"/>
                </w:tcPr>
                <w:p w14:paraId="69850B3D">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630971F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107B3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13110C97">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25417A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LAS</w:t>
                  </w:r>
                </w:p>
              </w:tc>
              <w:tc>
                <w:tcPr>
                  <w:tcW w:w="918" w:type="dxa"/>
                  <w:shd w:val="clear" w:color="auto" w:fill="auto"/>
                  <w:vAlign w:val="center"/>
                </w:tcPr>
                <w:p w14:paraId="5F51723C">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100</w:t>
                  </w:r>
                </w:p>
              </w:tc>
              <w:tc>
                <w:tcPr>
                  <w:tcW w:w="818" w:type="dxa"/>
                  <w:shd w:val="clear" w:color="auto" w:fill="auto"/>
                  <w:vAlign w:val="center"/>
                </w:tcPr>
                <w:p w14:paraId="7935E3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0AD2CD2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4FA2CC3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99" w:type="dxa"/>
                  <w:shd w:val="clear" w:color="auto" w:fill="auto"/>
                  <w:vAlign w:val="center"/>
                </w:tcPr>
                <w:p w14:paraId="7408E7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013" w:type="dxa"/>
                  <w:shd w:val="clear" w:color="auto" w:fill="auto"/>
                  <w:vAlign w:val="center"/>
                </w:tcPr>
                <w:p w14:paraId="145303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695" w:type="dxa"/>
                  <w:vAlign w:val="center"/>
                </w:tcPr>
                <w:p w14:paraId="771DF198">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7F8D7D0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2305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27C8F435">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1FEF1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石油类</w:t>
                  </w:r>
                </w:p>
              </w:tc>
              <w:tc>
                <w:tcPr>
                  <w:tcW w:w="918" w:type="dxa"/>
                  <w:shd w:val="clear" w:color="auto" w:fill="auto"/>
                  <w:vAlign w:val="center"/>
                </w:tcPr>
                <w:p w14:paraId="2AD45388">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50</w:t>
                  </w:r>
                </w:p>
              </w:tc>
              <w:tc>
                <w:tcPr>
                  <w:tcW w:w="818" w:type="dxa"/>
                  <w:shd w:val="clear" w:color="auto" w:fill="auto"/>
                  <w:vAlign w:val="center"/>
                </w:tcPr>
                <w:p w14:paraId="6535BC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c>
                <w:tcPr>
                  <w:tcW w:w="680" w:type="dxa"/>
                  <w:vMerge w:val="continue"/>
                  <w:vAlign w:val="center"/>
                </w:tcPr>
                <w:p w14:paraId="7CEB5E7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shd w:val="clear" w:color="auto" w:fill="auto"/>
                  <w:vAlign w:val="center"/>
                </w:tcPr>
                <w:p w14:paraId="54AD285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95</w:t>
                  </w:r>
                </w:p>
              </w:tc>
              <w:tc>
                <w:tcPr>
                  <w:tcW w:w="899" w:type="dxa"/>
                  <w:shd w:val="clear" w:color="auto" w:fill="auto"/>
                  <w:vAlign w:val="center"/>
                </w:tcPr>
                <w:p w14:paraId="3B6C02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1013" w:type="dxa"/>
                  <w:shd w:val="clear" w:color="auto" w:fill="auto"/>
                  <w:vAlign w:val="center"/>
                </w:tcPr>
                <w:p w14:paraId="11AF2F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0.00003 </w:t>
                  </w:r>
                </w:p>
              </w:tc>
              <w:tc>
                <w:tcPr>
                  <w:tcW w:w="695" w:type="dxa"/>
                  <w:vAlign w:val="center"/>
                </w:tcPr>
                <w:p w14:paraId="37BE7BFB">
                  <w:pPr>
                    <w:keepNext w:val="0"/>
                    <w:keepLines w:val="0"/>
                    <w:widowControl/>
                    <w:suppressLineNumbers w:val="0"/>
                    <w:spacing w:before="0" w:beforeAutospacing="0" w:after="0" w:afterAutospacing="0"/>
                    <w:ind w:left="0" w:right="0"/>
                    <w:jc w:val="center"/>
                    <w:rPr>
                      <w:rFonts w:hint="default"/>
                      <w:color w:val="auto"/>
                      <w:kern w:val="0"/>
                      <w:szCs w:val="21"/>
                      <w:highlight w:val="none"/>
                      <w:lang w:bidi="ar"/>
                    </w:rPr>
                  </w:pPr>
                  <w:r>
                    <w:rPr>
                      <w:rFonts w:hint="default"/>
                      <w:color w:val="auto"/>
                      <w:kern w:val="0"/>
                      <w:szCs w:val="21"/>
                      <w:highlight w:val="none"/>
                      <w:lang w:bidi="ar"/>
                    </w:rPr>
                    <w:t>/</w:t>
                  </w:r>
                </w:p>
              </w:tc>
              <w:tc>
                <w:tcPr>
                  <w:tcW w:w="700" w:type="dxa"/>
                  <w:vAlign w:val="center"/>
                </w:tcPr>
                <w:p w14:paraId="6DBCDCF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r>
            <w:tr w14:paraId="45CDB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14:paraId="206C3AAD">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综合废水</w:t>
                  </w:r>
                </w:p>
                <w:p w14:paraId="0EB89FDF">
                  <w:pPr>
                    <w:keepNext w:val="0"/>
                    <w:keepLines w:val="0"/>
                    <w:suppressLineNumbers w:val="0"/>
                    <w:spacing w:before="0" w:beforeAutospacing="0" w:after="0" w:afterAutospacing="0"/>
                    <w:ind w:left="0" w:right="0"/>
                    <w:jc w:val="center"/>
                    <w:rPr>
                      <w:rFonts w:hint="eastAsia"/>
                      <w:color w:val="auto"/>
                      <w:szCs w:val="21"/>
                      <w:highlight w:val="none"/>
                      <w:lang w:val="en-US" w:eastAsia="zh-CN"/>
                    </w:rPr>
                  </w:pPr>
                  <w:r>
                    <w:rPr>
                      <w:rFonts w:hint="eastAsia"/>
                      <w:color w:val="auto"/>
                      <w:szCs w:val="21"/>
                      <w:highlight w:val="none"/>
                      <w:lang w:val="en-US" w:eastAsia="zh-CN"/>
                    </w:rPr>
                    <w:t>2597.339</w:t>
                  </w:r>
                </w:p>
                <w:p w14:paraId="7313D2B1">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t/a</w:t>
                  </w:r>
                </w:p>
              </w:tc>
              <w:tc>
                <w:tcPr>
                  <w:tcW w:w="870" w:type="dxa"/>
                  <w:shd w:val="clear" w:color="auto" w:fill="auto"/>
                  <w:vAlign w:val="center"/>
                </w:tcPr>
                <w:p w14:paraId="5A86B3F4">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pH</w:t>
                  </w:r>
                </w:p>
              </w:tc>
              <w:tc>
                <w:tcPr>
                  <w:tcW w:w="918" w:type="dxa"/>
                  <w:vAlign w:val="center"/>
                </w:tcPr>
                <w:p w14:paraId="7CB287F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szCs w:val="21"/>
                      <w:highlight w:val="none"/>
                      <w:lang w:bidi="ar"/>
                    </w:rPr>
                    <w:t>6~9</w:t>
                  </w:r>
                </w:p>
              </w:tc>
              <w:tc>
                <w:tcPr>
                  <w:tcW w:w="818" w:type="dxa"/>
                  <w:vAlign w:val="center"/>
                </w:tcPr>
                <w:p w14:paraId="6816A68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c>
                <w:tcPr>
                  <w:tcW w:w="680" w:type="dxa"/>
                  <w:vMerge w:val="restart"/>
                  <w:vAlign w:val="center"/>
                </w:tcPr>
                <w:p w14:paraId="48008CC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c>
                <w:tcPr>
                  <w:tcW w:w="573" w:type="dxa"/>
                  <w:vAlign w:val="center"/>
                </w:tcPr>
                <w:p w14:paraId="58264793">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4F94A79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szCs w:val="21"/>
                      <w:highlight w:val="none"/>
                      <w:lang w:bidi="ar"/>
                    </w:rPr>
                    <w:t>6~9</w:t>
                  </w:r>
                </w:p>
              </w:tc>
              <w:tc>
                <w:tcPr>
                  <w:tcW w:w="1013" w:type="dxa"/>
                  <w:vAlign w:val="center"/>
                </w:tcPr>
                <w:p w14:paraId="14EE603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color w:val="auto"/>
                      <w:kern w:val="0"/>
                      <w:szCs w:val="21"/>
                      <w:highlight w:val="none"/>
                      <w:lang w:bidi="ar"/>
                    </w:rPr>
                    <w:t>/</w:t>
                  </w:r>
                </w:p>
              </w:tc>
              <w:tc>
                <w:tcPr>
                  <w:tcW w:w="695" w:type="dxa"/>
                  <w:shd w:val="clear" w:color="auto" w:fill="auto"/>
                  <w:vAlign w:val="center"/>
                </w:tcPr>
                <w:p w14:paraId="17EDEA56">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700" w:type="dxa"/>
                  <w:shd w:val="clear" w:color="auto" w:fill="auto"/>
                  <w:vAlign w:val="center"/>
                </w:tcPr>
                <w:p w14:paraId="1D439C3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kern w:val="0"/>
                      <w:szCs w:val="21"/>
                      <w:highlight w:val="none"/>
                      <w:lang w:bidi="ar"/>
                    </w:rPr>
                    <w:t>/</w:t>
                  </w:r>
                </w:p>
              </w:tc>
            </w:tr>
            <w:tr w14:paraId="033B8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FDCBE33">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5279B0B9">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COD</w:t>
                  </w:r>
                </w:p>
              </w:tc>
              <w:tc>
                <w:tcPr>
                  <w:tcW w:w="918" w:type="dxa"/>
                  <w:vAlign w:val="center"/>
                </w:tcPr>
                <w:p w14:paraId="217D8F56">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568.274 </w:t>
                  </w:r>
                </w:p>
              </w:tc>
              <w:tc>
                <w:tcPr>
                  <w:tcW w:w="818" w:type="dxa"/>
                  <w:vAlign w:val="center"/>
                </w:tcPr>
                <w:p w14:paraId="68F09FD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1.476 </w:t>
                  </w:r>
                </w:p>
              </w:tc>
              <w:tc>
                <w:tcPr>
                  <w:tcW w:w="680" w:type="dxa"/>
                  <w:vMerge w:val="continue"/>
                  <w:vAlign w:val="center"/>
                </w:tcPr>
                <w:p w14:paraId="7230235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3BC98C17">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3E10180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226.578 </w:t>
                  </w:r>
                </w:p>
              </w:tc>
              <w:tc>
                <w:tcPr>
                  <w:tcW w:w="1013" w:type="dxa"/>
                  <w:vAlign w:val="center"/>
                </w:tcPr>
                <w:p w14:paraId="0A75F3C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0.589 </w:t>
                  </w:r>
                </w:p>
              </w:tc>
              <w:tc>
                <w:tcPr>
                  <w:tcW w:w="695" w:type="dxa"/>
                  <w:shd w:val="clear" w:color="auto" w:fill="auto"/>
                  <w:vAlign w:val="center"/>
                </w:tcPr>
                <w:p w14:paraId="6A15ADBF">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50</w:t>
                  </w:r>
                </w:p>
              </w:tc>
              <w:tc>
                <w:tcPr>
                  <w:tcW w:w="700" w:type="dxa"/>
                  <w:shd w:val="clear" w:color="auto" w:fill="auto"/>
                  <w:vAlign w:val="center"/>
                </w:tcPr>
                <w:p w14:paraId="5CB768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0.130 </w:t>
                  </w:r>
                </w:p>
              </w:tc>
            </w:tr>
            <w:tr w14:paraId="48BC8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1D896F81">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C8773C5">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918" w:type="dxa"/>
                  <w:vAlign w:val="center"/>
                </w:tcPr>
                <w:p w14:paraId="3371171F">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275.359 </w:t>
                  </w:r>
                </w:p>
              </w:tc>
              <w:tc>
                <w:tcPr>
                  <w:tcW w:w="818" w:type="dxa"/>
                  <w:vAlign w:val="center"/>
                </w:tcPr>
                <w:p w14:paraId="1490CFD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0.715 </w:t>
                  </w:r>
                </w:p>
              </w:tc>
              <w:tc>
                <w:tcPr>
                  <w:tcW w:w="680" w:type="dxa"/>
                  <w:vMerge w:val="continue"/>
                  <w:vAlign w:val="center"/>
                </w:tcPr>
                <w:p w14:paraId="12821AD7">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244C5245">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1EFCE255">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127.569 </w:t>
                  </w:r>
                </w:p>
              </w:tc>
              <w:tc>
                <w:tcPr>
                  <w:tcW w:w="1013" w:type="dxa"/>
                  <w:vAlign w:val="center"/>
                </w:tcPr>
                <w:p w14:paraId="6683925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0.331 </w:t>
                  </w:r>
                </w:p>
              </w:tc>
              <w:tc>
                <w:tcPr>
                  <w:tcW w:w="695" w:type="dxa"/>
                  <w:shd w:val="clear" w:color="auto" w:fill="auto"/>
                  <w:vAlign w:val="center"/>
                </w:tcPr>
                <w:p w14:paraId="609328E4">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10</w:t>
                  </w:r>
                </w:p>
              </w:tc>
              <w:tc>
                <w:tcPr>
                  <w:tcW w:w="700" w:type="dxa"/>
                  <w:shd w:val="clear" w:color="auto" w:fill="auto"/>
                  <w:vAlign w:val="center"/>
                </w:tcPr>
                <w:p w14:paraId="08949F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r>
            <w:tr w14:paraId="48CD2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47CE47A">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655D63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SS</w:t>
                  </w:r>
                </w:p>
              </w:tc>
              <w:tc>
                <w:tcPr>
                  <w:tcW w:w="918" w:type="dxa"/>
                  <w:vAlign w:val="center"/>
                </w:tcPr>
                <w:p w14:paraId="6608CBA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316.170 </w:t>
                  </w:r>
                </w:p>
              </w:tc>
              <w:tc>
                <w:tcPr>
                  <w:tcW w:w="818" w:type="dxa"/>
                  <w:vAlign w:val="center"/>
                </w:tcPr>
                <w:p w14:paraId="7A79E2A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0.821 </w:t>
                  </w:r>
                </w:p>
              </w:tc>
              <w:tc>
                <w:tcPr>
                  <w:tcW w:w="680" w:type="dxa"/>
                  <w:vMerge w:val="continue"/>
                  <w:vAlign w:val="center"/>
                </w:tcPr>
                <w:p w14:paraId="30F89C06">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4C866221">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5A6F5E8F">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87.334 </w:t>
                  </w:r>
                </w:p>
              </w:tc>
              <w:tc>
                <w:tcPr>
                  <w:tcW w:w="1013" w:type="dxa"/>
                  <w:vAlign w:val="center"/>
                </w:tcPr>
                <w:p w14:paraId="7D8B743B">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0.227 </w:t>
                  </w:r>
                </w:p>
              </w:tc>
              <w:tc>
                <w:tcPr>
                  <w:tcW w:w="695" w:type="dxa"/>
                  <w:shd w:val="clear" w:color="auto" w:fill="auto"/>
                  <w:vAlign w:val="center"/>
                </w:tcPr>
                <w:p w14:paraId="69F6E4EE">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10</w:t>
                  </w:r>
                </w:p>
              </w:tc>
              <w:tc>
                <w:tcPr>
                  <w:tcW w:w="700" w:type="dxa"/>
                  <w:shd w:val="clear" w:color="auto" w:fill="auto"/>
                  <w:vAlign w:val="center"/>
                </w:tcPr>
                <w:p w14:paraId="3FB975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0.026 </w:t>
                  </w:r>
                </w:p>
              </w:tc>
            </w:tr>
            <w:tr w14:paraId="6C5FC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09D905A">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7B76AF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918" w:type="dxa"/>
                  <w:vAlign w:val="center"/>
                </w:tcPr>
                <w:p w14:paraId="128F6E42">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32.310 </w:t>
                  </w:r>
                </w:p>
              </w:tc>
              <w:tc>
                <w:tcPr>
                  <w:tcW w:w="818" w:type="dxa"/>
                  <w:vAlign w:val="center"/>
                </w:tcPr>
                <w:p w14:paraId="2385A7D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0.084 </w:t>
                  </w:r>
                </w:p>
              </w:tc>
              <w:tc>
                <w:tcPr>
                  <w:tcW w:w="680" w:type="dxa"/>
                  <w:vMerge w:val="continue"/>
                  <w:vAlign w:val="center"/>
                </w:tcPr>
                <w:p w14:paraId="59843F4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417CDA77">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6DD5E63D">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28.033 </w:t>
                  </w:r>
                </w:p>
              </w:tc>
              <w:tc>
                <w:tcPr>
                  <w:tcW w:w="1013" w:type="dxa"/>
                  <w:vAlign w:val="center"/>
                </w:tcPr>
                <w:p w14:paraId="41EE984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0.073 </w:t>
                  </w:r>
                </w:p>
              </w:tc>
              <w:tc>
                <w:tcPr>
                  <w:tcW w:w="695" w:type="dxa"/>
                  <w:shd w:val="clear" w:color="auto" w:fill="auto"/>
                  <w:vAlign w:val="center"/>
                </w:tcPr>
                <w:p w14:paraId="79551889">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5</w:t>
                  </w:r>
                </w:p>
              </w:tc>
              <w:tc>
                <w:tcPr>
                  <w:tcW w:w="700" w:type="dxa"/>
                  <w:shd w:val="clear" w:color="auto" w:fill="auto"/>
                  <w:vAlign w:val="center"/>
                </w:tcPr>
                <w:p w14:paraId="509B2E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0.013 </w:t>
                  </w:r>
                </w:p>
              </w:tc>
            </w:tr>
            <w:tr w14:paraId="484AC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30C4A329">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02B418F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TP</w:t>
                  </w:r>
                </w:p>
              </w:tc>
              <w:tc>
                <w:tcPr>
                  <w:tcW w:w="918" w:type="dxa"/>
                  <w:vAlign w:val="center"/>
                </w:tcPr>
                <w:p w14:paraId="522E70A1">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6.597 </w:t>
                  </w:r>
                </w:p>
              </w:tc>
              <w:tc>
                <w:tcPr>
                  <w:tcW w:w="818" w:type="dxa"/>
                  <w:vAlign w:val="center"/>
                </w:tcPr>
                <w:p w14:paraId="5AA3B378">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0.017 </w:t>
                  </w:r>
                </w:p>
              </w:tc>
              <w:tc>
                <w:tcPr>
                  <w:tcW w:w="680" w:type="dxa"/>
                  <w:vMerge w:val="continue"/>
                  <w:vAlign w:val="center"/>
                </w:tcPr>
                <w:p w14:paraId="5528F169">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1EC23BCA">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1C7C646A">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2.722 </w:t>
                  </w:r>
                </w:p>
              </w:tc>
              <w:tc>
                <w:tcPr>
                  <w:tcW w:w="1013" w:type="dxa"/>
                  <w:vAlign w:val="center"/>
                </w:tcPr>
                <w:p w14:paraId="6B24FA8A">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0.007 </w:t>
                  </w:r>
                </w:p>
              </w:tc>
              <w:tc>
                <w:tcPr>
                  <w:tcW w:w="695" w:type="dxa"/>
                  <w:shd w:val="clear" w:color="auto" w:fill="auto"/>
                  <w:vAlign w:val="center"/>
                </w:tcPr>
                <w:p w14:paraId="04AC7DA4">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0.3</w:t>
                  </w:r>
                </w:p>
              </w:tc>
              <w:tc>
                <w:tcPr>
                  <w:tcW w:w="700" w:type="dxa"/>
                  <w:shd w:val="clear" w:color="auto" w:fill="auto"/>
                  <w:vAlign w:val="center"/>
                </w:tcPr>
                <w:p w14:paraId="685CB9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r>
            <w:tr w14:paraId="4A8C3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783C0FD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3339B5D4">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TN</w:t>
                  </w:r>
                </w:p>
              </w:tc>
              <w:tc>
                <w:tcPr>
                  <w:tcW w:w="918" w:type="dxa"/>
                  <w:vAlign w:val="center"/>
                </w:tcPr>
                <w:p w14:paraId="48015B5C">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48.292 </w:t>
                  </w:r>
                </w:p>
              </w:tc>
              <w:tc>
                <w:tcPr>
                  <w:tcW w:w="818" w:type="dxa"/>
                  <w:vAlign w:val="center"/>
                </w:tcPr>
                <w:p w14:paraId="771AADFD">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0.125 </w:t>
                  </w:r>
                </w:p>
              </w:tc>
              <w:tc>
                <w:tcPr>
                  <w:tcW w:w="680" w:type="dxa"/>
                  <w:vMerge w:val="continue"/>
                  <w:vAlign w:val="center"/>
                </w:tcPr>
                <w:p w14:paraId="5591AD62">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50B566C9">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5A351338">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42.898 </w:t>
                  </w:r>
                </w:p>
              </w:tc>
              <w:tc>
                <w:tcPr>
                  <w:tcW w:w="1013" w:type="dxa"/>
                  <w:vAlign w:val="center"/>
                </w:tcPr>
                <w:p w14:paraId="412F424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0.111 </w:t>
                  </w:r>
                </w:p>
              </w:tc>
              <w:tc>
                <w:tcPr>
                  <w:tcW w:w="695" w:type="dxa"/>
                  <w:shd w:val="clear" w:color="auto" w:fill="auto"/>
                  <w:vAlign w:val="center"/>
                </w:tcPr>
                <w:p w14:paraId="4D0D9B91">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15</w:t>
                  </w:r>
                </w:p>
              </w:tc>
              <w:tc>
                <w:tcPr>
                  <w:tcW w:w="700" w:type="dxa"/>
                  <w:shd w:val="clear" w:color="auto" w:fill="auto"/>
                  <w:vAlign w:val="center"/>
                </w:tcPr>
                <w:p w14:paraId="1E15EF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0.039 </w:t>
                  </w:r>
                </w:p>
              </w:tc>
            </w:tr>
            <w:tr w14:paraId="115C2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00EDFE3E">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453F4D37">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LAS</w:t>
                  </w:r>
                </w:p>
              </w:tc>
              <w:tc>
                <w:tcPr>
                  <w:tcW w:w="918" w:type="dxa"/>
                  <w:vAlign w:val="center"/>
                </w:tcPr>
                <w:p w14:paraId="288215C5">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24.036 </w:t>
                  </w:r>
                </w:p>
              </w:tc>
              <w:tc>
                <w:tcPr>
                  <w:tcW w:w="818" w:type="dxa"/>
                  <w:vAlign w:val="center"/>
                </w:tcPr>
                <w:p w14:paraId="2189DCE4">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0.062 </w:t>
                  </w:r>
                </w:p>
              </w:tc>
              <w:tc>
                <w:tcPr>
                  <w:tcW w:w="680" w:type="dxa"/>
                  <w:vMerge w:val="continue"/>
                  <w:vAlign w:val="center"/>
                </w:tcPr>
                <w:p w14:paraId="40EBE4C1">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34B3965B">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689BFD85">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3.454 </w:t>
                  </w:r>
                </w:p>
              </w:tc>
              <w:tc>
                <w:tcPr>
                  <w:tcW w:w="1013" w:type="dxa"/>
                  <w:vAlign w:val="center"/>
                </w:tcPr>
                <w:p w14:paraId="4359B6B3">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0.009 </w:t>
                  </w:r>
                </w:p>
              </w:tc>
              <w:tc>
                <w:tcPr>
                  <w:tcW w:w="695" w:type="dxa"/>
                  <w:shd w:val="clear" w:color="auto" w:fill="auto"/>
                  <w:vAlign w:val="center"/>
                </w:tcPr>
                <w:p w14:paraId="63C2D3A2">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0.5</w:t>
                  </w:r>
                </w:p>
              </w:tc>
              <w:tc>
                <w:tcPr>
                  <w:tcW w:w="700" w:type="dxa"/>
                  <w:shd w:val="clear" w:color="auto" w:fill="auto"/>
                  <w:vAlign w:val="center"/>
                </w:tcPr>
                <w:p w14:paraId="443DC9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0.001 </w:t>
                  </w:r>
                </w:p>
              </w:tc>
            </w:tr>
            <w:tr w14:paraId="2F6D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14:paraId="165349AA">
                  <w:pPr>
                    <w:keepNext w:val="0"/>
                    <w:keepLines w:val="0"/>
                    <w:suppressLineNumbers w:val="0"/>
                    <w:spacing w:before="0" w:beforeAutospacing="0" w:after="0" w:afterAutospacing="0"/>
                    <w:ind w:left="0" w:right="0"/>
                    <w:jc w:val="center"/>
                    <w:rPr>
                      <w:rFonts w:hint="default"/>
                      <w:color w:val="auto"/>
                      <w:szCs w:val="21"/>
                      <w:highlight w:val="none"/>
                    </w:rPr>
                  </w:pPr>
                </w:p>
              </w:tc>
              <w:tc>
                <w:tcPr>
                  <w:tcW w:w="870" w:type="dxa"/>
                  <w:shd w:val="clear" w:color="auto" w:fill="auto"/>
                  <w:vAlign w:val="center"/>
                </w:tcPr>
                <w:p w14:paraId="143DAE1E">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color w:val="auto"/>
                      <w:szCs w:val="21"/>
                      <w:highlight w:val="none"/>
                      <w:lang w:bidi="ar"/>
                    </w:rPr>
                    <w:t>石油类</w:t>
                  </w:r>
                </w:p>
              </w:tc>
              <w:tc>
                <w:tcPr>
                  <w:tcW w:w="918" w:type="dxa"/>
                  <w:vAlign w:val="center"/>
                </w:tcPr>
                <w:p w14:paraId="1D4D6096">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15.832 </w:t>
                  </w:r>
                </w:p>
              </w:tc>
              <w:tc>
                <w:tcPr>
                  <w:tcW w:w="818" w:type="dxa"/>
                  <w:vAlign w:val="center"/>
                </w:tcPr>
                <w:p w14:paraId="3C7F09FF">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0.041 </w:t>
                  </w:r>
                </w:p>
              </w:tc>
              <w:tc>
                <w:tcPr>
                  <w:tcW w:w="680" w:type="dxa"/>
                  <w:vMerge w:val="continue"/>
                  <w:vAlign w:val="center"/>
                </w:tcPr>
                <w:p w14:paraId="70AF5B9E">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p>
              </w:tc>
              <w:tc>
                <w:tcPr>
                  <w:tcW w:w="573" w:type="dxa"/>
                  <w:vAlign w:val="center"/>
                </w:tcPr>
                <w:p w14:paraId="125AB064">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kern w:val="0"/>
                      <w:szCs w:val="21"/>
                      <w:highlight w:val="none"/>
                      <w:lang w:bidi="ar"/>
                    </w:rPr>
                    <w:t>/</w:t>
                  </w:r>
                </w:p>
              </w:tc>
              <w:tc>
                <w:tcPr>
                  <w:tcW w:w="899" w:type="dxa"/>
                  <w:vAlign w:val="center"/>
                </w:tcPr>
                <w:p w14:paraId="3C2DA6B3">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1.226 </w:t>
                  </w:r>
                </w:p>
              </w:tc>
              <w:tc>
                <w:tcPr>
                  <w:tcW w:w="1013" w:type="dxa"/>
                  <w:vAlign w:val="center"/>
                </w:tcPr>
                <w:p w14:paraId="3E60E79C">
                  <w:pPr>
                    <w:keepNext w:val="0"/>
                    <w:keepLines w:val="0"/>
                    <w:widowControl/>
                    <w:suppressLineNumbers w:val="0"/>
                    <w:spacing w:before="0" w:beforeAutospacing="0" w:after="0" w:afterAutospacing="0"/>
                    <w:ind w:left="0" w:right="0"/>
                    <w:jc w:val="center"/>
                    <w:textAlignment w:val="center"/>
                    <w:rPr>
                      <w:rFonts w:hint="default"/>
                      <w:color w:val="auto"/>
                      <w:kern w:val="0"/>
                      <w:szCs w:val="21"/>
                      <w:highlight w:val="none"/>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695" w:type="dxa"/>
                  <w:vAlign w:val="center"/>
                </w:tcPr>
                <w:p w14:paraId="26A2298F">
                  <w:pPr>
                    <w:keepNext w:val="0"/>
                    <w:keepLines w:val="0"/>
                    <w:widowControl/>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w:t>
                  </w:r>
                </w:p>
              </w:tc>
              <w:tc>
                <w:tcPr>
                  <w:tcW w:w="700" w:type="dxa"/>
                  <w:vAlign w:val="center"/>
                </w:tcPr>
                <w:p w14:paraId="36211D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r>
          </w:tbl>
          <w:p w14:paraId="50D2BC0C">
            <w:pPr>
              <w:keepNext w:val="0"/>
              <w:keepLines w:val="0"/>
              <w:suppressLineNumbers w:val="0"/>
              <w:autoSpaceDE w:val="0"/>
              <w:autoSpaceDN w:val="0"/>
              <w:adjustRightInd w:val="0"/>
              <w:spacing w:before="0" w:beforeAutospacing="0" w:after="0" w:afterAutospacing="0" w:line="460" w:lineRule="exact"/>
              <w:ind w:left="0" w:right="0" w:firstLine="470" w:firstLineChars="196"/>
              <w:rPr>
                <w:rFonts w:hint="default"/>
                <w:color w:val="auto"/>
                <w:sz w:val="24"/>
                <w:highlight w:val="none"/>
              </w:rPr>
            </w:pPr>
            <w:r>
              <w:rPr>
                <w:rFonts w:hint="default"/>
                <w:color w:val="auto"/>
                <w:kern w:val="0"/>
                <w:sz w:val="24"/>
                <w:highlight w:val="none"/>
              </w:rPr>
              <w:t>项目</w:t>
            </w:r>
            <w:r>
              <w:rPr>
                <w:rFonts w:hint="default"/>
                <w:color w:val="auto"/>
                <w:sz w:val="24"/>
                <w:highlight w:val="none"/>
              </w:rPr>
              <w:t>生活污水经化粪池处理后和经污水处理站处理的</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w:t>
            </w:r>
            <w:r>
              <w:rPr>
                <w:rFonts w:hint="default"/>
                <w:color w:val="auto"/>
                <w:sz w:val="24"/>
                <w:highlight w:val="none"/>
              </w:rPr>
              <w:t>一同经市政污水管网排入芜湖县新芜开发区城东污水处理厂，达标后排入汪溪坝撇洪沟后汇入裘公河。</w:t>
            </w:r>
          </w:p>
          <w:p w14:paraId="3097C4D7">
            <w:pPr>
              <w:keepNext w:val="0"/>
              <w:keepLines w:val="0"/>
              <w:suppressLineNumbers w:val="0"/>
              <w:autoSpaceDE w:val="0"/>
              <w:autoSpaceDN w:val="0"/>
              <w:adjustRightInd w:val="0"/>
              <w:spacing w:before="0" w:beforeAutospacing="0" w:after="0" w:afterAutospacing="0" w:line="460" w:lineRule="exact"/>
              <w:ind w:left="0" w:right="0" w:firstLine="472" w:firstLineChars="196"/>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2、水环境影响分析</w:t>
            </w:r>
          </w:p>
          <w:p w14:paraId="4D0B20A2">
            <w:pPr>
              <w:keepNext w:val="0"/>
              <w:keepLines w:val="0"/>
              <w:suppressLineNumbers w:val="0"/>
              <w:adjustRightInd w:val="0"/>
              <w:spacing w:before="0" w:beforeAutospacing="0" w:after="0" w:afterAutospacing="0" w:line="460" w:lineRule="exact"/>
              <w:ind w:left="0" w:right="0" w:firstLine="482"/>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（1）污水排放去向</w:t>
            </w:r>
          </w:p>
          <w:p w14:paraId="53868BF7">
            <w:pPr>
              <w:keepNext w:val="0"/>
              <w:keepLines w:val="0"/>
              <w:suppressLineNumbers w:val="0"/>
              <w:adjustRightInd w:val="0"/>
              <w:spacing w:before="0" w:beforeAutospacing="0" w:after="0" w:afterAutospacing="0" w:line="460" w:lineRule="exact"/>
              <w:ind w:left="0" w:right="0" w:firstLine="482"/>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项目所在区域污水属于芜湖县新芜开发区城东污水处理厂收水范围，项目污水排入芜湖县新芜开发区城东污水处理厂。 </w:t>
            </w:r>
          </w:p>
          <w:p w14:paraId="713471C4">
            <w:pPr>
              <w:keepNext w:val="0"/>
              <w:keepLines w:val="0"/>
              <w:suppressLineNumbers w:val="0"/>
              <w:adjustRightInd w:val="0"/>
              <w:spacing w:before="0" w:beforeAutospacing="0" w:after="0" w:afterAutospacing="0" w:line="460" w:lineRule="exact"/>
              <w:ind w:left="0" w:right="0" w:firstLine="482"/>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项目产生的生活污水经化粪池预处理后</w:t>
            </w:r>
            <w:r>
              <w:rPr>
                <w:rFonts w:hint="default"/>
                <w:color w:val="auto"/>
                <w:sz w:val="24"/>
                <w:highlight w:val="none"/>
              </w:rPr>
              <w:t>和经污水处理站处理的</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废水一同</w:t>
            </w:r>
            <w:r>
              <w:rPr>
                <w:rFonts w:hint="default" w:ascii="Times New Roman" w:hAnsi="Times New Roman" w:cs="Times New Roman"/>
                <w:color w:val="auto"/>
                <w:sz w:val="24"/>
                <w:highlight w:val="none"/>
              </w:rPr>
              <w:t>经由规范化污水接管口，排入开发区污水管网，进入芜湖县新芜开发区城东污水处理厂进行处理，达标后排入汪溪坝撇洪沟后汇入裘公河。</w:t>
            </w:r>
          </w:p>
          <w:p w14:paraId="1813F71F">
            <w:pPr>
              <w:keepNext w:val="0"/>
              <w:keepLines w:val="0"/>
              <w:widowControl/>
              <w:suppressLineNumbers w:val="0"/>
              <w:spacing w:before="0" w:beforeAutospacing="0" w:after="0" w:afterAutospacing="0"/>
              <w:ind w:left="-105" w:leftChars="-50" w:right="0"/>
              <w:jc w:val="center"/>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w:t>
            </w:r>
            <w:r>
              <w:rPr>
                <w:rFonts w:hint="eastAsia" w:cs="Times New Roman"/>
                <w:b/>
                <w:color w:val="auto"/>
                <w:kern w:val="0"/>
                <w:sz w:val="24"/>
                <w:highlight w:val="none"/>
                <w:lang w:val="en-US" w:eastAsia="zh-CN"/>
              </w:rPr>
              <w:t>23</w:t>
            </w:r>
            <w:r>
              <w:rPr>
                <w:rFonts w:hint="default" w:ascii="Times New Roman" w:hAnsi="Times New Roman" w:cs="Times New Roman"/>
                <w:b/>
                <w:color w:val="auto"/>
                <w:kern w:val="0"/>
                <w:sz w:val="24"/>
                <w:highlight w:val="none"/>
              </w:rPr>
              <w:t xml:space="preserve"> 废水类别、污染物及污染治理设施信息表</w:t>
            </w:r>
          </w:p>
          <w:tbl>
            <w:tblPr>
              <w:tblStyle w:val="61"/>
              <w:tblW w:w="8378"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Layout w:type="fixed"/>
              <w:tblCellMar>
                <w:top w:w="15" w:type="dxa"/>
                <w:left w:w="15" w:type="dxa"/>
                <w:bottom w:w="15" w:type="dxa"/>
                <w:right w:w="15" w:type="dxa"/>
              </w:tblCellMar>
            </w:tblPr>
            <w:tblGrid>
              <w:gridCol w:w="559"/>
              <w:gridCol w:w="959"/>
              <w:gridCol w:w="1214"/>
              <w:gridCol w:w="859"/>
              <w:gridCol w:w="889"/>
              <w:gridCol w:w="740"/>
              <w:gridCol w:w="1078"/>
              <w:gridCol w:w="649"/>
              <w:gridCol w:w="834"/>
              <w:gridCol w:w="597"/>
            </w:tblGrid>
            <w:tr w14:paraId="33FCA58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32" w:hRule="atLeast"/>
                <w:jc w:val="center"/>
              </w:trPr>
              <w:tc>
                <w:tcPr>
                  <w:tcW w:w="559" w:type="dxa"/>
                  <w:vMerge w:val="restart"/>
                  <w:tcBorders>
                    <w:tl2br w:val="nil"/>
                    <w:tr2bl w:val="nil"/>
                  </w:tcBorders>
                  <w:shd w:val="clear" w:color="auto" w:fill="auto"/>
                  <w:tcMar>
                    <w:top w:w="36" w:type="dxa"/>
                    <w:left w:w="60" w:type="dxa"/>
                    <w:bottom w:w="36" w:type="dxa"/>
                    <w:right w:w="60" w:type="dxa"/>
                  </w:tcMar>
                  <w:vAlign w:val="center"/>
                </w:tcPr>
                <w:p w14:paraId="2BAF478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废水类别</w:t>
                  </w:r>
                </w:p>
              </w:tc>
              <w:tc>
                <w:tcPr>
                  <w:tcW w:w="959" w:type="dxa"/>
                  <w:vMerge w:val="restart"/>
                  <w:tcBorders>
                    <w:tl2br w:val="nil"/>
                    <w:tr2bl w:val="nil"/>
                  </w:tcBorders>
                  <w:shd w:val="clear" w:color="auto" w:fill="auto"/>
                  <w:tcMar>
                    <w:top w:w="36" w:type="dxa"/>
                    <w:left w:w="60" w:type="dxa"/>
                    <w:bottom w:w="36" w:type="dxa"/>
                    <w:right w:w="60" w:type="dxa"/>
                  </w:tcMar>
                  <w:vAlign w:val="center"/>
                </w:tcPr>
                <w:p w14:paraId="249DE902">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污染物种类</w:t>
                  </w:r>
                </w:p>
              </w:tc>
              <w:tc>
                <w:tcPr>
                  <w:tcW w:w="2962" w:type="dxa"/>
                  <w:gridSpan w:val="3"/>
                  <w:tcBorders>
                    <w:tl2br w:val="nil"/>
                    <w:tr2bl w:val="nil"/>
                  </w:tcBorders>
                  <w:shd w:val="clear" w:color="auto" w:fill="auto"/>
                  <w:tcMar>
                    <w:top w:w="36" w:type="dxa"/>
                    <w:left w:w="60" w:type="dxa"/>
                    <w:bottom w:w="36" w:type="dxa"/>
                    <w:right w:w="60" w:type="dxa"/>
                  </w:tcMar>
                  <w:vAlign w:val="center"/>
                </w:tcPr>
                <w:p w14:paraId="4A59692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污染治理设施</w:t>
                  </w:r>
                </w:p>
              </w:tc>
              <w:tc>
                <w:tcPr>
                  <w:tcW w:w="740" w:type="dxa"/>
                  <w:vMerge w:val="restart"/>
                  <w:tcBorders>
                    <w:tl2br w:val="nil"/>
                    <w:tr2bl w:val="nil"/>
                  </w:tcBorders>
                  <w:shd w:val="clear" w:color="auto" w:fill="auto"/>
                  <w:tcMar>
                    <w:top w:w="36" w:type="dxa"/>
                    <w:left w:w="60" w:type="dxa"/>
                    <w:bottom w:w="36" w:type="dxa"/>
                    <w:right w:w="60" w:type="dxa"/>
                  </w:tcMar>
                  <w:vAlign w:val="center"/>
                </w:tcPr>
                <w:p w14:paraId="0C6B2C3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是否为可行技术</w:t>
                  </w:r>
                </w:p>
              </w:tc>
              <w:tc>
                <w:tcPr>
                  <w:tcW w:w="1078" w:type="dxa"/>
                  <w:vMerge w:val="restart"/>
                  <w:tcBorders>
                    <w:tl2br w:val="nil"/>
                    <w:tr2bl w:val="nil"/>
                  </w:tcBorders>
                  <w:shd w:val="clear" w:color="auto" w:fill="auto"/>
                  <w:tcMar>
                    <w:top w:w="36" w:type="dxa"/>
                    <w:left w:w="60" w:type="dxa"/>
                    <w:bottom w:w="36" w:type="dxa"/>
                    <w:right w:w="60" w:type="dxa"/>
                  </w:tcMar>
                  <w:vAlign w:val="center"/>
                </w:tcPr>
                <w:p w14:paraId="0E0C3B3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排放去向</w:t>
                  </w:r>
                </w:p>
              </w:tc>
              <w:tc>
                <w:tcPr>
                  <w:tcW w:w="649" w:type="dxa"/>
                  <w:vMerge w:val="restart"/>
                  <w:tcBorders>
                    <w:tl2br w:val="nil"/>
                    <w:tr2bl w:val="nil"/>
                  </w:tcBorders>
                  <w:shd w:val="clear" w:color="auto" w:fill="auto"/>
                  <w:tcMar>
                    <w:top w:w="36" w:type="dxa"/>
                    <w:left w:w="60" w:type="dxa"/>
                    <w:bottom w:w="36" w:type="dxa"/>
                    <w:right w:w="60" w:type="dxa"/>
                  </w:tcMar>
                  <w:vAlign w:val="center"/>
                </w:tcPr>
                <w:p w14:paraId="317BF0F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排放方式</w:t>
                  </w:r>
                </w:p>
              </w:tc>
              <w:tc>
                <w:tcPr>
                  <w:tcW w:w="834" w:type="dxa"/>
                  <w:vMerge w:val="restart"/>
                  <w:tcBorders>
                    <w:tl2br w:val="nil"/>
                    <w:tr2bl w:val="nil"/>
                  </w:tcBorders>
                  <w:shd w:val="clear" w:color="auto" w:fill="auto"/>
                  <w:tcMar>
                    <w:top w:w="36" w:type="dxa"/>
                    <w:left w:w="60" w:type="dxa"/>
                    <w:bottom w:w="36" w:type="dxa"/>
                    <w:right w:w="60" w:type="dxa"/>
                  </w:tcMar>
                  <w:vAlign w:val="center"/>
                </w:tcPr>
                <w:p w14:paraId="77A15F3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排放口设置是否符合要求</w:t>
                  </w:r>
                </w:p>
              </w:tc>
              <w:tc>
                <w:tcPr>
                  <w:tcW w:w="597" w:type="dxa"/>
                  <w:vMerge w:val="restart"/>
                  <w:tcBorders>
                    <w:tl2br w:val="nil"/>
                    <w:tr2bl w:val="nil"/>
                  </w:tcBorders>
                  <w:shd w:val="clear" w:color="auto" w:fill="auto"/>
                  <w:tcMar>
                    <w:top w:w="36" w:type="dxa"/>
                    <w:left w:w="60" w:type="dxa"/>
                    <w:bottom w:w="36" w:type="dxa"/>
                    <w:right w:w="60" w:type="dxa"/>
                  </w:tcMar>
                  <w:vAlign w:val="center"/>
                </w:tcPr>
                <w:p w14:paraId="064DF63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排放口类型</w:t>
                  </w:r>
                </w:p>
              </w:tc>
            </w:tr>
            <w:tr w14:paraId="65A5A20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436" w:hRule="atLeast"/>
                <w:jc w:val="center"/>
              </w:trPr>
              <w:tc>
                <w:tcPr>
                  <w:tcW w:w="559" w:type="dxa"/>
                  <w:vMerge w:val="continue"/>
                  <w:tcBorders>
                    <w:tl2br w:val="nil"/>
                    <w:tr2bl w:val="nil"/>
                  </w:tcBorders>
                  <w:shd w:val="clear" w:color="auto" w:fill="auto"/>
                  <w:tcMar>
                    <w:top w:w="36" w:type="dxa"/>
                    <w:left w:w="60" w:type="dxa"/>
                    <w:bottom w:w="36" w:type="dxa"/>
                    <w:right w:w="60" w:type="dxa"/>
                  </w:tcMar>
                  <w:vAlign w:val="center"/>
                </w:tcPr>
                <w:p w14:paraId="165B892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59" w:type="dxa"/>
                  <w:vMerge w:val="continue"/>
                  <w:tcBorders>
                    <w:tl2br w:val="nil"/>
                    <w:tr2bl w:val="nil"/>
                  </w:tcBorders>
                  <w:shd w:val="clear" w:color="auto" w:fill="F5F3F4"/>
                  <w:tcMar>
                    <w:top w:w="36" w:type="dxa"/>
                    <w:left w:w="60" w:type="dxa"/>
                    <w:bottom w:w="36" w:type="dxa"/>
                    <w:right w:w="60" w:type="dxa"/>
                  </w:tcMar>
                  <w:vAlign w:val="center"/>
                </w:tcPr>
                <w:p w14:paraId="2817DE1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214" w:type="dxa"/>
                  <w:tcBorders>
                    <w:tl2br w:val="nil"/>
                    <w:tr2bl w:val="nil"/>
                  </w:tcBorders>
                  <w:shd w:val="clear" w:color="auto" w:fill="auto"/>
                  <w:tcMar>
                    <w:top w:w="36" w:type="dxa"/>
                    <w:left w:w="60" w:type="dxa"/>
                    <w:bottom w:w="36" w:type="dxa"/>
                    <w:right w:w="60" w:type="dxa"/>
                  </w:tcMar>
                  <w:vAlign w:val="center"/>
                </w:tcPr>
                <w:p w14:paraId="62CDAC12">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污染治理设施工艺</w:t>
                  </w:r>
                </w:p>
              </w:tc>
              <w:tc>
                <w:tcPr>
                  <w:tcW w:w="859" w:type="dxa"/>
                  <w:tcBorders>
                    <w:tl2br w:val="nil"/>
                    <w:tr2bl w:val="nil"/>
                  </w:tcBorders>
                  <w:shd w:val="clear" w:color="auto" w:fill="auto"/>
                  <w:tcMar>
                    <w:top w:w="36" w:type="dxa"/>
                    <w:left w:w="60" w:type="dxa"/>
                    <w:bottom w:w="36" w:type="dxa"/>
                    <w:right w:w="60" w:type="dxa"/>
                  </w:tcMar>
                  <w:vAlign w:val="center"/>
                </w:tcPr>
                <w:p w14:paraId="361A97F1">
                  <w:pPr>
                    <w:keepNext w:val="0"/>
                    <w:keepLines w:val="0"/>
                    <w:suppressLineNumbers w:val="0"/>
                    <w:adjustRightInd w:val="0"/>
                    <w:spacing w:before="0" w:beforeAutospacing="0" w:after="0" w:afterAutospacing="0" w:line="320" w:lineRule="exact"/>
                    <w:ind w:left="0" w:right="0"/>
                    <w:jc w:val="center"/>
                    <w:rPr>
                      <w:rFonts w:hint="eastAsia"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rPr>
                    <w:t>治理效率</w:t>
                  </w:r>
                  <w:r>
                    <w:rPr>
                      <w:rFonts w:hint="eastAsia" w:cs="Times New Roman"/>
                      <w:b/>
                      <w:bCs/>
                      <w:color w:val="auto"/>
                      <w:szCs w:val="21"/>
                      <w:highlight w:val="none"/>
                      <w:lang w:val="en-US" w:eastAsia="zh-CN"/>
                    </w:rPr>
                    <w:t>%</w:t>
                  </w:r>
                </w:p>
              </w:tc>
              <w:tc>
                <w:tcPr>
                  <w:tcW w:w="889" w:type="dxa"/>
                  <w:tcBorders>
                    <w:tl2br w:val="nil"/>
                    <w:tr2bl w:val="nil"/>
                  </w:tcBorders>
                  <w:shd w:val="clear" w:color="auto" w:fill="auto"/>
                  <w:tcMar>
                    <w:top w:w="36" w:type="dxa"/>
                    <w:left w:w="60" w:type="dxa"/>
                    <w:bottom w:w="36" w:type="dxa"/>
                    <w:right w:w="60" w:type="dxa"/>
                  </w:tcMar>
                  <w:vAlign w:val="center"/>
                </w:tcPr>
                <w:p w14:paraId="4FEEC82D">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处理能力</w:t>
                  </w:r>
                </w:p>
              </w:tc>
              <w:tc>
                <w:tcPr>
                  <w:tcW w:w="740" w:type="dxa"/>
                  <w:vMerge w:val="continue"/>
                  <w:tcBorders>
                    <w:tl2br w:val="nil"/>
                    <w:tr2bl w:val="nil"/>
                  </w:tcBorders>
                  <w:shd w:val="clear" w:color="auto" w:fill="F5F3F4"/>
                  <w:tcMar>
                    <w:top w:w="36" w:type="dxa"/>
                    <w:left w:w="60" w:type="dxa"/>
                    <w:bottom w:w="36" w:type="dxa"/>
                    <w:right w:w="60" w:type="dxa"/>
                  </w:tcMar>
                  <w:vAlign w:val="center"/>
                </w:tcPr>
                <w:p w14:paraId="547D25F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p>
              </w:tc>
              <w:tc>
                <w:tcPr>
                  <w:tcW w:w="1078" w:type="dxa"/>
                  <w:vMerge w:val="continue"/>
                  <w:tcBorders>
                    <w:tl2br w:val="nil"/>
                    <w:tr2bl w:val="nil"/>
                  </w:tcBorders>
                  <w:shd w:val="clear" w:color="auto" w:fill="F5F3F4"/>
                  <w:tcMar>
                    <w:top w:w="36" w:type="dxa"/>
                    <w:left w:w="60" w:type="dxa"/>
                    <w:bottom w:w="36" w:type="dxa"/>
                    <w:right w:w="60" w:type="dxa"/>
                  </w:tcMar>
                  <w:vAlign w:val="center"/>
                </w:tcPr>
                <w:p w14:paraId="50E47F1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5F3F4"/>
                  <w:tcMar>
                    <w:top w:w="36" w:type="dxa"/>
                    <w:left w:w="60" w:type="dxa"/>
                    <w:bottom w:w="36" w:type="dxa"/>
                    <w:right w:w="60" w:type="dxa"/>
                  </w:tcMar>
                  <w:vAlign w:val="center"/>
                </w:tcPr>
                <w:p w14:paraId="2BE49D34">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5F3F4"/>
                  <w:tcMar>
                    <w:top w:w="36" w:type="dxa"/>
                    <w:left w:w="60" w:type="dxa"/>
                    <w:bottom w:w="36" w:type="dxa"/>
                    <w:right w:w="60" w:type="dxa"/>
                  </w:tcMar>
                  <w:vAlign w:val="center"/>
                </w:tcPr>
                <w:p w14:paraId="0B154C1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5F3F4"/>
                  <w:tcMar>
                    <w:top w:w="36" w:type="dxa"/>
                    <w:left w:w="60" w:type="dxa"/>
                    <w:bottom w:w="36" w:type="dxa"/>
                    <w:right w:w="60" w:type="dxa"/>
                  </w:tcMar>
                  <w:vAlign w:val="center"/>
                </w:tcPr>
                <w:p w14:paraId="536AAE9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7234E03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95" w:hRule="atLeast"/>
                <w:jc w:val="center"/>
              </w:trPr>
              <w:tc>
                <w:tcPr>
                  <w:tcW w:w="559" w:type="dxa"/>
                  <w:vMerge w:val="restart"/>
                  <w:tcBorders>
                    <w:tl2br w:val="nil"/>
                    <w:tr2bl w:val="nil"/>
                  </w:tcBorders>
                  <w:shd w:val="clear" w:color="auto" w:fill="FFFFFF"/>
                  <w:tcMar>
                    <w:top w:w="36" w:type="dxa"/>
                    <w:left w:w="60" w:type="dxa"/>
                    <w:bottom w:w="36" w:type="dxa"/>
                    <w:right w:w="60" w:type="dxa"/>
                  </w:tcMar>
                  <w:vAlign w:val="center"/>
                </w:tcPr>
                <w:p w14:paraId="7B38EF3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生活污水</w:t>
                  </w:r>
                </w:p>
              </w:tc>
              <w:tc>
                <w:tcPr>
                  <w:tcW w:w="959" w:type="dxa"/>
                  <w:tcBorders>
                    <w:tl2br w:val="nil"/>
                    <w:tr2bl w:val="nil"/>
                  </w:tcBorders>
                  <w:shd w:val="clear" w:color="auto" w:fill="FFFFFF"/>
                  <w:tcMar>
                    <w:top w:w="36" w:type="dxa"/>
                    <w:left w:w="60" w:type="dxa"/>
                    <w:bottom w:w="36" w:type="dxa"/>
                    <w:right w:w="60" w:type="dxa"/>
                  </w:tcMar>
                  <w:vAlign w:val="center"/>
                </w:tcPr>
                <w:p w14:paraId="21EF85A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COD</w:t>
                  </w:r>
                </w:p>
              </w:tc>
              <w:tc>
                <w:tcPr>
                  <w:tcW w:w="1214" w:type="dxa"/>
                  <w:vMerge w:val="restart"/>
                  <w:tcBorders>
                    <w:tl2br w:val="nil"/>
                    <w:tr2bl w:val="nil"/>
                  </w:tcBorders>
                  <w:shd w:val="clear" w:color="auto" w:fill="FFFFFF"/>
                  <w:tcMar>
                    <w:top w:w="36" w:type="dxa"/>
                    <w:left w:w="60" w:type="dxa"/>
                    <w:bottom w:w="36" w:type="dxa"/>
                    <w:right w:w="60" w:type="dxa"/>
                  </w:tcMar>
                  <w:vAlign w:val="center"/>
                </w:tcPr>
                <w:p w14:paraId="6B63CA0F">
                  <w:pPr>
                    <w:keepNext w:val="0"/>
                    <w:keepLines w:val="0"/>
                    <w:suppressLineNumbers w:val="0"/>
                    <w:adjustRightInd w:val="0"/>
                    <w:spacing w:before="0" w:beforeAutospacing="0" w:after="0" w:afterAutospacing="0" w:line="320" w:lineRule="exact"/>
                    <w:ind w:left="0" w:right="0"/>
                    <w:jc w:val="center"/>
                    <w:rPr>
                      <w:rFonts w:hint="eastAsia"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化粪池</w:t>
                  </w:r>
                </w:p>
              </w:tc>
              <w:tc>
                <w:tcPr>
                  <w:tcW w:w="859" w:type="dxa"/>
                  <w:tcBorders>
                    <w:tl2br w:val="nil"/>
                    <w:tr2bl w:val="nil"/>
                  </w:tcBorders>
                  <w:shd w:val="clear" w:color="auto" w:fill="FFFFFF"/>
                  <w:tcMar>
                    <w:top w:w="36" w:type="dxa"/>
                    <w:left w:w="60" w:type="dxa"/>
                    <w:bottom w:w="36" w:type="dxa"/>
                    <w:right w:w="60" w:type="dxa"/>
                  </w:tcMar>
                  <w:vAlign w:val="center"/>
                </w:tcPr>
                <w:p w14:paraId="2734A04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15</w:t>
                  </w:r>
                </w:p>
              </w:tc>
              <w:tc>
                <w:tcPr>
                  <w:tcW w:w="889" w:type="dxa"/>
                  <w:vMerge w:val="restart"/>
                  <w:tcBorders>
                    <w:tl2br w:val="nil"/>
                    <w:tr2bl w:val="nil"/>
                  </w:tcBorders>
                  <w:shd w:val="clear" w:color="auto" w:fill="FFFFFF"/>
                  <w:tcMar>
                    <w:top w:w="36" w:type="dxa"/>
                    <w:left w:w="60" w:type="dxa"/>
                    <w:bottom w:w="36" w:type="dxa"/>
                    <w:right w:w="60" w:type="dxa"/>
                  </w:tcMar>
                  <w:vAlign w:val="center"/>
                </w:tcPr>
                <w:p w14:paraId="1AC7D08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40" w:type="dxa"/>
                  <w:vMerge w:val="restart"/>
                  <w:tcBorders>
                    <w:tl2br w:val="nil"/>
                    <w:tr2bl w:val="nil"/>
                  </w:tcBorders>
                  <w:shd w:val="clear" w:color="auto" w:fill="FFFFFF"/>
                  <w:tcMar>
                    <w:top w:w="36" w:type="dxa"/>
                    <w:left w:w="60" w:type="dxa"/>
                    <w:bottom w:w="36" w:type="dxa"/>
                    <w:right w:w="60" w:type="dxa"/>
                  </w:tcMar>
                  <w:vAlign w:val="center"/>
                </w:tcPr>
                <w:p w14:paraId="183A25A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是</w:t>
                  </w:r>
                </w:p>
              </w:tc>
              <w:tc>
                <w:tcPr>
                  <w:tcW w:w="1078" w:type="dxa"/>
                  <w:vMerge w:val="restart"/>
                  <w:tcBorders>
                    <w:tl2br w:val="nil"/>
                    <w:tr2bl w:val="nil"/>
                  </w:tcBorders>
                  <w:shd w:val="clear" w:color="auto" w:fill="FFFFFF"/>
                  <w:tcMar>
                    <w:top w:w="36" w:type="dxa"/>
                    <w:left w:w="60" w:type="dxa"/>
                    <w:bottom w:w="36" w:type="dxa"/>
                    <w:right w:w="60" w:type="dxa"/>
                  </w:tcMar>
                  <w:vAlign w:val="center"/>
                </w:tcPr>
                <w:p w14:paraId="237B480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进入芜湖县新芜开发区城东污水处理厂</w:t>
                  </w:r>
                </w:p>
              </w:tc>
              <w:tc>
                <w:tcPr>
                  <w:tcW w:w="649" w:type="dxa"/>
                  <w:vMerge w:val="restart"/>
                  <w:tcBorders>
                    <w:tl2br w:val="nil"/>
                    <w:tr2bl w:val="nil"/>
                  </w:tcBorders>
                  <w:shd w:val="clear" w:color="auto" w:fill="FFFFFF"/>
                  <w:tcMar>
                    <w:top w:w="36" w:type="dxa"/>
                    <w:left w:w="60" w:type="dxa"/>
                    <w:bottom w:w="36" w:type="dxa"/>
                    <w:right w:w="60" w:type="dxa"/>
                  </w:tcMar>
                  <w:vAlign w:val="center"/>
                </w:tcPr>
                <w:p w14:paraId="3CEEA45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间接</w:t>
                  </w:r>
                </w:p>
                <w:p w14:paraId="4542AD0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排放</w:t>
                  </w:r>
                </w:p>
              </w:tc>
              <w:tc>
                <w:tcPr>
                  <w:tcW w:w="834" w:type="dxa"/>
                  <w:vMerge w:val="restart"/>
                  <w:tcBorders>
                    <w:tl2br w:val="nil"/>
                    <w:tr2bl w:val="nil"/>
                  </w:tcBorders>
                  <w:shd w:val="clear" w:color="auto" w:fill="FFFFFF"/>
                  <w:tcMar>
                    <w:top w:w="36" w:type="dxa"/>
                    <w:left w:w="60" w:type="dxa"/>
                    <w:bottom w:w="36" w:type="dxa"/>
                    <w:right w:w="60" w:type="dxa"/>
                  </w:tcMar>
                  <w:vAlign w:val="center"/>
                </w:tcPr>
                <w:p w14:paraId="1807FFF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是</w:t>
                  </w:r>
                </w:p>
              </w:tc>
              <w:tc>
                <w:tcPr>
                  <w:tcW w:w="597" w:type="dxa"/>
                  <w:vMerge w:val="restart"/>
                  <w:tcBorders>
                    <w:tl2br w:val="nil"/>
                    <w:tr2bl w:val="nil"/>
                  </w:tcBorders>
                  <w:shd w:val="clear" w:color="auto" w:fill="FFFFFF"/>
                  <w:tcMar>
                    <w:top w:w="36" w:type="dxa"/>
                    <w:left w:w="60" w:type="dxa"/>
                    <w:bottom w:w="36" w:type="dxa"/>
                    <w:right w:w="60" w:type="dxa"/>
                  </w:tcMar>
                  <w:vAlign w:val="center"/>
                </w:tcPr>
                <w:p w14:paraId="0648DF3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一般排放口</w:t>
                  </w:r>
                </w:p>
              </w:tc>
            </w:tr>
            <w:tr w14:paraId="1F829A2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61"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0844070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highlight w:val="none"/>
                    </w:rPr>
                  </w:pPr>
                </w:p>
              </w:tc>
              <w:tc>
                <w:tcPr>
                  <w:tcW w:w="959" w:type="dxa"/>
                  <w:tcBorders>
                    <w:tl2br w:val="nil"/>
                    <w:tr2bl w:val="nil"/>
                  </w:tcBorders>
                  <w:shd w:val="clear" w:color="auto" w:fill="FFFFFF"/>
                  <w:tcMar>
                    <w:top w:w="36" w:type="dxa"/>
                    <w:left w:w="60" w:type="dxa"/>
                    <w:bottom w:w="36" w:type="dxa"/>
                    <w:right w:w="60" w:type="dxa"/>
                  </w:tcMar>
                  <w:vAlign w:val="center"/>
                </w:tcPr>
                <w:p w14:paraId="7E445D1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BOD</w:t>
                  </w:r>
                  <w:r>
                    <w:rPr>
                      <w:rFonts w:hint="default" w:ascii="Times New Roman" w:hAnsi="Times New Roman" w:cs="Times New Roman"/>
                      <w:color w:val="auto"/>
                      <w:szCs w:val="21"/>
                      <w:highlight w:val="none"/>
                      <w:vertAlign w:val="subscript"/>
                    </w:rPr>
                    <w:t>5</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79C042DE">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59" w:type="dxa"/>
                  <w:tcBorders>
                    <w:tl2br w:val="nil"/>
                    <w:tr2bl w:val="nil"/>
                  </w:tcBorders>
                  <w:shd w:val="clear" w:color="auto" w:fill="FFFFFF"/>
                  <w:tcMar>
                    <w:top w:w="36" w:type="dxa"/>
                    <w:left w:w="60" w:type="dxa"/>
                    <w:bottom w:w="36" w:type="dxa"/>
                    <w:right w:w="60" w:type="dxa"/>
                  </w:tcMar>
                  <w:vAlign w:val="center"/>
                </w:tcPr>
                <w:p w14:paraId="5113FDB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30</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42AF804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200A141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2B43CBB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426F477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397EDE7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7FCA4C9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129AE14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99"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39E24A9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59" w:type="dxa"/>
                  <w:tcBorders>
                    <w:tl2br w:val="nil"/>
                    <w:tr2bl w:val="nil"/>
                  </w:tcBorders>
                  <w:shd w:val="clear" w:color="auto" w:fill="FFFFFF"/>
                  <w:tcMar>
                    <w:top w:w="36" w:type="dxa"/>
                    <w:left w:w="60" w:type="dxa"/>
                    <w:bottom w:w="36" w:type="dxa"/>
                    <w:right w:w="60" w:type="dxa"/>
                  </w:tcMar>
                  <w:vAlign w:val="center"/>
                </w:tcPr>
                <w:p w14:paraId="787EFA5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SS</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60E94AA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59" w:type="dxa"/>
                  <w:tcBorders>
                    <w:tl2br w:val="nil"/>
                    <w:tr2bl w:val="nil"/>
                  </w:tcBorders>
                  <w:shd w:val="clear" w:color="auto" w:fill="FFFFFF"/>
                  <w:tcMar>
                    <w:top w:w="36" w:type="dxa"/>
                    <w:left w:w="60" w:type="dxa"/>
                    <w:bottom w:w="36" w:type="dxa"/>
                    <w:right w:w="60" w:type="dxa"/>
                  </w:tcMar>
                  <w:vAlign w:val="center"/>
                </w:tcPr>
                <w:p w14:paraId="05FE775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30</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2B62D04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06465C9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0E5FDFC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636739B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3859618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54BDF1C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6327A7E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33BC826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59" w:type="dxa"/>
                  <w:tcBorders>
                    <w:tl2br w:val="nil"/>
                    <w:tr2bl w:val="nil"/>
                  </w:tcBorders>
                  <w:shd w:val="clear" w:color="auto" w:fill="FFFFFF"/>
                  <w:tcMar>
                    <w:top w:w="36" w:type="dxa"/>
                    <w:left w:w="60" w:type="dxa"/>
                    <w:bottom w:w="36" w:type="dxa"/>
                    <w:right w:w="60" w:type="dxa"/>
                  </w:tcMar>
                  <w:vAlign w:val="center"/>
                </w:tcPr>
                <w:p w14:paraId="7E06566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4B34F4E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59" w:type="dxa"/>
                  <w:tcBorders>
                    <w:tl2br w:val="nil"/>
                    <w:tr2bl w:val="nil"/>
                  </w:tcBorders>
                  <w:shd w:val="clear" w:color="auto" w:fill="FFFFFF"/>
                  <w:tcMar>
                    <w:top w:w="36" w:type="dxa"/>
                    <w:left w:w="60" w:type="dxa"/>
                    <w:bottom w:w="36" w:type="dxa"/>
                    <w:right w:w="60" w:type="dxa"/>
                  </w:tcMar>
                  <w:vAlign w:val="center"/>
                </w:tcPr>
                <w:p w14:paraId="11AA131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75B615A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17A725E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4000E66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6B9C636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4EF3602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4CFA123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1811220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7EFB614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59" w:type="dxa"/>
                  <w:tcBorders>
                    <w:tl2br w:val="nil"/>
                    <w:tr2bl w:val="nil"/>
                  </w:tcBorders>
                  <w:shd w:val="clear" w:color="auto" w:fill="FFFFFF"/>
                  <w:tcMar>
                    <w:top w:w="36" w:type="dxa"/>
                    <w:left w:w="60" w:type="dxa"/>
                    <w:bottom w:w="36" w:type="dxa"/>
                    <w:right w:w="60" w:type="dxa"/>
                  </w:tcMar>
                  <w:vAlign w:val="center"/>
                </w:tcPr>
                <w:p w14:paraId="248C841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TP</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21FE77C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59" w:type="dxa"/>
                  <w:tcBorders>
                    <w:tl2br w:val="nil"/>
                    <w:tr2bl w:val="nil"/>
                  </w:tcBorders>
                  <w:shd w:val="clear" w:color="auto" w:fill="FFFFFF"/>
                  <w:tcMar>
                    <w:top w:w="36" w:type="dxa"/>
                    <w:left w:w="60" w:type="dxa"/>
                    <w:bottom w:w="36" w:type="dxa"/>
                    <w:right w:w="60" w:type="dxa"/>
                  </w:tcMar>
                  <w:vAlign w:val="center"/>
                </w:tcPr>
                <w:p w14:paraId="3147223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0F785F0D">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50AC7AE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3ECE3522">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45456722">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62EBCDAD">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4BCA8D4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4F899D4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7E42AF14">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59" w:type="dxa"/>
                  <w:tcBorders>
                    <w:tl2br w:val="nil"/>
                    <w:tr2bl w:val="nil"/>
                  </w:tcBorders>
                  <w:shd w:val="clear" w:color="auto" w:fill="FFFFFF"/>
                  <w:tcMar>
                    <w:top w:w="36" w:type="dxa"/>
                    <w:left w:w="60" w:type="dxa"/>
                    <w:bottom w:w="36" w:type="dxa"/>
                    <w:right w:w="60" w:type="dxa"/>
                  </w:tcMar>
                  <w:vAlign w:val="center"/>
                </w:tcPr>
                <w:p w14:paraId="2FA4298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TN</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1B1BECA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59" w:type="dxa"/>
                  <w:tcBorders>
                    <w:tl2br w:val="nil"/>
                    <w:tr2bl w:val="nil"/>
                  </w:tcBorders>
                  <w:shd w:val="clear" w:color="auto" w:fill="FFFFFF"/>
                  <w:tcMar>
                    <w:top w:w="36" w:type="dxa"/>
                    <w:left w:w="60" w:type="dxa"/>
                    <w:bottom w:w="36" w:type="dxa"/>
                    <w:right w:w="60" w:type="dxa"/>
                  </w:tcMar>
                  <w:vAlign w:val="center"/>
                </w:tcPr>
                <w:p w14:paraId="7091AC0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2B6DD0BD">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6B1CA554">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3B40385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0250AB1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2B9404C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3A4224E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00F99A5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restart"/>
                  <w:tcBorders>
                    <w:tl2br w:val="nil"/>
                    <w:tr2bl w:val="nil"/>
                  </w:tcBorders>
                  <w:shd w:val="clear" w:color="auto" w:fill="FFFFFF"/>
                  <w:tcMar>
                    <w:top w:w="36" w:type="dxa"/>
                    <w:left w:w="60" w:type="dxa"/>
                    <w:bottom w:w="36" w:type="dxa"/>
                    <w:right w:w="60" w:type="dxa"/>
                  </w:tcMar>
                  <w:vAlign w:val="center"/>
                </w:tcPr>
                <w:p w14:paraId="0B5890B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生产废水</w:t>
                  </w:r>
                </w:p>
              </w:tc>
              <w:tc>
                <w:tcPr>
                  <w:tcW w:w="959" w:type="dxa"/>
                  <w:tcBorders>
                    <w:tl2br w:val="nil"/>
                    <w:tr2bl w:val="nil"/>
                  </w:tcBorders>
                  <w:shd w:val="clear" w:color="auto" w:fill="auto"/>
                  <w:tcMar>
                    <w:top w:w="36" w:type="dxa"/>
                    <w:left w:w="60" w:type="dxa"/>
                    <w:bottom w:w="36" w:type="dxa"/>
                    <w:right w:w="60" w:type="dxa"/>
                  </w:tcMar>
                  <w:vAlign w:val="center"/>
                </w:tcPr>
                <w:p w14:paraId="424465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COD</w:t>
                  </w:r>
                </w:p>
              </w:tc>
              <w:tc>
                <w:tcPr>
                  <w:tcW w:w="1214" w:type="dxa"/>
                  <w:vMerge w:val="restart"/>
                  <w:tcBorders>
                    <w:tl2br w:val="nil"/>
                    <w:tr2bl w:val="nil"/>
                  </w:tcBorders>
                  <w:shd w:val="clear" w:color="auto" w:fill="FFFFFF"/>
                  <w:tcMar>
                    <w:top w:w="36" w:type="dxa"/>
                    <w:left w:w="60" w:type="dxa"/>
                    <w:bottom w:w="36" w:type="dxa"/>
                    <w:right w:w="60" w:type="dxa"/>
                  </w:tcMar>
                  <w:vAlign w:val="center"/>
                </w:tcPr>
                <w:p w14:paraId="28C829E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color w:val="auto"/>
                      <w:szCs w:val="21"/>
                      <w:highlight w:val="none"/>
                    </w:rPr>
                    <w:t>自建污水处理站</w:t>
                  </w:r>
                </w:p>
              </w:tc>
              <w:tc>
                <w:tcPr>
                  <w:tcW w:w="859" w:type="dxa"/>
                  <w:tcBorders>
                    <w:tl2br w:val="nil"/>
                    <w:tr2bl w:val="nil"/>
                  </w:tcBorders>
                  <w:shd w:val="clear" w:color="auto" w:fill="auto"/>
                  <w:tcMar>
                    <w:top w:w="36" w:type="dxa"/>
                    <w:left w:w="60" w:type="dxa"/>
                    <w:bottom w:w="36" w:type="dxa"/>
                    <w:right w:w="60" w:type="dxa"/>
                  </w:tcMar>
                  <w:vAlign w:val="center"/>
                </w:tcPr>
                <w:p w14:paraId="49191A4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89" w:type="dxa"/>
                  <w:vMerge w:val="restart"/>
                  <w:tcBorders>
                    <w:tl2br w:val="nil"/>
                    <w:tr2bl w:val="nil"/>
                  </w:tcBorders>
                  <w:shd w:val="clear" w:color="auto" w:fill="FFFFFF"/>
                  <w:tcMar>
                    <w:top w:w="36" w:type="dxa"/>
                    <w:left w:w="60" w:type="dxa"/>
                    <w:bottom w:w="36" w:type="dxa"/>
                    <w:right w:w="60" w:type="dxa"/>
                  </w:tcMar>
                  <w:vAlign w:val="center"/>
                </w:tcPr>
                <w:p w14:paraId="5F50101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5</w:t>
                  </w:r>
                  <w:r>
                    <w:rPr>
                      <w:rFonts w:hint="default"/>
                      <w:color w:val="auto"/>
                      <w:szCs w:val="21"/>
                      <w:highlight w:val="none"/>
                    </w:rPr>
                    <w:t>t/d</w:t>
                  </w:r>
                </w:p>
              </w:tc>
              <w:tc>
                <w:tcPr>
                  <w:tcW w:w="740" w:type="dxa"/>
                  <w:vMerge w:val="restart"/>
                  <w:tcBorders>
                    <w:tl2br w:val="nil"/>
                    <w:tr2bl w:val="nil"/>
                  </w:tcBorders>
                  <w:shd w:val="clear" w:color="auto" w:fill="FFFFFF"/>
                  <w:tcMar>
                    <w:top w:w="36" w:type="dxa"/>
                    <w:left w:w="60" w:type="dxa"/>
                    <w:bottom w:w="36" w:type="dxa"/>
                    <w:right w:w="60" w:type="dxa"/>
                  </w:tcMar>
                  <w:vAlign w:val="center"/>
                </w:tcPr>
                <w:p w14:paraId="0133EE9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Cs w:val="21"/>
                      <w:highlight w:val="none"/>
                    </w:rPr>
                    <w:t>是</w:t>
                  </w: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76B693F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restart"/>
                  <w:tcBorders>
                    <w:tl2br w:val="nil"/>
                    <w:tr2bl w:val="nil"/>
                  </w:tcBorders>
                  <w:shd w:val="clear" w:color="auto" w:fill="FFFFFF"/>
                  <w:tcMar>
                    <w:top w:w="36" w:type="dxa"/>
                    <w:left w:w="60" w:type="dxa"/>
                    <w:bottom w:w="36" w:type="dxa"/>
                    <w:right w:w="60" w:type="dxa"/>
                  </w:tcMar>
                  <w:vAlign w:val="center"/>
                </w:tcPr>
                <w:p w14:paraId="1A1A888E">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间接</w:t>
                  </w:r>
                </w:p>
                <w:p w14:paraId="73A56DF8">
                  <w:pPr>
                    <w:keepNext w:val="0"/>
                    <w:keepLines w:val="0"/>
                    <w:suppressLineNumbers w:val="0"/>
                    <w:adjustRightInd w:val="0"/>
                    <w:spacing w:before="0" w:beforeAutospacing="0" w:after="0" w:afterAutospacing="0" w:line="32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排放</w:t>
                  </w:r>
                </w:p>
              </w:tc>
              <w:tc>
                <w:tcPr>
                  <w:tcW w:w="834" w:type="dxa"/>
                  <w:vMerge w:val="restart"/>
                  <w:tcBorders>
                    <w:tl2br w:val="nil"/>
                    <w:tr2bl w:val="nil"/>
                  </w:tcBorders>
                  <w:shd w:val="clear" w:color="auto" w:fill="FFFFFF"/>
                  <w:tcMar>
                    <w:top w:w="36" w:type="dxa"/>
                    <w:left w:w="60" w:type="dxa"/>
                    <w:bottom w:w="36" w:type="dxa"/>
                    <w:right w:w="60" w:type="dxa"/>
                  </w:tcMar>
                  <w:vAlign w:val="center"/>
                </w:tcPr>
                <w:p w14:paraId="465BA14E">
                  <w:pPr>
                    <w:keepNext w:val="0"/>
                    <w:keepLines w:val="0"/>
                    <w:suppressLineNumbers w:val="0"/>
                    <w:adjustRightInd w:val="0"/>
                    <w:spacing w:before="0" w:beforeAutospacing="0" w:after="0" w:afterAutospacing="0" w:line="32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是</w:t>
                  </w:r>
                </w:p>
              </w:tc>
              <w:tc>
                <w:tcPr>
                  <w:tcW w:w="597" w:type="dxa"/>
                  <w:vMerge w:val="restart"/>
                  <w:tcBorders>
                    <w:tl2br w:val="nil"/>
                    <w:tr2bl w:val="nil"/>
                  </w:tcBorders>
                  <w:shd w:val="clear" w:color="auto" w:fill="FFFFFF"/>
                  <w:tcMar>
                    <w:top w:w="36" w:type="dxa"/>
                    <w:left w:w="60" w:type="dxa"/>
                    <w:bottom w:w="36" w:type="dxa"/>
                    <w:right w:w="60" w:type="dxa"/>
                  </w:tcMar>
                  <w:vAlign w:val="center"/>
                </w:tcPr>
                <w:p w14:paraId="4432A7B5">
                  <w:pPr>
                    <w:keepNext w:val="0"/>
                    <w:keepLines w:val="0"/>
                    <w:suppressLineNumbers w:val="0"/>
                    <w:adjustRightInd w:val="0"/>
                    <w:spacing w:before="0" w:beforeAutospacing="0" w:after="0" w:afterAutospacing="0" w:line="32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一般排放口</w:t>
                  </w:r>
                </w:p>
              </w:tc>
            </w:tr>
            <w:tr w14:paraId="3997329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4A3A786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59" w:type="dxa"/>
                  <w:tcBorders>
                    <w:tl2br w:val="nil"/>
                    <w:tr2bl w:val="nil"/>
                  </w:tcBorders>
                  <w:shd w:val="clear" w:color="auto" w:fill="auto"/>
                  <w:tcMar>
                    <w:top w:w="36" w:type="dxa"/>
                    <w:left w:w="60" w:type="dxa"/>
                    <w:bottom w:w="36" w:type="dxa"/>
                    <w:right w:w="60" w:type="dxa"/>
                  </w:tcMar>
                  <w:vAlign w:val="center"/>
                </w:tcPr>
                <w:p w14:paraId="629143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BOD</w:t>
                  </w:r>
                  <w:r>
                    <w:rPr>
                      <w:rFonts w:hint="default"/>
                      <w:color w:val="auto"/>
                      <w:szCs w:val="21"/>
                      <w:highlight w:val="none"/>
                      <w:vertAlign w:val="subscript"/>
                      <w:lang w:bidi="ar"/>
                    </w:rPr>
                    <w:t>5</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48ECBF4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59" w:type="dxa"/>
                  <w:tcBorders>
                    <w:tl2br w:val="nil"/>
                    <w:tr2bl w:val="nil"/>
                  </w:tcBorders>
                  <w:shd w:val="clear" w:color="auto" w:fill="auto"/>
                  <w:tcMar>
                    <w:top w:w="36" w:type="dxa"/>
                    <w:left w:w="60" w:type="dxa"/>
                    <w:bottom w:w="36" w:type="dxa"/>
                    <w:right w:w="60" w:type="dxa"/>
                  </w:tcMar>
                  <w:vAlign w:val="center"/>
                </w:tcPr>
                <w:p w14:paraId="160A9CA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80</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359D032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4198541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6138DE7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28446BD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33DC1A4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30B1090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5C3A9E8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290C2252">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59" w:type="dxa"/>
                  <w:tcBorders>
                    <w:tl2br w:val="nil"/>
                    <w:tr2bl w:val="nil"/>
                  </w:tcBorders>
                  <w:shd w:val="clear" w:color="auto" w:fill="auto"/>
                  <w:tcMar>
                    <w:top w:w="36" w:type="dxa"/>
                    <w:left w:w="60" w:type="dxa"/>
                    <w:bottom w:w="36" w:type="dxa"/>
                    <w:right w:w="60" w:type="dxa"/>
                  </w:tcMar>
                  <w:vAlign w:val="center"/>
                </w:tcPr>
                <w:p w14:paraId="6ADB2E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SS</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6A78D32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59" w:type="dxa"/>
                  <w:tcBorders>
                    <w:tl2br w:val="nil"/>
                    <w:tr2bl w:val="nil"/>
                  </w:tcBorders>
                  <w:shd w:val="clear" w:color="auto" w:fill="auto"/>
                  <w:tcMar>
                    <w:top w:w="36" w:type="dxa"/>
                    <w:left w:w="60" w:type="dxa"/>
                    <w:bottom w:w="36" w:type="dxa"/>
                    <w:right w:w="60" w:type="dxa"/>
                  </w:tcMar>
                  <w:vAlign w:val="center"/>
                </w:tcPr>
                <w:p w14:paraId="1A0DFBB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98</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738662A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3645899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2ADBCF1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5A68236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42A33C2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2BB3F4F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0EE205D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26" w:hRule="atLeast"/>
                <w:jc w:val="center"/>
              </w:trPr>
              <w:tc>
                <w:tcPr>
                  <w:tcW w:w="559" w:type="dxa"/>
                  <w:vMerge w:val="continue"/>
                  <w:shd w:val="clear" w:color="auto" w:fill="FFFFFF"/>
                </w:tcPr>
                <w:p w14:paraId="6EADE1AE">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6AADE6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NH</w:t>
                  </w:r>
                  <w:r>
                    <w:rPr>
                      <w:rFonts w:hint="default"/>
                      <w:color w:val="auto"/>
                      <w:szCs w:val="21"/>
                      <w:highlight w:val="none"/>
                      <w:vertAlign w:val="subscript"/>
                      <w:lang w:bidi="ar"/>
                    </w:rPr>
                    <w:t>3</w:t>
                  </w:r>
                  <w:r>
                    <w:rPr>
                      <w:rFonts w:hint="default"/>
                      <w:color w:val="auto"/>
                      <w:szCs w:val="21"/>
                      <w:highlight w:val="none"/>
                      <w:lang w:bidi="ar"/>
                    </w:rPr>
                    <w:t>-N</w:t>
                  </w:r>
                </w:p>
              </w:tc>
              <w:tc>
                <w:tcPr>
                  <w:tcW w:w="1214" w:type="dxa"/>
                  <w:vMerge w:val="continue"/>
                  <w:shd w:val="clear" w:color="auto" w:fill="FFFFFF"/>
                </w:tcPr>
                <w:p w14:paraId="6A12BA7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673E52A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25</w:t>
                  </w:r>
                </w:p>
              </w:tc>
              <w:tc>
                <w:tcPr>
                  <w:tcW w:w="889" w:type="dxa"/>
                  <w:vMerge w:val="continue"/>
                  <w:shd w:val="clear" w:color="auto" w:fill="FFFFFF"/>
                </w:tcPr>
                <w:p w14:paraId="77729CB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shd w:val="clear" w:color="auto" w:fill="FFFFFF"/>
                </w:tcPr>
                <w:p w14:paraId="7AA119DE">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shd w:val="clear" w:color="auto" w:fill="FFFFFF"/>
                </w:tcPr>
                <w:p w14:paraId="48FB8AB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shd w:val="clear" w:color="auto" w:fill="FFFFFF"/>
                </w:tcPr>
                <w:p w14:paraId="0037FA0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shd w:val="clear" w:color="auto" w:fill="FFFFFF"/>
                </w:tcPr>
                <w:p w14:paraId="3795DDB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shd w:val="clear" w:color="auto" w:fill="FFFFFF"/>
                </w:tcPr>
                <w:p w14:paraId="7083353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4A71344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continue"/>
                  <w:shd w:val="clear" w:color="auto" w:fill="FFFFFF"/>
                </w:tcPr>
                <w:p w14:paraId="48321A0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0962E3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TP</w:t>
                  </w:r>
                </w:p>
              </w:tc>
              <w:tc>
                <w:tcPr>
                  <w:tcW w:w="1214" w:type="dxa"/>
                  <w:vMerge w:val="continue"/>
                  <w:shd w:val="clear" w:color="auto" w:fill="FFFFFF"/>
                </w:tcPr>
                <w:p w14:paraId="1C0CB43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606D0DE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90</w:t>
                  </w:r>
                </w:p>
              </w:tc>
              <w:tc>
                <w:tcPr>
                  <w:tcW w:w="889" w:type="dxa"/>
                  <w:vMerge w:val="continue"/>
                  <w:shd w:val="clear" w:color="auto" w:fill="FFFFFF"/>
                </w:tcPr>
                <w:p w14:paraId="3FFDB22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shd w:val="clear" w:color="auto" w:fill="FFFFFF"/>
                </w:tcPr>
                <w:p w14:paraId="7B311A0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shd w:val="clear" w:color="auto" w:fill="FFFFFF"/>
                </w:tcPr>
                <w:p w14:paraId="64E4C98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shd w:val="clear" w:color="auto" w:fill="FFFFFF"/>
                </w:tcPr>
                <w:p w14:paraId="4EBDEC1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shd w:val="clear" w:color="auto" w:fill="FFFFFF"/>
                </w:tcPr>
                <w:p w14:paraId="7987E445">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shd w:val="clear" w:color="auto" w:fill="FFFFFF"/>
                </w:tcPr>
                <w:p w14:paraId="48894E8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2C95BC7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26" w:hRule="atLeast"/>
                <w:jc w:val="center"/>
              </w:trPr>
              <w:tc>
                <w:tcPr>
                  <w:tcW w:w="559" w:type="dxa"/>
                  <w:vMerge w:val="continue"/>
                  <w:shd w:val="clear" w:color="auto" w:fill="FFFFFF"/>
                </w:tcPr>
                <w:p w14:paraId="0D20C4A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64FE7D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TN</w:t>
                  </w:r>
                </w:p>
              </w:tc>
              <w:tc>
                <w:tcPr>
                  <w:tcW w:w="1214" w:type="dxa"/>
                  <w:vMerge w:val="continue"/>
                  <w:shd w:val="clear" w:color="auto" w:fill="FFFFFF"/>
                </w:tcPr>
                <w:p w14:paraId="7D0AE02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2C532EF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20</w:t>
                  </w:r>
                </w:p>
              </w:tc>
              <w:tc>
                <w:tcPr>
                  <w:tcW w:w="889" w:type="dxa"/>
                  <w:vMerge w:val="continue"/>
                  <w:shd w:val="clear" w:color="auto" w:fill="FFFFFF"/>
                </w:tcPr>
                <w:p w14:paraId="67A1456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shd w:val="clear" w:color="auto" w:fill="FFFFFF"/>
                </w:tcPr>
                <w:p w14:paraId="0E5F9B6D">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shd w:val="clear" w:color="auto" w:fill="FFFFFF"/>
                </w:tcPr>
                <w:p w14:paraId="5CC9CC2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shd w:val="clear" w:color="auto" w:fill="FFFFFF"/>
                </w:tcPr>
                <w:p w14:paraId="474B8DCD">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shd w:val="clear" w:color="auto" w:fill="FFFFFF"/>
                </w:tcPr>
                <w:p w14:paraId="41E33BE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shd w:val="clear" w:color="auto" w:fill="FFFFFF"/>
                </w:tcPr>
                <w:p w14:paraId="721969D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4B8F022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26" w:hRule="atLeast"/>
                <w:jc w:val="center"/>
              </w:trPr>
              <w:tc>
                <w:tcPr>
                  <w:tcW w:w="559" w:type="dxa"/>
                  <w:vMerge w:val="continue"/>
                  <w:shd w:val="clear" w:color="auto" w:fill="FFFFFF"/>
                </w:tcPr>
                <w:p w14:paraId="769FF7F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3772CC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LAS</w:t>
                  </w:r>
                </w:p>
              </w:tc>
              <w:tc>
                <w:tcPr>
                  <w:tcW w:w="1214" w:type="dxa"/>
                  <w:vMerge w:val="continue"/>
                  <w:shd w:val="clear" w:color="auto" w:fill="FFFFFF"/>
                </w:tcPr>
                <w:p w14:paraId="36E0EBC4">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13B86F4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85</w:t>
                  </w:r>
                </w:p>
              </w:tc>
              <w:tc>
                <w:tcPr>
                  <w:tcW w:w="889" w:type="dxa"/>
                  <w:vMerge w:val="continue"/>
                  <w:shd w:val="clear" w:color="auto" w:fill="FFFFFF"/>
                </w:tcPr>
                <w:p w14:paraId="34DBD9C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shd w:val="clear" w:color="auto" w:fill="FFFFFF"/>
                </w:tcPr>
                <w:p w14:paraId="34A4EA3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shd w:val="clear" w:color="auto" w:fill="FFFFFF"/>
                </w:tcPr>
                <w:p w14:paraId="3B6BEFB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shd w:val="clear" w:color="auto" w:fill="FFFFFF"/>
                </w:tcPr>
                <w:p w14:paraId="17AB642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shd w:val="clear" w:color="auto" w:fill="FFFFFF"/>
                </w:tcPr>
                <w:p w14:paraId="61AB420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shd w:val="clear" w:color="auto" w:fill="FFFFFF"/>
                </w:tcPr>
                <w:p w14:paraId="337B2EA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3D782AE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26" w:hRule="atLeast"/>
                <w:jc w:val="center"/>
              </w:trPr>
              <w:tc>
                <w:tcPr>
                  <w:tcW w:w="559" w:type="dxa"/>
                  <w:vMerge w:val="continue"/>
                  <w:shd w:val="clear" w:color="auto" w:fill="FFFFFF"/>
                </w:tcPr>
                <w:p w14:paraId="0C47DBD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7DFF79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石油类</w:t>
                  </w:r>
                </w:p>
              </w:tc>
              <w:tc>
                <w:tcPr>
                  <w:tcW w:w="1214" w:type="dxa"/>
                  <w:vMerge w:val="continue"/>
                  <w:shd w:val="clear" w:color="auto" w:fill="FFFFFF"/>
                </w:tcPr>
                <w:p w14:paraId="2CD45B1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0" w:type="auto"/>
                  <w:shd w:val="clear" w:color="auto" w:fill="auto"/>
                  <w:vAlign w:val="center"/>
                </w:tcPr>
                <w:p w14:paraId="5B5F45F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000000" w:themeColor="text1"/>
                      <w:szCs w:val="21"/>
                      <w:lang w:val="en-US" w:eastAsia="zh-CN"/>
                      <w14:textFill>
                        <w14:solidFill>
                          <w14:schemeClr w14:val="tx1"/>
                        </w14:solidFill>
                      </w14:textFill>
                    </w:rPr>
                    <w:t>95</w:t>
                  </w:r>
                </w:p>
              </w:tc>
              <w:tc>
                <w:tcPr>
                  <w:tcW w:w="889" w:type="dxa"/>
                  <w:vMerge w:val="continue"/>
                  <w:shd w:val="clear" w:color="auto" w:fill="FFFFFF"/>
                </w:tcPr>
                <w:p w14:paraId="6E5108A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740" w:type="dxa"/>
                  <w:vMerge w:val="continue"/>
                  <w:shd w:val="clear" w:color="auto" w:fill="FFFFFF"/>
                </w:tcPr>
                <w:p w14:paraId="229539BE">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078" w:type="dxa"/>
                  <w:vMerge w:val="continue"/>
                  <w:shd w:val="clear" w:color="auto" w:fill="FFFFFF"/>
                </w:tcPr>
                <w:p w14:paraId="1A97A108">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649" w:type="dxa"/>
                  <w:vMerge w:val="continue"/>
                  <w:shd w:val="clear" w:color="auto" w:fill="FFFFFF"/>
                </w:tcPr>
                <w:p w14:paraId="72BBC944">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shd w:val="clear" w:color="auto" w:fill="FFFFFF"/>
                </w:tcPr>
                <w:p w14:paraId="18CBFA1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597" w:type="dxa"/>
                  <w:vMerge w:val="continue"/>
                  <w:shd w:val="clear" w:color="auto" w:fill="FFFFFF"/>
                </w:tcPr>
                <w:p w14:paraId="5203C18D">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bl>
          <w:p w14:paraId="5436B122">
            <w:pPr>
              <w:keepNext w:val="0"/>
              <w:keepLines w:val="0"/>
              <w:widowControl/>
              <w:suppressLineNumbers w:val="0"/>
              <w:spacing w:before="120" w:beforeLines="50" w:beforeAutospacing="0" w:after="0" w:afterAutospacing="0"/>
              <w:ind w:left="-105" w:leftChars="-50" w:right="0"/>
              <w:jc w:val="center"/>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表4-17  废水间接排放口基本情况</w:t>
            </w:r>
          </w:p>
          <w:tbl>
            <w:tblPr>
              <w:tblStyle w:val="61"/>
              <w:tblW w:w="8389"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Layout w:type="fixed"/>
              <w:tblCellMar>
                <w:top w:w="15" w:type="dxa"/>
                <w:left w:w="15" w:type="dxa"/>
                <w:bottom w:w="15" w:type="dxa"/>
                <w:right w:w="15" w:type="dxa"/>
              </w:tblCellMar>
            </w:tblPr>
            <w:tblGrid>
              <w:gridCol w:w="821"/>
              <w:gridCol w:w="834"/>
              <w:gridCol w:w="1113"/>
              <w:gridCol w:w="1042"/>
              <w:gridCol w:w="736"/>
              <w:gridCol w:w="918"/>
              <w:gridCol w:w="825"/>
              <w:gridCol w:w="2100"/>
            </w:tblGrid>
            <w:tr w14:paraId="4233117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13" w:hRule="atLeast"/>
                <w:jc w:val="center"/>
              </w:trPr>
              <w:tc>
                <w:tcPr>
                  <w:tcW w:w="821" w:type="dxa"/>
                  <w:vMerge w:val="restart"/>
                  <w:tcBorders>
                    <w:top w:val="single" w:color="auto" w:sz="4" w:space="0"/>
                    <w:left w:val="single" w:color="auto" w:sz="0" w:space="0"/>
                    <w:tl2br w:val="nil"/>
                    <w:tr2bl w:val="nil"/>
                  </w:tcBorders>
                  <w:shd w:val="clear" w:color="auto" w:fill="auto"/>
                  <w:tcMar>
                    <w:top w:w="36" w:type="dxa"/>
                    <w:left w:w="60" w:type="dxa"/>
                    <w:bottom w:w="36" w:type="dxa"/>
                    <w:right w:w="60" w:type="dxa"/>
                  </w:tcMar>
                  <w:vAlign w:val="center"/>
                </w:tcPr>
                <w:p w14:paraId="377D971E">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排放口编号</w:t>
                  </w:r>
                </w:p>
              </w:tc>
              <w:tc>
                <w:tcPr>
                  <w:tcW w:w="834"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7946BC1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排放口名称</w:t>
                  </w:r>
                </w:p>
              </w:tc>
              <w:tc>
                <w:tcPr>
                  <w:tcW w:w="2155" w:type="dxa"/>
                  <w:gridSpan w:val="2"/>
                  <w:tcBorders>
                    <w:top w:val="single" w:color="auto" w:sz="4" w:space="0"/>
                    <w:tl2br w:val="nil"/>
                    <w:tr2bl w:val="nil"/>
                  </w:tcBorders>
                  <w:shd w:val="clear" w:color="auto" w:fill="auto"/>
                  <w:tcMar>
                    <w:top w:w="36" w:type="dxa"/>
                    <w:left w:w="60" w:type="dxa"/>
                    <w:bottom w:w="36" w:type="dxa"/>
                    <w:right w:w="60" w:type="dxa"/>
                  </w:tcMar>
                  <w:vAlign w:val="center"/>
                </w:tcPr>
                <w:p w14:paraId="00DD186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排放口地理坐标</w:t>
                  </w:r>
                </w:p>
              </w:tc>
              <w:tc>
                <w:tcPr>
                  <w:tcW w:w="736"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213224C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排放去向</w:t>
                  </w:r>
                </w:p>
              </w:tc>
              <w:tc>
                <w:tcPr>
                  <w:tcW w:w="918"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36134C5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w:t>
                  </w:r>
                </w:p>
                <w:p w14:paraId="217B9B57">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规律</w:t>
                  </w:r>
                </w:p>
              </w:tc>
              <w:tc>
                <w:tcPr>
                  <w:tcW w:w="825"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1042AC3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间歇排放时段</w:t>
                  </w:r>
                </w:p>
              </w:tc>
              <w:tc>
                <w:tcPr>
                  <w:tcW w:w="2100" w:type="dxa"/>
                  <w:vMerge w:val="restart"/>
                  <w:tcBorders>
                    <w:top w:val="single" w:color="auto" w:sz="4" w:space="0"/>
                    <w:right w:val="single" w:color="auto" w:sz="4" w:space="0"/>
                    <w:tl2br w:val="nil"/>
                    <w:tr2bl w:val="nil"/>
                  </w:tcBorders>
                  <w:shd w:val="clear" w:color="auto" w:fill="auto"/>
                  <w:tcMar>
                    <w:top w:w="36" w:type="dxa"/>
                    <w:left w:w="60" w:type="dxa"/>
                    <w:bottom w:w="36" w:type="dxa"/>
                    <w:right w:w="60" w:type="dxa"/>
                  </w:tcMar>
                  <w:vAlign w:val="center"/>
                </w:tcPr>
                <w:p w14:paraId="7B86ADC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排放标准</w:t>
                  </w:r>
                </w:p>
              </w:tc>
            </w:tr>
            <w:tr w14:paraId="354DC8E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82" w:hRule="atLeast"/>
                <w:jc w:val="center"/>
              </w:trPr>
              <w:tc>
                <w:tcPr>
                  <w:tcW w:w="821" w:type="dxa"/>
                  <w:vMerge w:val="continue"/>
                  <w:tcBorders>
                    <w:left w:val="single" w:color="auto" w:sz="4" w:space="0"/>
                    <w:tl2br w:val="nil"/>
                    <w:tr2bl w:val="nil"/>
                  </w:tcBorders>
                  <w:shd w:val="clear" w:color="auto" w:fill="auto"/>
                  <w:tcMar>
                    <w:top w:w="36" w:type="dxa"/>
                    <w:left w:w="60" w:type="dxa"/>
                    <w:bottom w:w="36" w:type="dxa"/>
                    <w:right w:w="60" w:type="dxa"/>
                  </w:tcMar>
                  <w:vAlign w:val="center"/>
                </w:tcPr>
                <w:p w14:paraId="54876AFC">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34" w:type="dxa"/>
                  <w:vMerge w:val="continue"/>
                  <w:tcBorders>
                    <w:tl2br w:val="nil"/>
                    <w:tr2bl w:val="nil"/>
                  </w:tcBorders>
                  <w:shd w:val="clear" w:color="auto" w:fill="auto"/>
                  <w:tcMar>
                    <w:top w:w="36" w:type="dxa"/>
                    <w:left w:w="60" w:type="dxa"/>
                    <w:bottom w:w="36" w:type="dxa"/>
                    <w:right w:w="60" w:type="dxa"/>
                  </w:tcMar>
                  <w:vAlign w:val="center"/>
                </w:tcPr>
                <w:p w14:paraId="1B41A3BA">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1113" w:type="dxa"/>
                  <w:tcBorders>
                    <w:tl2br w:val="nil"/>
                    <w:tr2bl w:val="nil"/>
                  </w:tcBorders>
                  <w:shd w:val="clear" w:color="auto" w:fill="auto"/>
                  <w:tcMar>
                    <w:top w:w="36" w:type="dxa"/>
                    <w:left w:w="60" w:type="dxa"/>
                    <w:bottom w:w="36" w:type="dxa"/>
                    <w:right w:w="60" w:type="dxa"/>
                  </w:tcMar>
                  <w:vAlign w:val="center"/>
                </w:tcPr>
                <w:p w14:paraId="314564EE">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经度</w:t>
                  </w:r>
                </w:p>
              </w:tc>
              <w:tc>
                <w:tcPr>
                  <w:tcW w:w="1042" w:type="dxa"/>
                  <w:tcBorders>
                    <w:tl2br w:val="nil"/>
                    <w:tr2bl w:val="nil"/>
                  </w:tcBorders>
                  <w:shd w:val="clear" w:color="auto" w:fill="auto"/>
                  <w:tcMar>
                    <w:top w:w="36" w:type="dxa"/>
                    <w:left w:w="60" w:type="dxa"/>
                    <w:bottom w:w="36" w:type="dxa"/>
                    <w:right w:w="60" w:type="dxa"/>
                  </w:tcMar>
                  <w:vAlign w:val="center"/>
                </w:tcPr>
                <w:p w14:paraId="5967E00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纬度</w:t>
                  </w:r>
                </w:p>
              </w:tc>
              <w:tc>
                <w:tcPr>
                  <w:tcW w:w="736" w:type="dxa"/>
                  <w:vMerge w:val="continue"/>
                  <w:tcBorders>
                    <w:tl2br w:val="nil"/>
                    <w:tr2bl w:val="nil"/>
                  </w:tcBorders>
                  <w:shd w:val="clear" w:color="auto" w:fill="auto"/>
                  <w:tcMar>
                    <w:top w:w="36" w:type="dxa"/>
                    <w:left w:w="60" w:type="dxa"/>
                    <w:bottom w:w="36" w:type="dxa"/>
                    <w:right w:w="60" w:type="dxa"/>
                  </w:tcMar>
                  <w:vAlign w:val="center"/>
                </w:tcPr>
                <w:p w14:paraId="372D5FC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918" w:type="dxa"/>
                  <w:vMerge w:val="continue"/>
                  <w:tcBorders>
                    <w:tl2br w:val="nil"/>
                    <w:tr2bl w:val="nil"/>
                  </w:tcBorders>
                  <w:shd w:val="clear" w:color="auto" w:fill="auto"/>
                  <w:tcMar>
                    <w:top w:w="36" w:type="dxa"/>
                    <w:left w:w="60" w:type="dxa"/>
                    <w:bottom w:w="36" w:type="dxa"/>
                    <w:right w:w="60" w:type="dxa"/>
                  </w:tcMar>
                  <w:vAlign w:val="center"/>
                </w:tcPr>
                <w:p w14:paraId="46A8646F">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825" w:type="dxa"/>
                  <w:vMerge w:val="continue"/>
                  <w:tcBorders>
                    <w:tl2br w:val="nil"/>
                    <w:tr2bl w:val="nil"/>
                  </w:tcBorders>
                  <w:shd w:val="clear" w:color="auto" w:fill="auto"/>
                  <w:tcMar>
                    <w:top w:w="36" w:type="dxa"/>
                    <w:left w:w="60" w:type="dxa"/>
                    <w:bottom w:w="36" w:type="dxa"/>
                    <w:right w:w="60" w:type="dxa"/>
                  </w:tcMar>
                  <w:vAlign w:val="center"/>
                </w:tcPr>
                <w:p w14:paraId="60C9B876">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c>
                <w:tcPr>
                  <w:tcW w:w="2100" w:type="dxa"/>
                  <w:vMerge w:val="continue"/>
                  <w:tcBorders>
                    <w:right w:val="single" w:color="auto" w:sz="4" w:space="0"/>
                    <w:tl2br w:val="nil"/>
                    <w:tr2bl w:val="nil"/>
                  </w:tcBorders>
                  <w:shd w:val="clear" w:color="auto" w:fill="auto"/>
                  <w:tcMar>
                    <w:top w:w="36" w:type="dxa"/>
                    <w:left w:w="60" w:type="dxa"/>
                    <w:bottom w:w="36" w:type="dxa"/>
                    <w:right w:w="60" w:type="dxa"/>
                  </w:tcMar>
                  <w:vAlign w:val="center"/>
                </w:tcPr>
                <w:p w14:paraId="764FA0F2">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p>
              </w:tc>
            </w:tr>
            <w:tr w14:paraId="7AF0901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50" w:hRule="atLeast"/>
                <w:jc w:val="center"/>
              </w:trPr>
              <w:tc>
                <w:tcPr>
                  <w:tcW w:w="821" w:type="dxa"/>
                  <w:tcBorders>
                    <w:left w:val="single" w:color="auto" w:sz="4" w:space="0"/>
                    <w:bottom w:val="single" w:color="auto" w:sz="4" w:space="0"/>
                    <w:tl2br w:val="nil"/>
                    <w:tr2bl w:val="nil"/>
                  </w:tcBorders>
                  <w:shd w:val="clear" w:color="auto" w:fill="FFFFFF"/>
                  <w:tcMar>
                    <w:top w:w="36" w:type="dxa"/>
                    <w:left w:w="60" w:type="dxa"/>
                    <w:bottom w:w="36" w:type="dxa"/>
                    <w:right w:w="60" w:type="dxa"/>
                  </w:tcMar>
                  <w:vAlign w:val="center"/>
                </w:tcPr>
                <w:p w14:paraId="7757E86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DW001</w:t>
                  </w:r>
                </w:p>
              </w:tc>
              <w:tc>
                <w:tcPr>
                  <w:tcW w:w="834" w:type="dxa"/>
                  <w:tcBorders>
                    <w:bottom w:val="single" w:color="auto" w:sz="4" w:space="0"/>
                    <w:tl2br w:val="nil"/>
                    <w:tr2bl w:val="nil"/>
                  </w:tcBorders>
                  <w:shd w:val="clear" w:color="auto" w:fill="FFFFFF"/>
                  <w:tcMar>
                    <w:top w:w="36" w:type="dxa"/>
                    <w:left w:w="60" w:type="dxa"/>
                    <w:bottom w:w="36" w:type="dxa"/>
                    <w:right w:w="60" w:type="dxa"/>
                  </w:tcMar>
                  <w:vAlign w:val="center"/>
                </w:tcPr>
                <w:p w14:paraId="75BD5CDB">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污水排放口</w:t>
                  </w:r>
                </w:p>
              </w:tc>
              <w:tc>
                <w:tcPr>
                  <w:tcW w:w="1113" w:type="dxa"/>
                  <w:tcBorders>
                    <w:bottom w:val="single" w:color="auto" w:sz="4" w:space="0"/>
                    <w:tl2br w:val="nil"/>
                    <w:tr2bl w:val="nil"/>
                  </w:tcBorders>
                  <w:shd w:val="clear" w:color="auto" w:fill="FFFFFF"/>
                  <w:tcMar>
                    <w:top w:w="36" w:type="dxa"/>
                    <w:left w:w="60" w:type="dxa"/>
                    <w:bottom w:w="36" w:type="dxa"/>
                    <w:right w:w="60" w:type="dxa"/>
                  </w:tcMar>
                  <w:vAlign w:val="center"/>
                </w:tcPr>
                <w:p w14:paraId="6D3C34D9">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rPr>
                    <w:t>118.577865</w:t>
                  </w:r>
                </w:p>
              </w:tc>
              <w:tc>
                <w:tcPr>
                  <w:tcW w:w="1042" w:type="dxa"/>
                  <w:tcBorders>
                    <w:bottom w:val="single" w:color="auto" w:sz="4" w:space="0"/>
                    <w:tl2br w:val="nil"/>
                    <w:tr2bl w:val="nil"/>
                  </w:tcBorders>
                  <w:shd w:val="clear" w:color="auto" w:fill="FFFFFF"/>
                  <w:tcMar>
                    <w:top w:w="36" w:type="dxa"/>
                    <w:left w:w="60" w:type="dxa"/>
                    <w:bottom w:w="36" w:type="dxa"/>
                    <w:right w:w="60" w:type="dxa"/>
                  </w:tcMar>
                  <w:vAlign w:val="center"/>
                </w:tcPr>
                <w:p w14:paraId="5DC618C3">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31.177923</w:t>
                  </w:r>
                </w:p>
              </w:tc>
              <w:tc>
                <w:tcPr>
                  <w:tcW w:w="736" w:type="dxa"/>
                  <w:tcBorders>
                    <w:bottom w:val="single" w:color="auto" w:sz="4" w:space="0"/>
                    <w:tl2br w:val="nil"/>
                    <w:tr2bl w:val="nil"/>
                  </w:tcBorders>
                  <w:shd w:val="clear" w:color="auto" w:fill="FFFFFF"/>
                  <w:tcMar>
                    <w:top w:w="36" w:type="dxa"/>
                    <w:left w:w="60" w:type="dxa"/>
                    <w:bottom w:w="36" w:type="dxa"/>
                    <w:right w:w="60" w:type="dxa"/>
                  </w:tcMar>
                  <w:vAlign w:val="center"/>
                </w:tcPr>
                <w:p w14:paraId="7BB60AC1">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进入芜湖县新芜开发区城东污水处理厂</w:t>
                  </w:r>
                </w:p>
              </w:tc>
              <w:tc>
                <w:tcPr>
                  <w:tcW w:w="918" w:type="dxa"/>
                  <w:tcBorders>
                    <w:bottom w:val="single" w:color="auto" w:sz="4" w:space="0"/>
                    <w:tl2br w:val="nil"/>
                    <w:tr2bl w:val="nil"/>
                  </w:tcBorders>
                  <w:shd w:val="clear" w:color="auto" w:fill="FFFFFF"/>
                  <w:tcMar>
                    <w:top w:w="36" w:type="dxa"/>
                    <w:left w:w="60" w:type="dxa"/>
                    <w:bottom w:w="36" w:type="dxa"/>
                    <w:right w:w="60" w:type="dxa"/>
                  </w:tcMar>
                  <w:vAlign w:val="center"/>
                </w:tcPr>
                <w:p w14:paraId="22E1B5D2">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间断排放，排放期间流量不稳定且无规律，但不属于冲击型排放</w:t>
                  </w:r>
                </w:p>
              </w:tc>
              <w:tc>
                <w:tcPr>
                  <w:tcW w:w="825" w:type="dxa"/>
                  <w:tcBorders>
                    <w:bottom w:val="single" w:color="auto" w:sz="4" w:space="0"/>
                    <w:tl2br w:val="nil"/>
                    <w:tr2bl w:val="nil"/>
                  </w:tcBorders>
                  <w:shd w:val="clear" w:color="auto" w:fill="FFFFFF"/>
                  <w:tcMar>
                    <w:top w:w="36" w:type="dxa"/>
                    <w:left w:w="60" w:type="dxa"/>
                    <w:bottom w:w="36" w:type="dxa"/>
                    <w:right w:w="60" w:type="dxa"/>
                  </w:tcMar>
                  <w:vAlign w:val="center"/>
                </w:tcPr>
                <w:p w14:paraId="6B3D2B1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生产时</w:t>
                  </w:r>
                </w:p>
              </w:tc>
              <w:tc>
                <w:tcPr>
                  <w:tcW w:w="2100" w:type="dxa"/>
                  <w:tcBorders>
                    <w:bottom w:val="single" w:color="auto" w:sz="4" w:space="0"/>
                    <w:right w:val="single" w:color="auto" w:sz="4" w:space="0"/>
                    <w:tl2br w:val="nil"/>
                    <w:tr2bl w:val="nil"/>
                  </w:tcBorders>
                  <w:shd w:val="clear" w:color="auto" w:fill="FFFFFF"/>
                  <w:tcMar>
                    <w:top w:w="36" w:type="dxa"/>
                    <w:left w:w="60" w:type="dxa"/>
                    <w:bottom w:w="36" w:type="dxa"/>
                    <w:right w:w="60" w:type="dxa"/>
                  </w:tcMar>
                  <w:vAlign w:val="center"/>
                </w:tcPr>
                <w:p w14:paraId="4077A870">
                  <w:pPr>
                    <w:keepNext w:val="0"/>
                    <w:keepLines w:val="0"/>
                    <w:suppressLineNumbers w:val="0"/>
                    <w:adjustRightInd w:val="0"/>
                    <w:spacing w:before="0" w:beforeAutospacing="0" w:after="0" w:afterAutospacing="0" w:line="320" w:lineRule="exact"/>
                    <w:ind w:left="0" w:right="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kern w:val="0"/>
                      <w:szCs w:val="21"/>
                      <w:highlight w:val="none"/>
                      <w:lang w:eastAsia="zh-CN" w:bidi="ar"/>
                    </w:rPr>
                    <w:t>《污水综合排放标准》（GB8978-1996）表4中三级标准</w:t>
                  </w:r>
                </w:p>
              </w:tc>
            </w:tr>
          </w:tbl>
          <w:p w14:paraId="7EED86E3">
            <w:pPr>
              <w:keepNext w:val="0"/>
              <w:keepLines w:val="0"/>
              <w:suppressLineNumbers w:val="0"/>
              <w:spacing w:before="120" w:beforeLines="50" w:beforeAutospacing="0" w:after="0" w:afterAutospacing="0"/>
              <w:ind w:left="0" w:right="0"/>
              <w:jc w:val="center"/>
              <w:rPr>
                <w:rFonts w:hint="default" w:ascii="Times New Roman" w:hAnsi="Times New Roman" w:cs="Times New Roman"/>
                <w:b/>
                <w:color w:val="auto"/>
                <w:sz w:val="24"/>
                <w:highlight w:val="none"/>
                <w:lang w:bidi="ar"/>
              </w:rPr>
            </w:pPr>
            <w:r>
              <w:rPr>
                <w:rFonts w:hint="default" w:ascii="Times New Roman" w:hAnsi="Times New Roman" w:cs="Times New Roman"/>
                <w:b/>
                <w:color w:val="auto"/>
                <w:kern w:val="0"/>
                <w:sz w:val="24"/>
                <w:highlight w:val="none"/>
              </w:rPr>
              <w:t>表4-</w:t>
            </w:r>
            <w:r>
              <w:rPr>
                <w:rFonts w:hint="eastAsia" w:cs="Times New Roman"/>
                <w:b/>
                <w:color w:val="auto"/>
                <w:kern w:val="0"/>
                <w:sz w:val="24"/>
                <w:highlight w:val="none"/>
                <w:lang w:val="en-US" w:eastAsia="zh-CN"/>
              </w:rPr>
              <w:t>24</w:t>
            </w:r>
            <w:r>
              <w:rPr>
                <w:rFonts w:hint="default" w:ascii="Times New Roman" w:hAnsi="Times New Roman" w:cs="Times New Roman"/>
                <w:b/>
                <w:color w:val="auto"/>
                <w:kern w:val="0"/>
                <w:sz w:val="24"/>
                <w:highlight w:val="none"/>
              </w:rPr>
              <w:t xml:space="preserve">  废水排放达标分析表  单位：mg/m</w:t>
            </w:r>
            <w:r>
              <w:rPr>
                <w:rFonts w:hint="default" w:ascii="Times New Roman" w:hAnsi="Times New Roman" w:cs="Times New Roman"/>
                <w:b/>
                <w:color w:val="auto"/>
                <w:sz w:val="24"/>
                <w:highlight w:val="none"/>
                <w:vertAlign w:val="superscript"/>
                <w:lang w:bidi="ar"/>
              </w:rPr>
              <w:t>3</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114"/>
              <w:gridCol w:w="1323"/>
              <w:gridCol w:w="1150"/>
              <w:gridCol w:w="3522"/>
              <w:gridCol w:w="1271"/>
            </w:tblGrid>
            <w:tr w14:paraId="059C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99" w:hRule="atLeast"/>
                <w:jc w:val="center"/>
              </w:trPr>
              <w:tc>
                <w:tcPr>
                  <w:tcW w:w="664" w:type="pct"/>
                  <w:vAlign w:val="center"/>
                </w:tcPr>
                <w:p w14:paraId="184DF055">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排放口</w:t>
                  </w:r>
                </w:p>
              </w:tc>
              <w:tc>
                <w:tcPr>
                  <w:tcW w:w="789" w:type="pct"/>
                  <w:vAlign w:val="center"/>
                </w:tcPr>
                <w:p w14:paraId="607CF2CC">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污染物</w:t>
                  </w:r>
                </w:p>
              </w:tc>
              <w:tc>
                <w:tcPr>
                  <w:tcW w:w="686" w:type="pct"/>
                  <w:vAlign w:val="center"/>
                </w:tcPr>
                <w:p w14:paraId="636C1188">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预测</w:t>
                  </w:r>
                </w:p>
                <w:p w14:paraId="084E8664">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排放浓度</w:t>
                  </w:r>
                </w:p>
              </w:tc>
              <w:tc>
                <w:tcPr>
                  <w:tcW w:w="2101" w:type="pct"/>
                  <w:vAlign w:val="center"/>
                </w:tcPr>
                <w:p w14:paraId="50BCD8B6">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bCs/>
                      <w:color w:val="auto"/>
                      <w:kern w:val="0"/>
                      <w:szCs w:val="21"/>
                      <w:highlight w:val="none"/>
                      <w:lang w:eastAsia="zh-CN" w:bidi="ar"/>
                    </w:rPr>
                    <w:t>《污水综合排放标准》（GB8978-1996）表4中三级标准</w:t>
                  </w:r>
                </w:p>
              </w:tc>
              <w:tc>
                <w:tcPr>
                  <w:tcW w:w="758" w:type="pct"/>
                  <w:vAlign w:val="center"/>
                </w:tcPr>
                <w:p w14:paraId="7E91E063">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达标</w:t>
                  </w:r>
                </w:p>
                <w:p w14:paraId="0E75ED77">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bidi="ar"/>
                    </w:rPr>
                    <w:t>情况</w:t>
                  </w:r>
                </w:p>
              </w:tc>
            </w:tr>
            <w:tr w14:paraId="70F78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64" w:type="pct"/>
                  <w:vMerge w:val="restart"/>
                  <w:vAlign w:val="center"/>
                </w:tcPr>
                <w:p w14:paraId="0FAFFD18">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DW001</w:t>
                  </w:r>
                </w:p>
              </w:tc>
              <w:tc>
                <w:tcPr>
                  <w:tcW w:w="789" w:type="pct"/>
                  <w:vAlign w:val="center"/>
                </w:tcPr>
                <w:p w14:paraId="3F83D02A">
                  <w:pPr>
                    <w:pStyle w:val="57"/>
                    <w:keepNext w:val="0"/>
                    <w:keepLines w:val="0"/>
                    <w:widowControl w:val="0"/>
                    <w:suppressLineNumbers w:val="0"/>
                    <w:spacing w:before="0" w:beforeAutospacing="0" w:after="0" w:afterAutospacing="0" w:line="360" w:lineRule="exact"/>
                    <w:ind w:left="0" w:right="0"/>
                    <w:jc w:val="center"/>
                    <w:rPr>
                      <w:rFonts w:hint="default" w:ascii="Times New Roman" w:hAnsi="Times New Roman" w:cs="Times New Roman"/>
                      <w:bCs/>
                      <w:color w:val="auto"/>
                      <w:kern w:val="2"/>
                      <w:sz w:val="21"/>
                      <w:szCs w:val="21"/>
                      <w:highlight w:val="none"/>
                      <w:lang w:bidi="ar"/>
                    </w:rPr>
                  </w:pPr>
                  <w:r>
                    <w:rPr>
                      <w:rFonts w:hint="default" w:ascii="Times New Roman" w:hAnsi="Times New Roman" w:cs="Times New Roman"/>
                      <w:bCs/>
                      <w:color w:val="auto"/>
                      <w:kern w:val="2"/>
                      <w:sz w:val="21"/>
                      <w:szCs w:val="21"/>
                      <w:highlight w:val="none"/>
                      <w:lang w:bidi="ar"/>
                    </w:rPr>
                    <w:t>pH</w:t>
                  </w:r>
                </w:p>
              </w:tc>
              <w:tc>
                <w:tcPr>
                  <w:tcW w:w="686" w:type="pct"/>
                  <w:vAlign w:val="center"/>
                </w:tcPr>
                <w:p w14:paraId="5417FE3E">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bidi="ar"/>
                    </w:rPr>
                    <w:t>6~9</w:t>
                  </w:r>
                </w:p>
              </w:tc>
              <w:tc>
                <w:tcPr>
                  <w:tcW w:w="2101" w:type="pct"/>
                  <w:shd w:val="clear" w:color="auto" w:fill="auto"/>
                  <w:vAlign w:val="center"/>
                </w:tcPr>
                <w:p w14:paraId="6CC64F0C">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bCs/>
                      <w:color w:val="auto"/>
                      <w:kern w:val="2"/>
                      <w:sz w:val="21"/>
                      <w:szCs w:val="21"/>
                      <w:highlight w:val="none"/>
                      <w:lang w:val="en-US" w:eastAsia="zh-CN" w:bidi="ar"/>
                    </w:rPr>
                  </w:pPr>
                  <w:r>
                    <w:rPr>
                      <w:rFonts w:hint="default"/>
                      <w:bCs/>
                      <w:color w:val="auto"/>
                      <w:szCs w:val="21"/>
                      <w:highlight w:val="none"/>
                      <w:lang w:bidi="ar"/>
                    </w:rPr>
                    <w:t>≤6~9</w:t>
                  </w:r>
                </w:p>
              </w:tc>
              <w:tc>
                <w:tcPr>
                  <w:tcW w:w="758" w:type="pct"/>
                  <w:vAlign w:val="center"/>
                </w:tcPr>
                <w:p w14:paraId="0B22FFDB">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0122E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486BC64D">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vAlign w:val="center"/>
                </w:tcPr>
                <w:p w14:paraId="0045349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COD</w:t>
                  </w:r>
                </w:p>
              </w:tc>
              <w:tc>
                <w:tcPr>
                  <w:tcW w:w="686" w:type="pct"/>
                  <w:shd w:val="clear" w:color="auto" w:fill="auto"/>
                  <w:vAlign w:val="center"/>
                </w:tcPr>
                <w:p w14:paraId="6B4B05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226.578 </w:t>
                  </w:r>
                </w:p>
              </w:tc>
              <w:tc>
                <w:tcPr>
                  <w:tcW w:w="2101" w:type="pct"/>
                  <w:shd w:val="clear" w:color="auto" w:fill="auto"/>
                  <w:vAlign w:val="center"/>
                </w:tcPr>
                <w:p w14:paraId="19591A32">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bCs/>
                      <w:color w:val="auto"/>
                      <w:szCs w:val="21"/>
                      <w:highlight w:val="none"/>
                      <w:lang w:bidi="ar"/>
                    </w:rPr>
                    <w:t>≤500</w:t>
                  </w:r>
                </w:p>
              </w:tc>
              <w:tc>
                <w:tcPr>
                  <w:tcW w:w="758" w:type="pct"/>
                  <w:vAlign w:val="center"/>
                </w:tcPr>
                <w:p w14:paraId="04537048">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3E23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1A5F3093">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vAlign w:val="center"/>
                </w:tcPr>
                <w:p w14:paraId="7CCB03B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BOD</w:t>
                  </w:r>
                  <w:r>
                    <w:rPr>
                      <w:rFonts w:hint="default" w:ascii="Times New Roman" w:hAnsi="Times New Roman" w:cs="Times New Roman"/>
                      <w:color w:val="auto"/>
                      <w:szCs w:val="21"/>
                      <w:highlight w:val="none"/>
                      <w:vertAlign w:val="subscript"/>
                    </w:rPr>
                    <w:t>5</w:t>
                  </w:r>
                </w:p>
              </w:tc>
              <w:tc>
                <w:tcPr>
                  <w:tcW w:w="686" w:type="pct"/>
                  <w:shd w:val="clear" w:color="auto" w:fill="auto"/>
                  <w:vAlign w:val="center"/>
                </w:tcPr>
                <w:p w14:paraId="32213D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127.569 </w:t>
                  </w:r>
                </w:p>
              </w:tc>
              <w:tc>
                <w:tcPr>
                  <w:tcW w:w="2101" w:type="pct"/>
                  <w:shd w:val="clear" w:color="auto" w:fill="auto"/>
                  <w:vAlign w:val="center"/>
                </w:tcPr>
                <w:p w14:paraId="0EC5CDC4">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bCs/>
                      <w:color w:val="auto"/>
                      <w:kern w:val="2"/>
                      <w:sz w:val="21"/>
                      <w:szCs w:val="21"/>
                      <w:highlight w:val="none"/>
                      <w:lang w:val="en-US" w:eastAsia="zh-CN" w:bidi="ar"/>
                    </w:rPr>
                  </w:pPr>
                  <w:r>
                    <w:rPr>
                      <w:rFonts w:hint="default"/>
                      <w:bCs/>
                      <w:color w:val="auto"/>
                      <w:szCs w:val="21"/>
                      <w:highlight w:val="none"/>
                      <w:lang w:bidi="ar"/>
                    </w:rPr>
                    <w:t>≤300</w:t>
                  </w:r>
                </w:p>
              </w:tc>
              <w:tc>
                <w:tcPr>
                  <w:tcW w:w="758" w:type="pct"/>
                  <w:vAlign w:val="center"/>
                </w:tcPr>
                <w:p w14:paraId="410D8341">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381D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69C396D5">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vAlign w:val="center"/>
                </w:tcPr>
                <w:p w14:paraId="0B8B77A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SS</w:t>
                  </w:r>
                </w:p>
              </w:tc>
              <w:tc>
                <w:tcPr>
                  <w:tcW w:w="686" w:type="pct"/>
                  <w:shd w:val="clear" w:color="auto" w:fill="auto"/>
                  <w:vAlign w:val="center"/>
                </w:tcPr>
                <w:p w14:paraId="05BD76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87.334 </w:t>
                  </w:r>
                </w:p>
              </w:tc>
              <w:tc>
                <w:tcPr>
                  <w:tcW w:w="2101" w:type="pct"/>
                  <w:shd w:val="clear" w:color="auto" w:fill="auto"/>
                  <w:vAlign w:val="center"/>
                </w:tcPr>
                <w:p w14:paraId="708E88C6">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bCs/>
                      <w:color w:val="auto"/>
                      <w:szCs w:val="21"/>
                      <w:highlight w:val="none"/>
                      <w:lang w:bidi="ar"/>
                    </w:rPr>
                    <w:t>≤400</w:t>
                  </w:r>
                </w:p>
              </w:tc>
              <w:tc>
                <w:tcPr>
                  <w:tcW w:w="758" w:type="pct"/>
                  <w:vAlign w:val="center"/>
                </w:tcPr>
                <w:p w14:paraId="72B41805">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6B4D1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206EDECB">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vAlign w:val="center"/>
                </w:tcPr>
                <w:p w14:paraId="2A2EB88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p>
              </w:tc>
              <w:tc>
                <w:tcPr>
                  <w:tcW w:w="686" w:type="pct"/>
                  <w:shd w:val="clear" w:color="auto" w:fill="auto"/>
                  <w:vAlign w:val="center"/>
                </w:tcPr>
                <w:p w14:paraId="0D395E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28.033 </w:t>
                  </w:r>
                </w:p>
              </w:tc>
              <w:tc>
                <w:tcPr>
                  <w:tcW w:w="2101" w:type="pct"/>
                  <w:shd w:val="clear" w:color="auto" w:fill="auto"/>
                  <w:vAlign w:val="center"/>
                </w:tcPr>
                <w:p w14:paraId="05A66BCA">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bCs/>
                      <w:color w:val="auto"/>
                      <w:szCs w:val="21"/>
                      <w:highlight w:val="none"/>
                      <w:lang w:bidi="ar"/>
                    </w:rPr>
                    <w:t>/</w:t>
                  </w:r>
                </w:p>
              </w:tc>
              <w:tc>
                <w:tcPr>
                  <w:tcW w:w="758" w:type="pct"/>
                  <w:vAlign w:val="center"/>
                </w:tcPr>
                <w:p w14:paraId="531C65AB">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2CDB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146BB014">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vAlign w:val="center"/>
                </w:tcPr>
                <w:p w14:paraId="35BB377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TP</w:t>
                  </w:r>
                </w:p>
              </w:tc>
              <w:tc>
                <w:tcPr>
                  <w:tcW w:w="686" w:type="pct"/>
                  <w:shd w:val="clear" w:color="auto" w:fill="auto"/>
                  <w:vAlign w:val="center"/>
                </w:tcPr>
                <w:p w14:paraId="3DC5D7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2.722 </w:t>
                  </w:r>
                </w:p>
              </w:tc>
              <w:tc>
                <w:tcPr>
                  <w:tcW w:w="2101" w:type="pct"/>
                  <w:shd w:val="clear" w:color="auto" w:fill="auto"/>
                  <w:vAlign w:val="center"/>
                </w:tcPr>
                <w:p w14:paraId="50939F4A">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bCs/>
                      <w:color w:val="auto"/>
                      <w:szCs w:val="21"/>
                      <w:highlight w:val="none"/>
                      <w:lang w:bidi="ar"/>
                    </w:rPr>
                    <w:t>/</w:t>
                  </w:r>
                </w:p>
              </w:tc>
              <w:tc>
                <w:tcPr>
                  <w:tcW w:w="758" w:type="pct"/>
                  <w:vAlign w:val="center"/>
                </w:tcPr>
                <w:p w14:paraId="2FF089E2">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517B7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6516A9CD">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vAlign w:val="center"/>
                </w:tcPr>
                <w:p w14:paraId="201E0BD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TN</w:t>
                  </w:r>
                </w:p>
              </w:tc>
              <w:tc>
                <w:tcPr>
                  <w:tcW w:w="686" w:type="pct"/>
                  <w:shd w:val="clear" w:color="auto" w:fill="auto"/>
                  <w:vAlign w:val="center"/>
                </w:tcPr>
                <w:p w14:paraId="60A254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42.898 </w:t>
                  </w:r>
                </w:p>
              </w:tc>
              <w:tc>
                <w:tcPr>
                  <w:tcW w:w="2101" w:type="pct"/>
                  <w:shd w:val="clear" w:color="auto" w:fill="auto"/>
                  <w:vAlign w:val="center"/>
                </w:tcPr>
                <w:p w14:paraId="76065C40">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bCs/>
                      <w:color w:val="auto"/>
                      <w:kern w:val="2"/>
                      <w:sz w:val="21"/>
                      <w:szCs w:val="21"/>
                      <w:highlight w:val="none"/>
                      <w:lang w:val="en-US" w:eastAsia="zh-CN" w:bidi="ar"/>
                    </w:rPr>
                  </w:pPr>
                  <w:r>
                    <w:rPr>
                      <w:rFonts w:hint="default"/>
                      <w:bCs/>
                      <w:color w:val="auto"/>
                      <w:szCs w:val="21"/>
                      <w:highlight w:val="none"/>
                      <w:lang w:bidi="ar"/>
                    </w:rPr>
                    <w:t>/</w:t>
                  </w:r>
                </w:p>
              </w:tc>
              <w:tc>
                <w:tcPr>
                  <w:tcW w:w="758" w:type="pct"/>
                  <w:vAlign w:val="center"/>
                </w:tcPr>
                <w:p w14:paraId="362295F5">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5DB36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2086B2EB">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shd w:val="clear" w:color="auto" w:fill="auto"/>
                  <w:vAlign w:val="center"/>
                </w:tcPr>
                <w:p w14:paraId="570F82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LAS</w:t>
                  </w:r>
                </w:p>
              </w:tc>
              <w:tc>
                <w:tcPr>
                  <w:tcW w:w="686" w:type="pct"/>
                  <w:shd w:val="clear" w:color="auto" w:fill="auto"/>
                  <w:vAlign w:val="center"/>
                </w:tcPr>
                <w:p w14:paraId="74EEFE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3.454 </w:t>
                  </w:r>
                </w:p>
              </w:tc>
              <w:tc>
                <w:tcPr>
                  <w:tcW w:w="2101" w:type="pct"/>
                  <w:shd w:val="clear" w:color="auto" w:fill="auto"/>
                  <w:vAlign w:val="center"/>
                </w:tcPr>
                <w:p w14:paraId="2D40AC7C">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bCs/>
                      <w:color w:val="auto"/>
                      <w:kern w:val="2"/>
                      <w:sz w:val="21"/>
                      <w:szCs w:val="21"/>
                      <w:highlight w:val="none"/>
                      <w:lang w:val="en-US" w:eastAsia="zh-CN" w:bidi="ar"/>
                    </w:rPr>
                  </w:pPr>
                  <w:r>
                    <w:rPr>
                      <w:rFonts w:hint="default"/>
                      <w:bCs/>
                      <w:color w:val="auto"/>
                      <w:szCs w:val="21"/>
                      <w:highlight w:val="none"/>
                      <w:lang w:bidi="ar"/>
                    </w:rPr>
                    <w:t>20</w:t>
                  </w:r>
                </w:p>
              </w:tc>
              <w:tc>
                <w:tcPr>
                  <w:tcW w:w="758" w:type="pct"/>
                  <w:vAlign w:val="center"/>
                </w:tcPr>
                <w:p w14:paraId="4B6E7EEE">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r w14:paraId="7DC23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79ADFC68">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color w:val="auto"/>
                      <w:szCs w:val="21"/>
                      <w:highlight w:val="none"/>
                    </w:rPr>
                  </w:pPr>
                </w:p>
              </w:tc>
              <w:tc>
                <w:tcPr>
                  <w:tcW w:w="789" w:type="pct"/>
                  <w:shd w:val="clear" w:color="auto" w:fill="auto"/>
                  <w:vAlign w:val="center"/>
                </w:tcPr>
                <w:p w14:paraId="7EDF94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
                    </w:rPr>
                  </w:pPr>
                  <w:r>
                    <w:rPr>
                      <w:rFonts w:hint="default"/>
                      <w:color w:val="auto"/>
                      <w:szCs w:val="21"/>
                      <w:highlight w:val="none"/>
                      <w:lang w:bidi="ar"/>
                    </w:rPr>
                    <w:t>石油类</w:t>
                  </w:r>
                </w:p>
              </w:tc>
              <w:tc>
                <w:tcPr>
                  <w:tcW w:w="686" w:type="pct"/>
                  <w:shd w:val="clear" w:color="auto" w:fill="auto"/>
                  <w:vAlign w:val="center"/>
                </w:tcPr>
                <w:p w14:paraId="75401E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1.226 </w:t>
                  </w:r>
                </w:p>
              </w:tc>
              <w:tc>
                <w:tcPr>
                  <w:tcW w:w="2101" w:type="pct"/>
                  <w:shd w:val="clear" w:color="auto" w:fill="auto"/>
                  <w:vAlign w:val="center"/>
                </w:tcPr>
                <w:p w14:paraId="51A7145D">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eastAsia="宋体" w:cs="Times New Roman"/>
                      <w:bCs/>
                      <w:color w:val="auto"/>
                      <w:kern w:val="2"/>
                      <w:sz w:val="21"/>
                      <w:szCs w:val="21"/>
                      <w:highlight w:val="none"/>
                      <w:lang w:val="en-US" w:eastAsia="zh-CN" w:bidi="ar"/>
                    </w:rPr>
                  </w:pPr>
                  <w:r>
                    <w:rPr>
                      <w:rFonts w:hint="default"/>
                      <w:bCs/>
                      <w:color w:val="auto"/>
                      <w:szCs w:val="21"/>
                      <w:highlight w:val="none"/>
                      <w:lang w:bidi="ar"/>
                    </w:rPr>
                    <w:t>20</w:t>
                  </w:r>
                </w:p>
              </w:tc>
              <w:tc>
                <w:tcPr>
                  <w:tcW w:w="758" w:type="pct"/>
                  <w:vAlign w:val="center"/>
                </w:tcPr>
                <w:p w14:paraId="443963DC">
                  <w:pPr>
                    <w:keepNext w:val="0"/>
                    <w:keepLines w:val="0"/>
                    <w:suppressLineNumbers w:val="0"/>
                    <w:autoSpaceDE w:val="0"/>
                    <w:spacing w:before="0" w:beforeAutospacing="0" w:after="0" w:afterAutospacing="0" w:line="36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达标</w:t>
                  </w:r>
                </w:p>
              </w:tc>
            </w:tr>
          </w:tbl>
          <w:p w14:paraId="0BA0989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由上表可知：项目市政污水管网接管后，外排生活污水</w:t>
            </w:r>
            <w:r>
              <w:rPr>
                <w:rFonts w:hint="eastAsia" w:cs="Times New Roman"/>
                <w:color w:val="auto"/>
                <w:sz w:val="24"/>
                <w:highlight w:val="none"/>
                <w:lang w:val="en-US" w:eastAsia="zh-CN"/>
              </w:rPr>
              <w:t>和生产废水</w:t>
            </w:r>
            <w:r>
              <w:rPr>
                <w:rFonts w:hint="default" w:ascii="Times New Roman" w:hAnsi="Times New Roman" w:cs="Times New Roman"/>
                <w:color w:val="auto"/>
                <w:sz w:val="24"/>
                <w:highlight w:val="none"/>
              </w:rPr>
              <w:t>水质能满足</w:t>
            </w:r>
            <w:r>
              <w:rPr>
                <w:rFonts w:hint="default" w:ascii="Times New Roman" w:hAnsi="Times New Roman" w:cs="Times New Roman"/>
                <w:color w:val="auto"/>
                <w:sz w:val="24"/>
                <w:highlight w:val="none"/>
                <w:lang w:eastAsia="zh-CN"/>
              </w:rPr>
              <w:t>《污水综合排放标准》（GB8978-1996）表4中三级标准</w:t>
            </w:r>
            <w:r>
              <w:rPr>
                <w:rFonts w:hint="default" w:ascii="Times New Roman" w:hAnsi="Times New Roman" w:cs="Times New Roman"/>
                <w:color w:val="auto"/>
                <w:sz w:val="24"/>
                <w:highlight w:val="none"/>
              </w:rPr>
              <w:t>。</w:t>
            </w:r>
          </w:p>
          <w:p w14:paraId="59EDA84D">
            <w:pPr>
              <w:keepNext w:val="0"/>
              <w:keepLines w:val="0"/>
              <w:suppressLineNumbers w:val="0"/>
              <w:autoSpaceDE w:val="0"/>
              <w:spacing w:before="0" w:beforeAutospacing="0" w:after="0" w:afterAutospacing="0" w:line="360" w:lineRule="auto"/>
              <w:ind w:left="0" w:right="0" w:firstLine="482" w:firstLineChars="200"/>
              <w:rPr>
                <w:rFonts w:hint="default" w:ascii="Times New Roman" w:hAnsi="Times New Roman" w:cs="Times New Roman"/>
                <w:b/>
                <w:bCs/>
                <w:color w:val="auto"/>
                <w:kern w:val="0"/>
                <w:sz w:val="24"/>
                <w:highlight w:val="none"/>
                <w:lang w:bidi="ar"/>
              </w:rPr>
            </w:pPr>
            <w:r>
              <w:rPr>
                <w:rFonts w:hint="default" w:ascii="Times New Roman" w:hAnsi="Times New Roman" w:cs="Times New Roman"/>
                <w:b/>
                <w:bCs/>
                <w:color w:val="auto"/>
                <w:kern w:val="0"/>
                <w:sz w:val="24"/>
                <w:highlight w:val="none"/>
                <w:lang w:bidi="ar"/>
              </w:rPr>
              <w:t>（2）污染防治措施可行性分析</w:t>
            </w:r>
          </w:p>
          <w:p w14:paraId="2FCC8E86">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sz w:val="24"/>
                <w:highlight w:val="none"/>
              </w:rPr>
              <w:t>1）厂区生活污水处理工艺及可行性分析</w:t>
            </w:r>
          </w:p>
          <w:p w14:paraId="5BF57CC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1"/>
                <w:sz w:val="24"/>
                <w:highlight w:val="none"/>
                <w:lang w:bidi="ar"/>
              </w:rPr>
              <w:t>市政</w:t>
            </w:r>
            <w:r>
              <w:rPr>
                <w:rFonts w:hint="default" w:ascii="Times New Roman" w:hAnsi="Times New Roman" w:cs="Times New Roman"/>
                <w:color w:val="auto"/>
                <w:kern w:val="0"/>
                <w:sz w:val="24"/>
                <w:highlight w:val="none"/>
                <w:lang w:bidi="ar"/>
              </w:rPr>
              <w:t>污水管网接管后：根据《排污许可证申请与核发技术规范 总则》（HJ942—2018），生活污水治理可行技术为“隔油池、化粪池、调节池、厌氧-好氧、兼性-好氧、好氧生物处理”。</w:t>
            </w:r>
          </w:p>
          <w:p w14:paraId="4C8EF60C">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本项目不设置食堂，生活污水中无动植物油产生，无需设置隔油池，项目生活污水采用化粪池处理，属于可行技术。</w:t>
            </w:r>
            <w:r>
              <w:rPr>
                <w:rFonts w:hint="default" w:ascii="Times New Roman" w:hAnsi="Times New Roman" w:cs="Times New Roman"/>
                <w:color w:val="auto"/>
                <w:sz w:val="24"/>
                <w:highlight w:val="none"/>
              </w:rPr>
              <w:t>本项目生活污水产生量为</w:t>
            </w:r>
            <w:r>
              <w:rPr>
                <w:rFonts w:hint="eastAsia" w:cs="Times New Roman"/>
                <w:color w:val="auto"/>
                <w:sz w:val="24"/>
                <w:highlight w:val="none"/>
                <w:lang w:val="en-US" w:eastAsia="zh-CN"/>
              </w:rPr>
              <w:t>4.8</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/d，外排废水量较小，生活污水经化粪池预处理，项目化粪池设计之初已充分考虑项目废</w:t>
            </w:r>
            <w:r>
              <w:rPr>
                <w:rFonts w:hint="default" w:ascii="Times New Roman" w:hAnsi="Times New Roman" w:cs="Times New Roman"/>
                <w:color w:val="auto"/>
                <w:kern w:val="0"/>
                <w:sz w:val="24"/>
                <w:highlight w:val="none"/>
                <w:lang w:bidi="ar"/>
              </w:rPr>
              <w:t>水量及停留时间24h要求，完全可以接纳本项目产生的生活污水。</w:t>
            </w:r>
          </w:p>
          <w:p w14:paraId="39D531ED">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2）厂区</w:t>
            </w:r>
            <w:r>
              <w:rPr>
                <w:rFonts w:hint="default"/>
                <w:color w:val="000000" w:themeColor="text1"/>
                <w:kern w:val="0"/>
                <w:sz w:val="24"/>
                <w:lang w:bidi="ar"/>
                <w14:textFill>
                  <w14:solidFill>
                    <w14:schemeClr w14:val="tx1"/>
                  </w14:solidFill>
                </w14:textFill>
              </w:rPr>
              <w:t>纯水制备浓水</w:t>
            </w:r>
            <w:r>
              <w:rPr>
                <w:rFonts w:hint="default" w:ascii="Times New Roman" w:hAnsi="Times New Roman" w:cs="Times New Roman"/>
                <w:color w:val="auto"/>
                <w:kern w:val="0"/>
                <w:sz w:val="24"/>
                <w:highlight w:val="none"/>
                <w:lang w:bidi="ar"/>
              </w:rPr>
              <w:t>处理工艺及可行性分析</w:t>
            </w:r>
          </w:p>
          <w:p w14:paraId="281C328C">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lang w:bidi="ar"/>
              </w:rPr>
            </w:pPr>
            <w:r>
              <w:rPr>
                <w:rFonts w:hint="default"/>
                <w:color w:val="000000" w:themeColor="text1"/>
                <w:kern w:val="0"/>
                <w:sz w:val="24"/>
                <w:lang w:bidi="ar"/>
                <w14:textFill>
                  <w14:solidFill>
                    <w14:schemeClr w14:val="tx1"/>
                  </w14:solidFill>
                </w14:textFill>
              </w:rPr>
              <w:t>纯水制备浓水</w:t>
            </w:r>
            <w:r>
              <w:rPr>
                <w:rFonts w:hint="default" w:ascii="Times New Roman" w:hAnsi="Times New Roman" w:cs="Times New Roman"/>
                <w:color w:val="auto"/>
                <w:kern w:val="0"/>
                <w:sz w:val="24"/>
                <w:highlight w:val="none"/>
                <w:lang w:bidi="ar"/>
              </w:rPr>
              <w:t>pH 呈中性，水质较清洁，该类废水中主要污染物为: pH（6~9）、SS（50mg/L）、</w:t>
            </w:r>
            <w:r>
              <w:rPr>
                <w:rFonts w:hint="eastAsia" w:ascii="Times New Roman" w:hAnsi="Times New Roman" w:cs="Times New Roman"/>
                <w:color w:val="auto"/>
                <w:kern w:val="0"/>
                <w:sz w:val="24"/>
                <w:highlight w:val="none"/>
                <w:lang w:val="en-US" w:eastAsia="zh-CN" w:bidi="ar"/>
              </w:rPr>
              <w:t>COD</w:t>
            </w:r>
            <w:r>
              <w:rPr>
                <w:rFonts w:hint="default" w:ascii="Times New Roman" w:hAnsi="Times New Roman" w:cs="Times New Roman"/>
                <w:color w:val="auto"/>
                <w:kern w:val="0"/>
                <w:sz w:val="24"/>
                <w:highlight w:val="none"/>
                <w:lang w:bidi="ar"/>
              </w:rPr>
              <w:t>（50mg/L），属于清净下水，可循环使用不外排。</w:t>
            </w:r>
          </w:p>
          <w:p w14:paraId="5C65A3AA">
            <w:pPr>
              <w:keepNext w:val="0"/>
              <w:keepLines w:val="0"/>
              <w:suppressLineNumbers w:val="0"/>
              <w:spacing w:before="0" w:beforeAutospacing="0" w:after="0" w:afterAutospacing="0" w:line="360" w:lineRule="auto"/>
              <w:ind w:left="0" w:right="0" w:firstLine="480" w:firstLineChars="200"/>
              <w:jc w:val="left"/>
              <w:rPr>
                <w:rFonts w:hint="default"/>
                <w:color w:val="auto"/>
                <w:kern w:val="0"/>
                <w:sz w:val="24"/>
                <w:highlight w:val="none"/>
                <w:lang w:bidi="ar"/>
              </w:rPr>
            </w:pPr>
            <w:r>
              <w:rPr>
                <w:rFonts w:hint="eastAsia" w:cs="Times New Roman"/>
                <w:color w:val="auto"/>
                <w:kern w:val="0"/>
                <w:sz w:val="24"/>
                <w:highlight w:val="none"/>
                <w:lang w:val="en-US" w:eastAsia="zh-CN" w:bidi="ar"/>
              </w:rPr>
              <w:t>3</w:t>
            </w:r>
            <w:r>
              <w:rPr>
                <w:rFonts w:hint="default" w:ascii="Times New Roman" w:hAnsi="Times New Roman" w:cs="Times New Roman"/>
                <w:color w:val="auto"/>
                <w:kern w:val="0"/>
                <w:sz w:val="24"/>
                <w:highlight w:val="none"/>
                <w:lang w:bidi="ar"/>
              </w:rPr>
              <w:t>）</w:t>
            </w:r>
            <w:r>
              <w:rPr>
                <w:rFonts w:hint="default"/>
                <w:color w:val="auto"/>
                <w:kern w:val="0"/>
                <w:sz w:val="24"/>
                <w:highlight w:val="none"/>
                <w:lang w:bidi="ar"/>
              </w:rPr>
              <w:t>污水处理站（</w:t>
            </w:r>
            <w:r>
              <w:rPr>
                <w:rFonts w:hint="default"/>
                <w:color w:val="auto"/>
                <w:sz w:val="24"/>
                <w:highlight w:val="none"/>
              </w:rPr>
              <w:t>隔油</w:t>
            </w:r>
            <w:r>
              <w:rPr>
                <w:rFonts w:hint="eastAsia"/>
                <w:color w:val="auto"/>
                <w:sz w:val="24"/>
                <w:highlight w:val="none"/>
                <w:lang w:val="en-US" w:eastAsia="zh-CN"/>
              </w:rPr>
              <w:t>池</w:t>
            </w:r>
            <w:r>
              <w:rPr>
                <w:rFonts w:hint="default"/>
                <w:color w:val="auto"/>
                <w:sz w:val="24"/>
                <w:highlight w:val="none"/>
              </w:rPr>
              <w:t>+</w:t>
            </w:r>
            <w:r>
              <w:rPr>
                <w:rFonts w:hint="eastAsia"/>
                <w:color w:val="auto"/>
                <w:sz w:val="24"/>
                <w:highlight w:val="none"/>
                <w:lang w:val="en-US" w:eastAsia="zh-CN"/>
              </w:rPr>
              <w:t>调节池</w:t>
            </w:r>
            <w:r>
              <w:rPr>
                <w:rFonts w:hint="default"/>
                <w:color w:val="auto"/>
                <w:sz w:val="24"/>
                <w:highlight w:val="none"/>
              </w:rPr>
              <w:t>+</w:t>
            </w:r>
            <w:r>
              <w:rPr>
                <w:rFonts w:hint="eastAsia"/>
                <w:color w:val="auto"/>
                <w:sz w:val="24"/>
                <w:highlight w:val="none"/>
                <w:lang w:val="en-US" w:eastAsia="zh-CN"/>
              </w:rPr>
              <w:t>混凝</w:t>
            </w:r>
            <w:r>
              <w:rPr>
                <w:rFonts w:hint="default"/>
                <w:color w:val="auto"/>
                <w:sz w:val="24"/>
                <w:highlight w:val="none"/>
              </w:rPr>
              <w:t>沉淀+</w:t>
            </w:r>
            <w:r>
              <w:rPr>
                <w:rFonts w:hint="eastAsia"/>
                <w:color w:val="auto"/>
                <w:sz w:val="24"/>
                <w:highlight w:val="none"/>
                <w:lang w:val="en-US" w:eastAsia="zh-CN"/>
              </w:rPr>
              <w:t>溶气气浮机</w:t>
            </w:r>
            <w:r>
              <w:rPr>
                <w:rFonts w:hint="default"/>
                <w:color w:val="auto"/>
                <w:kern w:val="0"/>
                <w:sz w:val="24"/>
                <w:highlight w:val="none"/>
                <w:lang w:bidi="ar"/>
              </w:rPr>
              <w:t>）可行性分析</w:t>
            </w:r>
          </w:p>
          <w:p w14:paraId="5AA29FF6">
            <w:pPr>
              <w:keepNext w:val="0"/>
              <w:keepLines w:val="0"/>
              <w:suppressLineNumbers w:val="0"/>
              <w:spacing w:before="0" w:beforeAutospacing="0" w:after="0" w:afterAutospacing="0" w:line="360" w:lineRule="auto"/>
              <w:ind w:left="0" w:right="0" w:firstLine="480" w:firstLineChars="200"/>
              <w:rPr>
                <w:rFonts w:hint="default"/>
                <w:bCs/>
                <w:color w:val="auto"/>
                <w:sz w:val="24"/>
                <w:highlight w:val="none"/>
              </w:rPr>
            </w:pPr>
            <w:r>
              <w:rPr>
                <w:rFonts w:hint="default"/>
                <w:color w:val="auto"/>
                <w:sz w:val="24"/>
                <w:highlight w:val="none"/>
              </w:rPr>
              <w:t>本项目</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w:t>
            </w:r>
            <w:r>
              <w:rPr>
                <w:rFonts w:hint="default"/>
                <w:color w:val="auto"/>
                <w:sz w:val="24"/>
                <w:highlight w:val="none"/>
              </w:rPr>
              <w:t>经污水处理站</w:t>
            </w:r>
            <w:r>
              <w:rPr>
                <w:rFonts w:hint="default"/>
                <w:color w:val="auto"/>
                <w:kern w:val="0"/>
                <w:sz w:val="24"/>
                <w:highlight w:val="none"/>
                <w:lang w:bidi="ar"/>
              </w:rPr>
              <w:t>（</w:t>
            </w:r>
            <w:r>
              <w:rPr>
                <w:rFonts w:hint="default"/>
                <w:color w:val="auto"/>
                <w:sz w:val="24"/>
                <w:highlight w:val="none"/>
              </w:rPr>
              <w:t>隔油</w:t>
            </w:r>
            <w:r>
              <w:rPr>
                <w:rFonts w:hint="eastAsia"/>
                <w:color w:val="auto"/>
                <w:sz w:val="24"/>
                <w:highlight w:val="none"/>
                <w:lang w:val="en-US" w:eastAsia="zh-CN"/>
              </w:rPr>
              <w:t>池</w:t>
            </w:r>
            <w:r>
              <w:rPr>
                <w:rFonts w:hint="default"/>
                <w:color w:val="auto"/>
                <w:sz w:val="24"/>
                <w:highlight w:val="none"/>
              </w:rPr>
              <w:t>+</w:t>
            </w:r>
            <w:r>
              <w:rPr>
                <w:rFonts w:hint="eastAsia"/>
                <w:color w:val="auto"/>
                <w:sz w:val="24"/>
                <w:highlight w:val="none"/>
                <w:lang w:val="en-US" w:eastAsia="zh-CN"/>
              </w:rPr>
              <w:t>调节池</w:t>
            </w:r>
            <w:r>
              <w:rPr>
                <w:rFonts w:hint="default"/>
                <w:color w:val="auto"/>
                <w:sz w:val="24"/>
                <w:highlight w:val="none"/>
              </w:rPr>
              <w:t>+</w:t>
            </w:r>
            <w:r>
              <w:rPr>
                <w:rFonts w:hint="eastAsia"/>
                <w:color w:val="auto"/>
                <w:sz w:val="24"/>
                <w:highlight w:val="none"/>
                <w:lang w:val="en-US" w:eastAsia="zh-CN"/>
              </w:rPr>
              <w:t>混凝</w:t>
            </w:r>
            <w:r>
              <w:rPr>
                <w:rFonts w:hint="default"/>
                <w:color w:val="auto"/>
                <w:sz w:val="24"/>
                <w:highlight w:val="none"/>
              </w:rPr>
              <w:t>沉淀+</w:t>
            </w:r>
            <w:r>
              <w:rPr>
                <w:rFonts w:hint="eastAsia"/>
                <w:color w:val="auto"/>
                <w:sz w:val="24"/>
                <w:highlight w:val="none"/>
                <w:lang w:val="en-US" w:eastAsia="zh-CN"/>
              </w:rPr>
              <w:t>溶气气浮机</w:t>
            </w:r>
            <w:r>
              <w:rPr>
                <w:rFonts w:hint="default"/>
                <w:color w:val="auto"/>
                <w:kern w:val="0"/>
                <w:sz w:val="24"/>
                <w:highlight w:val="none"/>
                <w:lang w:bidi="ar"/>
              </w:rPr>
              <w:t>）</w:t>
            </w:r>
            <w:r>
              <w:rPr>
                <w:rFonts w:hint="default"/>
                <w:color w:val="auto"/>
                <w:sz w:val="24"/>
                <w:highlight w:val="none"/>
              </w:rPr>
              <w:t>处理后接管市政污水管网排入芜湖县新芜开发区城东污水处理厂处理。</w:t>
            </w:r>
            <w:r>
              <w:rPr>
                <w:rFonts w:hint="default"/>
                <w:bCs/>
                <w:color w:val="auto"/>
                <w:sz w:val="24"/>
                <w:highlight w:val="none"/>
              </w:rPr>
              <w:t>根据本项目</w:t>
            </w:r>
            <w:r>
              <w:rPr>
                <w:rFonts w:hint="default"/>
                <w:color w:val="auto"/>
                <w:sz w:val="24"/>
                <w:highlight w:val="none"/>
              </w:rPr>
              <w:t>污水处理设施</w:t>
            </w:r>
            <w:r>
              <w:rPr>
                <w:rFonts w:hint="default"/>
                <w:bCs/>
                <w:color w:val="auto"/>
                <w:sz w:val="24"/>
                <w:highlight w:val="none"/>
              </w:rPr>
              <w:t>设计文件，设计处理能力为</w:t>
            </w:r>
            <w:r>
              <w:rPr>
                <w:rFonts w:hint="eastAsia"/>
                <w:bCs/>
                <w:color w:val="auto"/>
                <w:sz w:val="24"/>
                <w:highlight w:val="none"/>
                <w:lang w:val="en-US" w:eastAsia="zh-CN"/>
              </w:rPr>
              <w:t>5</w:t>
            </w:r>
            <w:r>
              <w:rPr>
                <w:rFonts w:hint="default"/>
                <w:bCs/>
                <w:color w:val="auto"/>
                <w:sz w:val="24"/>
                <w:highlight w:val="none"/>
              </w:rPr>
              <w:t>t/d，本项目进入污水处理站生产废水产生量为</w:t>
            </w:r>
            <w:r>
              <w:rPr>
                <w:rFonts w:hint="eastAsia"/>
                <w:bCs/>
                <w:color w:val="auto"/>
                <w:sz w:val="24"/>
                <w:highlight w:val="none"/>
                <w:lang w:val="en-US" w:eastAsia="zh-CN"/>
              </w:rPr>
              <w:t>3.2524</w:t>
            </w:r>
            <w:r>
              <w:rPr>
                <w:rFonts w:hint="default"/>
                <w:bCs/>
                <w:color w:val="auto"/>
                <w:sz w:val="24"/>
                <w:highlight w:val="none"/>
              </w:rPr>
              <w:t>t/d，尚有</w:t>
            </w:r>
            <w:r>
              <w:rPr>
                <w:rFonts w:hint="eastAsia"/>
                <w:bCs/>
                <w:color w:val="auto"/>
                <w:sz w:val="24"/>
                <w:highlight w:val="none"/>
                <w:lang w:val="en-US" w:eastAsia="zh-CN"/>
              </w:rPr>
              <w:t>1.7476</w:t>
            </w:r>
            <w:r>
              <w:rPr>
                <w:rFonts w:hint="default"/>
                <w:bCs/>
                <w:color w:val="auto"/>
                <w:sz w:val="24"/>
                <w:highlight w:val="none"/>
              </w:rPr>
              <w:t>t/d余量，因此污水处理站处理规模能够满足本项目的需求。</w:t>
            </w:r>
          </w:p>
          <w:p w14:paraId="2BDF76E9">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bCs/>
                <w:color w:val="auto"/>
                <w:sz w:val="24"/>
                <w:highlight w:val="none"/>
              </w:rPr>
              <w:t>根据污水产生来源及污水水质情况分析，处理工艺采用“</w:t>
            </w:r>
            <w:r>
              <w:rPr>
                <w:rFonts w:hint="default"/>
                <w:color w:val="auto"/>
                <w:sz w:val="24"/>
                <w:highlight w:val="none"/>
              </w:rPr>
              <w:t>隔油</w:t>
            </w:r>
            <w:r>
              <w:rPr>
                <w:rFonts w:hint="eastAsia"/>
                <w:color w:val="auto"/>
                <w:sz w:val="24"/>
                <w:highlight w:val="none"/>
                <w:lang w:val="en-US" w:eastAsia="zh-CN"/>
              </w:rPr>
              <w:t>池</w:t>
            </w:r>
            <w:r>
              <w:rPr>
                <w:rFonts w:hint="default"/>
                <w:color w:val="auto"/>
                <w:sz w:val="24"/>
                <w:highlight w:val="none"/>
              </w:rPr>
              <w:t>+</w:t>
            </w:r>
            <w:r>
              <w:rPr>
                <w:rFonts w:hint="eastAsia"/>
                <w:color w:val="auto"/>
                <w:sz w:val="24"/>
                <w:highlight w:val="none"/>
                <w:lang w:val="en-US" w:eastAsia="zh-CN"/>
              </w:rPr>
              <w:t>调节池</w:t>
            </w:r>
            <w:r>
              <w:rPr>
                <w:rFonts w:hint="default"/>
                <w:color w:val="auto"/>
                <w:sz w:val="24"/>
                <w:highlight w:val="none"/>
              </w:rPr>
              <w:t>+</w:t>
            </w:r>
            <w:r>
              <w:rPr>
                <w:rFonts w:hint="eastAsia"/>
                <w:color w:val="auto"/>
                <w:sz w:val="24"/>
                <w:highlight w:val="none"/>
                <w:lang w:val="en-US" w:eastAsia="zh-CN"/>
              </w:rPr>
              <w:t>混凝</w:t>
            </w:r>
            <w:r>
              <w:rPr>
                <w:rFonts w:hint="default"/>
                <w:color w:val="auto"/>
                <w:sz w:val="24"/>
                <w:highlight w:val="none"/>
              </w:rPr>
              <w:t>沉淀+</w:t>
            </w:r>
            <w:r>
              <w:rPr>
                <w:rFonts w:hint="eastAsia"/>
                <w:color w:val="auto"/>
                <w:sz w:val="24"/>
                <w:highlight w:val="none"/>
                <w:lang w:val="en-US" w:eastAsia="zh-CN"/>
              </w:rPr>
              <w:t>溶气气浮机</w:t>
            </w:r>
            <w:r>
              <w:rPr>
                <w:rFonts w:hint="default"/>
                <w:bCs/>
                <w:color w:val="auto"/>
                <w:sz w:val="24"/>
                <w:highlight w:val="none"/>
              </w:rPr>
              <w:t>”</w:t>
            </w:r>
            <w:r>
              <w:rPr>
                <w:rFonts w:hint="default"/>
                <w:color w:val="auto"/>
                <w:sz w:val="24"/>
                <w:highlight w:val="none"/>
              </w:rPr>
              <w:t>，工艺流程分析如下：</w:t>
            </w:r>
          </w:p>
          <w:p w14:paraId="36E19A9E">
            <w:pPr>
              <w:keepNext w:val="0"/>
              <w:keepLines w:val="0"/>
              <w:suppressLineNumbers w:val="0"/>
              <w:spacing w:before="0" w:beforeAutospacing="0" w:after="0" w:afterAutospacing="0" w:line="360" w:lineRule="auto"/>
              <w:ind w:left="0" w:right="0"/>
              <w:jc w:val="center"/>
              <w:rPr>
                <w:rFonts w:hint="default"/>
                <w:b/>
                <w:bCs/>
                <w:color w:val="auto"/>
                <w:sz w:val="24"/>
                <w:highlight w:val="none"/>
              </w:rPr>
            </w:pPr>
            <w:r>
              <w:rPr>
                <w:rFonts w:hint="default"/>
              </w:rPr>
              <w:drawing>
                <wp:inline distT="0" distB="0" distL="114300" distR="114300">
                  <wp:extent cx="5257800" cy="4625340"/>
                  <wp:effectExtent l="0" t="0" r="0" b="0"/>
                  <wp:docPr id="10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5"/>
                          <pic:cNvPicPr>
                            <a:picLocks noChangeAspect="1"/>
                          </pic:cNvPicPr>
                        </pic:nvPicPr>
                        <pic:blipFill>
                          <a:blip r:embed="rId26"/>
                          <a:srcRect b="10074"/>
                          <a:stretch>
                            <a:fillRect/>
                          </a:stretch>
                        </pic:blipFill>
                        <pic:spPr>
                          <a:xfrm>
                            <a:off x="0" y="0"/>
                            <a:ext cx="5257800" cy="4625340"/>
                          </a:xfrm>
                          <a:prstGeom prst="rect">
                            <a:avLst/>
                          </a:prstGeom>
                          <a:noFill/>
                          <a:ln>
                            <a:noFill/>
                          </a:ln>
                        </pic:spPr>
                      </pic:pic>
                    </a:graphicData>
                  </a:graphic>
                </wp:inline>
              </w:drawing>
            </w:r>
          </w:p>
          <w:p w14:paraId="07F56E4D">
            <w:pPr>
              <w:keepNext w:val="0"/>
              <w:keepLines w:val="0"/>
              <w:suppressLineNumbers w:val="0"/>
              <w:spacing w:before="0" w:beforeAutospacing="0" w:after="0" w:afterAutospacing="0" w:line="360" w:lineRule="auto"/>
              <w:ind w:left="0" w:right="0"/>
              <w:jc w:val="center"/>
              <w:rPr>
                <w:rFonts w:hint="default"/>
                <w:color w:val="auto"/>
                <w:kern w:val="0"/>
                <w:sz w:val="24"/>
                <w:highlight w:val="none"/>
                <w:lang w:val="en-GB"/>
              </w:rPr>
            </w:pPr>
            <w:r>
              <w:rPr>
                <w:rFonts w:hint="default"/>
                <w:b/>
                <w:bCs/>
                <w:color w:val="auto"/>
                <w:sz w:val="24"/>
                <w:highlight w:val="none"/>
              </w:rPr>
              <w:t>图4-3  项目污水处理站处理工艺流程图</w:t>
            </w:r>
          </w:p>
          <w:p w14:paraId="6D953DB6">
            <w:pPr>
              <w:keepNext w:val="0"/>
              <w:keepLines w:val="0"/>
              <w:widowControl/>
              <w:suppressLineNumbers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污水处理站处理工艺简述如下：</w:t>
            </w:r>
          </w:p>
          <w:p w14:paraId="2C718444">
            <w:pPr>
              <w:keepNext w:val="0"/>
              <w:keepLines w:val="0"/>
              <w:widowControl/>
              <w:suppressLineNumbers w:val="0"/>
              <w:spacing w:before="0" w:beforeAutospacing="0" w:after="0" w:afterAutospacing="0" w:line="360" w:lineRule="auto"/>
              <w:ind w:left="0" w:right="0" w:firstLine="480" w:firstLineChars="200"/>
              <w:jc w:val="left"/>
              <w:rPr>
                <w:rFonts w:hint="default"/>
                <w:color w:val="auto"/>
                <w:kern w:val="0"/>
                <w:sz w:val="24"/>
                <w:szCs w:val="20"/>
                <w:highlight w:val="none"/>
              </w:rPr>
            </w:pPr>
            <w:r>
              <w:rPr>
                <w:rFonts w:hint="default"/>
                <w:color w:val="auto"/>
                <w:kern w:val="0"/>
                <w:sz w:val="24"/>
                <w:szCs w:val="20"/>
                <w:highlight w:val="none"/>
              </w:rPr>
              <w:t>隔油池：利用油滴与水的密度差产生上浮作用来去除含油废水中可浮性油类物质的一种废水预处理构筑物。隔油池的构造多采用平流式，含油废水通过配水槽进入平面为矩形的隔油池，沿水平方向缓慢流动，在流动中油品上浮水面，由集油管或设置在池面的刮油机推送到集油管中流入脱水罐。在隔油池中沉淀下来的重油及其他杂质，积聚到池底污泥斗中，通过排泥管进入污泥管中。经过隔油处理的废水则溢流入排水渠排出池外，进行后续</w:t>
            </w:r>
            <w:r>
              <w:rPr>
                <w:rFonts w:hint="default"/>
                <w:color w:val="auto"/>
                <w:highlight w:val="none"/>
              </w:rPr>
              <w:fldChar w:fldCharType="begin"/>
            </w:r>
            <w:r>
              <w:rPr>
                <w:rFonts w:hint="default"/>
                <w:color w:val="auto"/>
                <w:highlight w:val="none"/>
              </w:rPr>
              <w:instrText xml:space="preserve"> HYPERLINK "https://baike.baidu.com/item/%E5%A4%84%E7%90%86/4869736?fromModule=lemma_inlink" \t "https://baike.baidu.com/item/%E9%9A%94%E6%B2%B9%E6%B1%A0/_blank" </w:instrText>
            </w:r>
            <w:r>
              <w:rPr>
                <w:rFonts w:hint="default"/>
                <w:color w:val="auto"/>
                <w:highlight w:val="none"/>
              </w:rPr>
              <w:fldChar w:fldCharType="separate"/>
            </w:r>
            <w:r>
              <w:rPr>
                <w:rFonts w:hint="default"/>
                <w:color w:val="auto"/>
                <w:kern w:val="0"/>
                <w:sz w:val="24"/>
                <w:szCs w:val="20"/>
                <w:highlight w:val="none"/>
              </w:rPr>
              <w:t>处理</w:t>
            </w:r>
            <w:r>
              <w:rPr>
                <w:rFonts w:hint="default"/>
                <w:color w:val="auto"/>
                <w:kern w:val="0"/>
                <w:sz w:val="24"/>
                <w:szCs w:val="20"/>
                <w:highlight w:val="none"/>
              </w:rPr>
              <w:fldChar w:fldCharType="end"/>
            </w:r>
            <w:r>
              <w:rPr>
                <w:rFonts w:hint="default"/>
                <w:color w:val="auto"/>
                <w:kern w:val="0"/>
                <w:sz w:val="24"/>
                <w:szCs w:val="20"/>
                <w:highlight w:val="none"/>
              </w:rPr>
              <w:t>，以去除乳化油及其他污染物。</w:t>
            </w:r>
          </w:p>
          <w:p w14:paraId="1F68438C">
            <w:pPr>
              <w:keepNext w:val="0"/>
              <w:keepLines w:val="0"/>
              <w:widowControl/>
              <w:suppressLineNumbers w:val="0"/>
              <w:spacing w:before="0" w:beforeAutospacing="0" w:after="0" w:afterAutospacing="0" w:line="360" w:lineRule="auto"/>
              <w:ind w:left="0" w:right="0" w:firstLine="480" w:firstLineChars="200"/>
              <w:jc w:val="left"/>
              <w:rPr>
                <w:rFonts w:hint="default"/>
                <w:color w:val="auto"/>
                <w:kern w:val="0"/>
                <w:sz w:val="24"/>
                <w:szCs w:val="20"/>
                <w:highlight w:val="none"/>
              </w:rPr>
            </w:pPr>
            <w:r>
              <w:rPr>
                <w:rFonts w:hint="default"/>
                <w:color w:val="auto"/>
                <w:kern w:val="0"/>
                <w:sz w:val="24"/>
                <w:szCs w:val="20"/>
                <w:highlight w:val="none"/>
              </w:rPr>
              <w:t>调节池：对水量和水质随时间变化较大的污水进行水质均化水量调节，同时对pH进行调节，以保证后续处理设施运行的连续性和稳定性。</w:t>
            </w:r>
          </w:p>
          <w:p w14:paraId="19EBE080">
            <w:pPr>
              <w:keepNext w:val="0"/>
              <w:keepLines w:val="0"/>
              <w:widowControl/>
              <w:suppressLineNumbers w:val="0"/>
              <w:spacing w:before="0" w:beforeAutospacing="0" w:after="0" w:afterAutospacing="0" w:line="360" w:lineRule="auto"/>
              <w:ind w:left="0" w:right="0" w:firstLine="480" w:firstLineChars="200"/>
              <w:jc w:val="left"/>
              <w:rPr>
                <w:rFonts w:hint="default" w:ascii="Segoe UI" w:hAnsi="Segoe UI" w:eastAsia="Segoe UI" w:cs="Segoe UI"/>
                <w:i w:val="0"/>
                <w:iCs w:val="0"/>
                <w:caps w:val="0"/>
                <w:color w:val="000000"/>
                <w:spacing w:val="-2"/>
                <w:sz w:val="24"/>
                <w:szCs w:val="24"/>
                <w:shd w:val="clear" w:fill="FFFFFF"/>
              </w:rPr>
            </w:pPr>
            <w:r>
              <w:rPr>
                <w:rFonts w:hint="eastAsia"/>
                <w:color w:val="auto"/>
                <w:sz w:val="24"/>
                <w:highlight w:val="none"/>
                <w:lang w:val="en-US" w:eastAsia="zh-CN"/>
              </w:rPr>
              <w:t>混凝</w:t>
            </w:r>
            <w:r>
              <w:rPr>
                <w:rFonts w:hint="default"/>
                <w:color w:val="auto"/>
                <w:sz w:val="24"/>
                <w:highlight w:val="none"/>
              </w:rPr>
              <w:t>沉淀</w:t>
            </w:r>
            <w:r>
              <w:rPr>
                <w:rFonts w:hint="default" w:ascii="Segoe UI" w:hAnsi="Segoe UI" w:eastAsia="Segoe UI" w:cs="Segoe UI"/>
                <w:i w:val="0"/>
                <w:iCs w:val="0"/>
                <w:caps w:val="0"/>
                <w:color w:val="000000"/>
                <w:spacing w:val="-2"/>
                <w:sz w:val="24"/>
                <w:szCs w:val="24"/>
                <w:shd w:val="clear" w:fill="FFFFFF"/>
              </w:rPr>
              <w:t>：通过投加化学药剂（如混凝剂PAC， 絮凝剂PAM），通过混合、反应、沉淀三个步骤，使水中微小的悬浮颗粒和胶体物质脱稳、凝聚成大的矾花，然后在重力作用下沉降分离。</w:t>
            </w:r>
          </w:p>
          <w:p w14:paraId="24BEFD6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highlight w:val="none"/>
                <w:lang w:val="en-US" w:eastAsia="zh-CN" w:bidi="ar"/>
              </w:rPr>
            </w:pPr>
            <w:r>
              <w:rPr>
                <w:rFonts w:hint="eastAsia"/>
                <w:color w:val="auto"/>
                <w:sz w:val="24"/>
                <w:highlight w:val="none"/>
                <w:lang w:val="en-US" w:eastAsia="zh-CN"/>
              </w:rPr>
              <w:t>溶气气浮机</w:t>
            </w:r>
            <w:r>
              <w:rPr>
                <w:rFonts w:hint="default"/>
                <w:color w:val="auto"/>
                <w:kern w:val="0"/>
                <w:sz w:val="24"/>
                <w:szCs w:val="20"/>
                <w:highlight w:val="none"/>
              </w:rPr>
              <w:t>：</w:t>
            </w:r>
            <w:r>
              <w:rPr>
                <w:rFonts w:hint="default" w:ascii="Segoe UI" w:hAnsi="Segoe UI" w:eastAsia="Segoe UI" w:cs="Segoe UI"/>
                <w:i w:val="0"/>
                <w:iCs w:val="0"/>
                <w:caps w:val="0"/>
                <w:color w:val="000000"/>
                <w:spacing w:val="-2"/>
                <w:sz w:val="24"/>
                <w:szCs w:val="24"/>
                <w:shd w:val="clear" w:fill="FFFFFF"/>
              </w:rPr>
              <w:t>通过溶气系统产生大量微细气泡，使其与经过混凝反应后形成的微细矾花和乳化油滴粘附，形成“气-粒”结合体，整体密度小于水而迅速上浮至水面，通过刮渣机去除</w:t>
            </w:r>
            <w:r>
              <w:rPr>
                <w:rFonts w:hint="eastAsia" w:eastAsia="宋体"/>
                <w:color w:val="auto"/>
                <w:kern w:val="0"/>
                <w:sz w:val="24"/>
                <w:szCs w:val="20"/>
                <w:highlight w:val="none"/>
                <w:lang w:eastAsia="zh-CN"/>
              </w:rPr>
              <w:t>，</w:t>
            </w:r>
            <w:r>
              <w:rPr>
                <w:rFonts w:hint="default" w:ascii="Segoe UI" w:hAnsi="Segoe UI" w:eastAsia="Segoe UI" w:cs="Segoe UI"/>
                <w:b w:val="0"/>
                <w:bCs w:val="0"/>
                <w:i w:val="0"/>
                <w:iCs w:val="0"/>
                <w:caps w:val="0"/>
                <w:color w:val="000000"/>
                <w:spacing w:val="-2"/>
                <w:sz w:val="24"/>
                <w:szCs w:val="24"/>
                <w:shd w:val="clear" w:fill="FFFFFF"/>
              </w:rPr>
              <w:t>对</w:t>
            </w:r>
            <w:r>
              <w:rPr>
                <w:rStyle w:val="68"/>
                <w:rFonts w:hint="default" w:ascii="Segoe UI" w:hAnsi="Segoe UI" w:eastAsia="Segoe UI" w:cs="Segoe UI"/>
                <w:b w:val="0"/>
                <w:bCs w:val="0"/>
                <w:i w:val="0"/>
                <w:iCs w:val="0"/>
                <w:caps w:val="0"/>
                <w:color w:val="000000"/>
                <w:spacing w:val="-2"/>
                <w:sz w:val="24"/>
                <w:szCs w:val="24"/>
                <w:shd w:val="clear" w:fill="FFFFFF"/>
                <w:vertAlign w:val="baseline"/>
              </w:rPr>
              <w:t>轻质、细小的悬浮物</w:t>
            </w:r>
            <w:r>
              <w:rPr>
                <w:rFonts w:hint="default" w:ascii="Segoe UI" w:hAnsi="Segoe UI" w:eastAsia="Segoe UI" w:cs="Segoe UI"/>
                <w:b w:val="0"/>
                <w:bCs w:val="0"/>
                <w:i w:val="0"/>
                <w:iCs w:val="0"/>
                <w:caps w:val="0"/>
                <w:color w:val="000000"/>
                <w:spacing w:val="-2"/>
                <w:sz w:val="24"/>
                <w:szCs w:val="24"/>
                <w:shd w:val="clear" w:fill="FFFFFF"/>
              </w:rPr>
              <w:t>和</w:t>
            </w:r>
            <w:r>
              <w:rPr>
                <w:rStyle w:val="68"/>
                <w:rFonts w:hint="default" w:ascii="Segoe UI" w:hAnsi="Segoe UI" w:eastAsia="Segoe UI" w:cs="Segoe UI"/>
                <w:b w:val="0"/>
                <w:bCs w:val="0"/>
                <w:i w:val="0"/>
                <w:iCs w:val="0"/>
                <w:caps w:val="0"/>
                <w:color w:val="000000"/>
                <w:spacing w:val="-2"/>
                <w:sz w:val="24"/>
                <w:szCs w:val="24"/>
                <w:shd w:val="clear" w:fill="FFFFFF"/>
                <w:vertAlign w:val="baseline"/>
              </w:rPr>
              <w:t>乳化油</w:t>
            </w:r>
            <w:r>
              <w:rPr>
                <w:rFonts w:hint="default" w:ascii="Segoe UI" w:hAnsi="Segoe UI" w:eastAsia="Segoe UI" w:cs="Segoe UI"/>
                <w:b w:val="0"/>
                <w:bCs w:val="0"/>
                <w:i w:val="0"/>
                <w:iCs w:val="0"/>
                <w:caps w:val="0"/>
                <w:color w:val="000000"/>
                <w:spacing w:val="-2"/>
                <w:sz w:val="24"/>
                <w:szCs w:val="24"/>
                <w:shd w:val="clear" w:fill="FFFFFF"/>
              </w:rPr>
              <w:t>的去除效率极高，是沉淀池的有效补充或强化</w:t>
            </w:r>
            <w:r>
              <w:rPr>
                <w:rFonts w:hint="eastAsia" w:ascii="Segoe UI" w:hAnsi="Segoe UI" w:eastAsia="宋体" w:cs="Segoe UI"/>
                <w:b w:val="0"/>
                <w:bCs w:val="0"/>
                <w:i w:val="0"/>
                <w:iCs w:val="0"/>
                <w:caps w:val="0"/>
                <w:color w:val="000000"/>
                <w:spacing w:val="-2"/>
                <w:sz w:val="24"/>
                <w:szCs w:val="24"/>
                <w:shd w:val="clear" w:fill="FFFFFF"/>
                <w:lang w:eastAsia="zh-CN"/>
              </w:rPr>
              <w:t>。</w:t>
            </w:r>
            <w:r>
              <w:rPr>
                <w:rFonts w:hint="default"/>
                <w:color w:val="auto"/>
                <w:kern w:val="0"/>
                <w:sz w:val="24"/>
                <w:szCs w:val="20"/>
                <w:highlight w:val="none"/>
              </w:rPr>
              <w:t>‌</w:t>
            </w:r>
          </w:p>
          <w:p w14:paraId="75925ED3">
            <w:pPr>
              <w:keepNext w:val="0"/>
              <w:keepLines w:val="0"/>
              <w:suppressLineNumbers w:val="0"/>
              <w:autoSpaceDE w:val="0"/>
              <w:spacing w:before="0" w:beforeAutospacing="0" w:after="0" w:afterAutospacing="0" w:line="360" w:lineRule="auto"/>
              <w:ind w:left="0" w:right="0" w:firstLine="480" w:firstLineChars="200"/>
              <w:rPr>
                <w:rFonts w:hint="default" w:ascii="Times New Roman" w:hAnsi="Times New Roman" w:cs="Times New Roman"/>
                <w:b/>
                <w:bCs/>
                <w:color w:val="auto"/>
                <w:sz w:val="24"/>
                <w:highlight w:val="none"/>
              </w:rPr>
            </w:pPr>
            <w:r>
              <w:rPr>
                <w:rFonts w:hint="eastAsia" w:cs="Times New Roman"/>
                <w:color w:val="auto"/>
                <w:sz w:val="24"/>
                <w:highlight w:val="none"/>
                <w:lang w:val="en-US" w:eastAsia="zh-CN" w:bidi="ar"/>
              </w:rPr>
              <w:t>4</w:t>
            </w:r>
            <w:r>
              <w:rPr>
                <w:rFonts w:hint="default" w:ascii="Times New Roman" w:hAnsi="Times New Roman" w:cs="Times New Roman"/>
                <w:color w:val="auto"/>
                <w:sz w:val="24"/>
                <w:highlight w:val="none"/>
                <w:lang w:bidi="ar"/>
              </w:rPr>
              <w:t>）依托区域污水处理设施的可行性分析</w:t>
            </w:r>
          </w:p>
          <w:p w14:paraId="72550A69">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Ⅰ、芜湖县新芜开发区城东污水处理厂处理工艺</w:t>
            </w:r>
          </w:p>
          <w:p w14:paraId="77C9AAE3">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芜湖县新芜开发区城东污水处理厂设计污水处理总规模为6万m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/d，一期污水处理规模为3万m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/d，处理工艺采用AAO生物池+二沉池脱氮除磷生物处理，设计管径为D500～D1200，收集管网长度约为2.3km。</w:t>
            </w:r>
          </w:p>
          <w:p w14:paraId="63C1C5C1">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0F313B93">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02AEF754">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4E748841">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26E8B2D3">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02E636F0">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6124D4BF">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50403607">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p>
          <w:p w14:paraId="028148CD">
            <w:pPr>
              <w:keepNext w:val="0"/>
              <w:keepLines w:val="0"/>
              <w:suppressLineNumbers w:val="0"/>
              <w:snapToGrid w:val="0"/>
              <w:spacing w:before="0" w:beforeAutospacing="0" w:after="0" w:afterAutospacing="0" w:line="360" w:lineRule="auto"/>
              <w:ind w:left="0" w:right="0"/>
              <w:textAlignment w:val="baseline"/>
              <w:rPr>
                <w:rFonts w:hint="default" w:ascii="Times New Roman" w:hAnsi="Times New Roman" w:cs="Times New Roman"/>
                <w:color w:val="auto"/>
                <w:sz w:val="24"/>
                <w:highlight w:val="none"/>
              </w:rPr>
            </w:pPr>
          </w:p>
          <w:p w14:paraId="0E4681C8">
            <w:pPr>
              <w:keepNext w:val="0"/>
              <w:keepLines w:val="0"/>
              <w:suppressLineNumbers w:val="0"/>
              <w:snapToGrid w:val="0"/>
              <w:spacing w:before="0" w:beforeAutospacing="0" w:after="0" w:afterAutospacing="0" w:line="360" w:lineRule="auto"/>
              <w:ind w:left="0" w:right="0" w:firstLine="480" w:firstLineChars="20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drawing>
                <wp:inline distT="0" distB="0" distL="114300" distR="114300">
                  <wp:extent cx="3319780" cy="5190490"/>
                  <wp:effectExtent l="0" t="0" r="7620" b="3810"/>
                  <wp:docPr id="6" name="图片 6" descr="QQ截图20220120214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截图20220120214421"/>
                          <pic:cNvPicPr>
                            <a:picLocks noChangeAspect="1"/>
                          </pic:cNvPicPr>
                        </pic:nvPicPr>
                        <pic:blipFill>
                          <a:blip r:embed="rId27"/>
                          <a:stretch>
                            <a:fillRect/>
                          </a:stretch>
                        </pic:blipFill>
                        <pic:spPr>
                          <a:xfrm>
                            <a:off x="0" y="0"/>
                            <a:ext cx="3319780" cy="5190490"/>
                          </a:xfrm>
                          <a:prstGeom prst="rect">
                            <a:avLst/>
                          </a:prstGeom>
                          <a:noFill/>
                          <a:ln>
                            <a:noFill/>
                          </a:ln>
                        </pic:spPr>
                      </pic:pic>
                    </a:graphicData>
                  </a:graphic>
                </wp:inline>
              </w:drawing>
            </w:r>
          </w:p>
          <w:p w14:paraId="48ADD9F7">
            <w:pPr>
              <w:pStyle w:val="5"/>
              <w:suppressLineNumbers w:val="0"/>
              <w:spacing w:beforeAutospacing="0" w:afterAutospacing="0"/>
              <w:ind w:right="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图4-2 芜湖县新芜开发区城东污水处理厂污水处理工艺流程简图</w:t>
            </w:r>
          </w:p>
          <w:p w14:paraId="7744F66E">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Ⅱ、接管可行性分析</w:t>
            </w:r>
          </w:p>
          <w:p w14:paraId="60B73F4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接管水质：项目外排废水主要为生活污水</w:t>
            </w:r>
            <w:r>
              <w:rPr>
                <w:rFonts w:hint="eastAsia" w:cs="Times New Roman"/>
                <w:color w:val="auto"/>
                <w:sz w:val="24"/>
                <w:highlight w:val="none"/>
                <w:lang w:val="en-US" w:eastAsia="zh-CN"/>
              </w:rPr>
              <w:t>和</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w:t>
            </w:r>
            <w:r>
              <w:rPr>
                <w:rFonts w:hint="default" w:ascii="Times New Roman" w:hAnsi="Times New Roman" w:cs="Times New Roman"/>
                <w:color w:val="auto"/>
                <w:sz w:val="24"/>
                <w:highlight w:val="none"/>
              </w:rPr>
              <w:t>，其主要污染物为COD、BOD</w:t>
            </w:r>
            <w:r>
              <w:rPr>
                <w:rFonts w:hint="default" w:ascii="Times New Roman" w:hAnsi="Times New Roman" w:cs="Times New Roman"/>
                <w:color w:val="auto"/>
                <w:sz w:val="24"/>
                <w:highlight w:val="none"/>
                <w:vertAlign w:val="subscript"/>
              </w:rPr>
              <w:t>5</w:t>
            </w:r>
            <w:r>
              <w:rPr>
                <w:rFonts w:hint="default" w:ascii="Times New Roman" w:hAnsi="Times New Roman" w:cs="Times New Roman"/>
                <w:color w:val="auto"/>
                <w:sz w:val="24"/>
                <w:highlight w:val="none"/>
              </w:rPr>
              <w:t>、SS、NH</w:t>
            </w:r>
            <w:r>
              <w:rPr>
                <w:rFonts w:hint="default" w:ascii="Times New Roman" w:hAnsi="Times New Roman" w:cs="Times New Roman"/>
                <w:color w:val="auto"/>
                <w:sz w:val="24"/>
                <w:highlight w:val="none"/>
                <w:vertAlign w:val="subscript"/>
              </w:rPr>
              <w:t>3</w:t>
            </w:r>
            <w:r>
              <w:rPr>
                <w:rFonts w:hint="default" w:ascii="Times New Roman" w:hAnsi="Times New Roman" w:cs="Times New Roman"/>
                <w:color w:val="auto"/>
                <w:sz w:val="24"/>
                <w:highlight w:val="none"/>
              </w:rPr>
              <w:t>-N、TP、</w:t>
            </w:r>
            <w:r>
              <w:rPr>
                <w:rFonts w:hint="default" w:ascii="Times New Roman" w:hAnsi="Times New Roman" w:cs="Times New Roman"/>
                <w:color w:val="auto"/>
                <w:kern w:val="0"/>
                <w:sz w:val="24"/>
                <w:highlight w:val="none"/>
                <w:lang w:bidi="ar"/>
              </w:rPr>
              <w:t>TN</w:t>
            </w:r>
            <w:r>
              <w:rPr>
                <w:rFonts w:hint="default" w:ascii="Times New Roman" w:hAnsi="Times New Roman" w:cs="Times New Roman"/>
                <w:color w:val="auto"/>
                <w:sz w:val="24"/>
                <w:highlight w:val="none"/>
              </w:rPr>
              <w:t>、</w:t>
            </w:r>
            <w:r>
              <w:rPr>
                <w:rFonts w:hint="eastAsia" w:cs="Times New Roman"/>
                <w:color w:val="auto"/>
                <w:kern w:val="0"/>
                <w:sz w:val="24"/>
                <w:highlight w:val="none"/>
                <w:lang w:val="en-US" w:eastAsia="zh-CN" w:bidi="ar"/>
              </w:rPr>
              <w:t>LAS</w:t>
            </w:r>
            <w:r>
              <w:rPr>
                <w:rFonts w:hint="default" w:ascii="Times New Roman" w:hAnsi="Times New Roman" w:cs="Times New Roman"/>
                <w:color w:val="auto"/>
                <w:sz w:val="24"/>
                <w:highlight w:val="none"/>
              </w:rPr>
              <w:t>、</w:t>
            </w:r>
            <w:r>
              <w:rPr>
                <w:rFonts w:hint="eastAsia" w:cs="Times New Roman"/>
                <w:color w:val="auto"/>
                <w:kern w:val="0"/>
                <w:sz w:val="24"/>
                <w:highlight w:val="none"/>
                <w:lang w:val="en-US" w:eastAsia="zh-CN" w:bidi="ar"/>
              </w:rPr>
              <w:t>石油类</w:t>
            </w:r>
            <w:r>
              <w:rPr>
                <w:rFonts w:hint="default" w:ascii="Times New Roman" w:hAnsi="Times New Roman" w:cs="Times New Roman"/>
                <w:color w:val="auto"/>
                <w:sz w:val="24"/>
                <w:highlight w:val="none"/>
              </w:rPr>
              <w:t>等，水质简单，</w:t>
            </w:r>
            <w:r>
              <w:rPr>
                <w:rFonts w:hint="default"/>
                <w:color w:val="auto"/>
                <w:sz w:val="24"/>
                <w:highlight w:val="none"/>
              </w:rPr>
              <w:t>生活污水经化粪池处理后和经污水处理站处理的</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w:t>
            </w:r>
            <w:r>
              <w:rPr>
                <w:rFonts w:hint="default"/>
                <w:color w:val="auto"/>
                <w:sz w:val="24"/>
                <w:highlight w:val="none"/>
              </w:rPr>
              <w:t>一同经市政污水管网排入芜湖县新芜开发区城东污水处理厂</w:t>
            </w:r>
            <w:r>
              <w:rPr>
                <w:rFonts w:hint="default" w:ascii="Times New Roman" w:hAnsi="Times New Roman" w:cs="Times New Roman"/>
                <w:color w:val="auto"/>
                <w:sz w:val="24"/>
                <w:highlight w:val="none"/>
              </w:rPr>
              <w:t>，</w:t>
            </w:r>
            <w:r>
              <w:rPr>
                <w:rFonts w:hint="default"/>
                <w:color w:val="auto"/>
                <w:sz w:val="24"/>
                <w:highlight w:val="none"/>
              </w:rPr>
              <w:t>达标后排入汪溪坝撇洪沟后汇入裘公河，</w:t>
            </w:r>
            <w:r>
              <w:rPr>
                <w:rFonts w:hint="default" w:ascii="Times New Roman" w:hAnsi="Times New Roman" w:cs="Times New Roman"/>
                <w:color w:val="auto"/>
                <w:sz w:val="24"/>
                <w:highlight w:val="none"/>
              </w:rPr>
              <w:t>各污染物浓度满足</w:t>
            </w:r>
            <w:r>
              <w:rPr>
                <w:rFonts w:hint="default" w:ascii="Times New Roman" w:hAnsi="Times New Roman" w:cs="Times New Roman"/>
                <w:color w:val="auto"/>
                <w:kern w:val="0"/>
                <w:sz w:val="24"/>
                <w:highlight w:val="none"/>
                <w:lang w:eastAsia="zh-CN" w:bidi="ar"/>
              </w:rPr>
              <w:t>《污水综合排放标准》（GB8978-1996）表4中三级标准</w:t>
            </w:r>
            <w:r>
              <w:rPr>
                <w:rFonts w:hint="default" w:ascii="Times New Roman" w:hAnsi="Times New Roman" w:cs="Times New Roman"/>
                <w:color w:val="auto"/>
                <w:sz w:val="24"/>
                <w:highlight w:val="none"/>
              </w:rPr>
              <w:t>。</w:t>
            </w:r>
          </w:p>
          <w:p w14:paraId="2DF5CF7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接管水量：新芜开发区城东污水处理厂现阶段处理能力约为3万m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w:t>
            </w:r>
            <w:r>
              <w:rPr>
                <w:rFonts w:hint="default" w:ascii="Times New Roman" w:hAnsi="Times New Roman" w:cs="Times New Roman" w:eastAsiaTheme="majorEastAsia"/>
                <w:color w:val="auto"/>
                <w:sz w:val="24"/>
                <w:highlight w:val="none"/>
              </w:rPr>
              <w:t>目前湾沚区城东污水处理厂日处理量约为1.8万吨，尚有1.2万t/d的余量，</w:t>
            </w:r>
            <w:r>
              <w:rPr>
                <w:rFonts w:hint="default" w:ascii="Times New Roman" w:hAnsi="Times New Roman" w:cs="Times New Roman"/>
                <w:color w:val="auto"/>
                <w:sz w:val="24"/>
                <w:highlight w:val="none"/>
              </w:rPr>
              <w:t>本项目建成正常运行后的废水排放水量为</w:t>
            </w:r>
            <w:r>
              <w:rPr>
                <w:rFonts w:hint="eastAsia" w:cs="Times New Roman"/>
                <w:color w:val="auto"/>
                <w:sz w:val="24"/>
                <w:highlight w:val="none"/>
                <w:lang w:val="en-US" w:eastAsia="zh-CN"/>
              </w:rPr>
              <w:t>8.1164</w:t>
            </w:r>
            <w:r>
              <w:rPr>
                <w:rFonts w:hint="default" w:ascii="Times New Roman" w:hAnsi="Times New Roman" w:cs="Times New Roman"/>
                <w:color w:val="auto"/>
                <w:sz w:val="24"/>
                <w:highlight w:val="none"/>
              </w:rPr>
              <w:t>t/d，仅占污水处理厂剩余处理量的0.0</w:t>
            </w:r>
            <w:r>
              <w:rPr>
                <w:rFonts w:hint="eastAsia" w:cs="Times New Roman"/>
                <w:color w:val="auto"/>
                <w:sz w:val="24"/>
                <w:highlight w:val="none"/>
                <w:lang w:val="en-US" w:eastAsia="zh-CN"/>
              </w:rPr>
              <w:t>68</w:t>
            </w:r>
            <w:r>
              <w:rPr>
                <w:rFonts w:hint="default" w:ascii="Times New Roman" w:hAnsi="Times New Roman" w:cs="Times New Roman"/>
                <w:color w:val="auto"/>
                <w:sz w:val="24"/>
                <w:highlight w:val="none"/>
              </w:rPr>
              <w:t>%，废水排放量很小，</w:t>
            </w:r>
            <w:r>
              <w:rPr>
                <w:rFonts w:hint="default" w:ascii="Times New Roman" w:hAnsi="Times New Roman" w:cs="Times New Roman" w:eastAsiaTheme="majorEastAsia"/>
                <w:color w:val="auto"/>
                <w:sz w:val="24"/>
                <w:highlight w:val="none"/>
              </w:rPr>
              <w:t>而且废水水质简单，</w:t>
            </w:r>
            <w:r>
              <w:rPr>
                <w:rFonts w:hint="default" w:ascii="Times New Roman" w:hAnsi="Times New Roman" w:cs="Times New Roman"/>
                <w:color w:val="auto"/>
                <w:sz w:val="24"/>
                <w:highlight w:val="none"/>
              </w:rPr>
              <w:t>不会对其处理能力造成较大的冲击，因在其设计考虑处理范围内，因此接管水量是可行的。</w:t>
            </w:r>
          </w:p>
          <w:p w14:paraId="4827130D">
            <w:pPr>
              <w:keepNext w:val="0"/>
              <w:keepLines w:val="0"/>
              <w:suppressLineNumbers w:val="0"/>
              <w:snapToGrid w:val="0"/>
              <w:spacing w:before="0" w:beforeAutospacing="0" w:after="0" w:afterAutospacing="0" w:line="360" w:lineRule="auto"/>
              <w:ind w:left="0" w:right="0" w:firstLine="480" w:firstLineChars="200"/>
              <w:textAlignment w:val="baseline"/>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接管路径：芜湖县新芜开发区城东污水处理厂服务范围：主要为新芜开发区城东新城区和航空产业园服务，服务面积31.15km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rPr>
              <w:t>，服务人口约13.5万人。收水范围为新芜开发区城东新城区、航空产业园内的企业的生产废水及工业园区通勤人员的生活污水。本项目位于</w:t>
            </w:r>
            <w:r>
              <w:rPr>
                <w:rFonts w:hint="eastAsia" w:cs="Times New Roman"/>
                <w:color w:val="auto"/>
                <w:sz w:val="24"/>
                <w:highlight w:val="none"/>
                <w:lang w:eastAsia="zh-CN"/>
              </w:rPr>
              <w:t>安徽省芜湖市湾沚区新芜经济开发区芜屯快速通道3699号02幢2号厂房</w:t>
            </w:r>
            <w:r>
              <w:rPr>
                <w:rFonts w:hint="default" w:ascii="Times New Roman" w:hAnsi="Times New Roman" w:cs="Times New Roman"/>
                <w:bCs/>
                <w:color w:val="auto"/>
                <w:sz w:val="24"/>
                <w:highlight w:val="none"/>
              </w:rPr>
              <w:t>，</w:t>
            </w:r>
            <w:r>
              <w:rPr>
                <w:rFonts w:hint="default" w:ascii="Times New Roman" w:hAnsi="Times New Roman" w:cs="Times New Roman"/>
                <w:color w:val="auto"/>
                <w:sz w:val="24"/>
                <w:highlight w:val="none"/>
              </w:rPr>
              <w:t>项目区域属于芜湖县新芜开发区城东污水处理厂收水范围，项目产生的生活污水经预处理后</w:t>
            </w:r>
            <w:r>
              <w:rPr>
                <w:rFonts w:hint="eastAsia" w:cs="Times New Roman"/>
                <w:color w:val="auto"/>
                <w:sz w:val="24"/>
                <w:highlight w:val="none"/>
                <w:lang w:val="en-US" w:eastAsia="zh-CN"/>
              </w:rPr>
              <w:t>和</w:t>
            </w:r>
            <w:r>
              <w:rPr>
                <w:rFonts w:hint="default"/>
                <w:color w:val="auto"/>
                <w:sz w:val="24"/>
                <w:highlight w:val="none"/>
              </w:rPr>
              <w:t>经污水处理站处理的</w:t>
            </w:r>
            <w:r>
              <w:rPr>
                <w:rFonts w:hint="eastAsia" w:cs="Times New Roman"/>
                <w:color w:val="auto"/>
                <w:sz w:val="24"/>
                <w:szCs w:val="24"/>
                <w:highlight w:val="none"/>
                <w:lang w:val="en-US" w:eastAsia="zh-CN"/>
              </w:rPr>
              <w:t>喷枪清洗废水、水性光亮剂配比废水、超声波清洗废水、前处理线废水、纯水制备浓水、</w:t>
            </w:r>
            <w:r>
              <w:rPr>
                <w:rFonts w:hint="default" w:eastAsia="宋体"/>
                <w:bCs w:val="0"/>
                <w:color w:val="000000" w:themeColor="text1"/>
                <w:sz w:val="24"/>
                <w:szCs w:val="24"/>
                <w14:textFill>
                  <w14:solidFill>
                    <w14:schemeClr w14:val="tx1"/>
                  </w14:solidFill>
                </w14:textFill>
              </w:rPr>
              <w:t>喷漆水帘柜</w:t>
            </w:r>
            <w:r>
              <w:rPr>
                <w:rFonts w:hint="eastAsia" w:eastAsia="宋体"/>
                <w:bCs w:val="0"/>
                <w:color w:val="000000" w:themeColor="text1"/>
                <w:sz w:val="24"/>
                <w:szCs w:val="24"/>
                <w:lang w:val="en-US" w:eastAsia="zh-CN"/>
                <w14:textFill>
                  <w14:solidFill>
                    <w14:schemeClr w14:val="tx1"/>
                  </w14:solidFill>
                </w14:textFill>
              </w:rPr>
              <w:t>废水一同</w:t>
            </w:r>
            <w:r>
              <w:rPr>
                <w:rFonts w:hint="default" w:ascii="Times New Roman" w:hAnsi="Times New Roman" w:cs="Times New Roman"/>
                <w:color w:val="auto"/>
                <w:sz w:val="24"/>
                <w:highlight w:val="none"/>
              </w:rPr>
              <w:t>接入市政污水管网，最终进入芜湖县新芜开发区城东污水处理厂处理达标后排放。</w:t>
            </w:r>
          </w:p>
          <w:p w14:paraId="3349441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综上所述，本项目外排废水排入芜湖县新芜开发区城东污水处理厂是可行的。</w:t>
            </w:r>
          </w:p>
          <w:p w14:paraId="40429098">
            <w:pPr>
              <w:keepNext w:val="0"/>
              <w:keepLines w:val="0"/>
              <w:widowControl/>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3、运营期废水监控计划</w:t>
            </w:r>
          </w:p>
          <w:p w14:paraId="5F0FD4B1">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根据</w:t>
            </w:r>
            <w:r>
              <w:rPr>
                <w:rFonts w:hint="default" w:ascii="Times New Roman" w:hAnsi="Times New Roman" w:cs="Times New Roman"/>
                <w:color w:val="auto"/>
                <w:sz w:val="24"/>
                <w:highlight w:val="none"/>
              </w:rPr>
              <w:t>《排污单位自行监测技术指南 总则》（HJ819-2017）、</w:t>
            </w:r>
            <w:r>
              <w:rPr>
                <w:rFonts w:hint="eastAsia" w:cs="Times New Roman"/>
                <w:color w:val="auto"/>
                <w:sz w:val="24"/>
                <w:highlight w:val="none"/>
                <w:lang w:eastAsia="zh-CN"/>
              </w:rPr>
              <w:t>《排污单位自行监测技术指南 涂装》（HJ 1086—2020）</w:t>
            </w:r>
            <w:r>
              <w:rPr>
                <w:rFonts w:hint="default" w:ascii="Times New Roman" w:hAnsi="Times New Roman" w:cs="Times New Roman"/>
                <w:color w:val="auto"/>
                <w:sz w:val="24"/>
                <w:highlight w:val="none"/>
                <w:lang w:eastAsia="zh-CN"/>
              </w:rPr>
              <w:t>、</w:t>
            </w:r>
            <w:r>
              <w:rPr>
                <w:rFonts w:hint="eastAsia" w:cs="Times New Roman"/>
                <w:color w:val="auto"/>
                <w:sz w:val="24"/>
                <w:szCs w:val="24"/>
                <w:highlight w:val="none"/>
                <w:lang w:eastAsia="zh-CN"/>
              </w:rPr>
              <w:t>《排污许可证申请与核发技术规范 铁路、船舶、航空航天和其他运输设备制造业》</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highlight w:val="none"/>
              </w:rPr>
              <w:t>的相关要求</w:t>
            </w:r>
            <w:r>
              <w:rPr>
                <w:rFonts w:hint="default" w:ascii="Times New Roman" w:hAnsi="Times New Roman" w:cs="Times New Roman"/>
                <w:color w:val="auto"/>
                <w:kern w:val="0"/>
                <w:sz w:val="24"/>
                <w:highlight w:val="none"/>
              </w:rPr>
              <w:t>，项目废水监测计划见下表。</w:t>
            </w:r>
          </w:p>
          <w:p w14:paraId="31372597">
            <w:pPr>
              <w:keepNext w:val="0"/>
              <w:keepLines w:val="0"/>
              <w:widowControl/>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w:t>
            </w:r>
            <w:r>
              <w:rPr>
                <w:rFonts w:hint="eastAsia" w:cs="Times New Roman"/>
                <w:b/>
                <w:color w:val="auto"/>
                <w:kern w:val="0"/>
                <w:sz w:val="24"/>
                <w:highlight w:val="none"/>
                <w:lang w:val="en-US" w:eastAsia="zh-CN"/>
              </w:rPr>
              <w:t>25</w:t>
            </w:r>
            <w:r>
              <w:rPr>
                <w:rFonts w:hint="default" w:ascii="Times New Roman" w:hAnsi="Times New Roman" w:cs="Times New Roman"/>
                <w:b/>
                <w:color w:val="auto"/>
                <w:kern w:val="0"/>
                <w:sz w:val="24"/>
                <w:highlight w:val="none"/>
              </w:rPr>
              <w:t xml:space="preserve">  项目运营期废水监控计划一览表</w:t>
            </w:r>
          </w:p>
          <w:tbl>
            <w:tblPr>
              <w:tblStyle w:val="61"/>
              <w:tblW w:w="83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
              <w:gridCol w:w="1276"/>
              <w:gridCol w:w="1843"/>
              <w:gridCol w:w="993"/>
              <w:gridCol w:w="2883"/>
            </w:tblGrid>
            <w:tr w14:paraId="36830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8" w:type="dxa"/>
                  <w:vAlign w:val="center"/>
                </w:tcPr>
                <w:p w14:paraId="3DE0CB49">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监测点位</w:t>
                  </w:r>
                </w:p>
              </w:tc>
              <w:tc>
                <w:tcPr>
                  <w:tcW w:w="1276" w:type="dxa"/>
                  <w:vAlign w:val="center"/>
                </w:tcPr>
                <w:p w14:paraId="1BB1E905">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排放口类型</w:t>
                  </w:r>
                </w:p>
              </w:tc>
              <w:tc>
                <w:tcPr>
                  <w:tcW w:w="1843" w:type="dxa"/>
                  <w:shd w:val="clear" w:color="auto" w:fill="auto"/>
                  <w:vAlign w:val="center"/>
                </w:tcPr>
                <w:p w14:paraId="5B179A63">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监测项目</w:t>
                  </w:r>
                </w:p>
              </w:tc>
              <w:tc>
                <w:tcPr>
                  <w:tcW w:w="993" w:type="dxa"/>
                  <w:shd w:val="clear" w:color="auto" w:fill="auto"/>
                  <w:vAlign w:val="center"/>
                </w:tcPr>
                <w:p w14:paraId="1E375B74">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最低监测频次</w:t>
                  </w:r>
                </w:p>
              </w:tc>
              <w:tc>
                <w:tcPr>
                  <w:tcW w:w="2883" w:type="dxa"/>
                  <w:vAlign w:val="center"/>
                </w:tcPr>
                <w:p w14:paraId="73364804">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执行标准</w:t>
                  </w:r>
                </w:p>
              </w:tc>
            </w:tr>
            <w:tr w14:paraId="4853F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8" w:type="dxa"/>
                  <w:vAlign w:val="center"/>
                </w:tcPr>
                <w:p w14:paraId="17FB9F6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废水总排口（DW001）</w:t>
                  </w:r>
                </w:p>
              </w:tc>
              <w:tc>
                <w:tcPr>
                  <w:tcW w:w="1276" w:type="dxa"/>
                  <w:vAlign w:val="center"/>
                </w:tcPr>
                <w:p w14:paraId="705DB6E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一般排放口</w:t>
                  </w:r>
                </w:p>
              </w:tc>
              <w:tc>
                <w:tcPr>
                  <w:tcW w:w="1843" w:type="dxa"/>
                  <w:shd w:val="clear" w:color="auto" w:fill="auto"/>
                  <w:vAlign w:val="center"/>
                </w:tcPr>
                <w:p w14:paraId="4A035A1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pH、COD、BOD</w:t>
                  </w:r>
                  <w:r>
                    <w:rPr>
                      <w:rFonts w:hint="default" w:ascii="Times New Roman" w:hAnsi="Times New Roman" w:cs="Times New Roman"/>
                      <w:color w:val="auto"/>
                      <w:szCs w:val="21"/>
                      <w:highlight w:val="none"/>
                      <w:vertAlign w:val="subscript"/>
                    </w:rPr>
                    <w:t>5</w:t>
                  </w:r>
                  <w:r>
                    <w:rPr>
                      <w:rFonts w:hint="default" w:ascii="Times New Roman" w:hAnsi="Times New Roman" w:cs="Times New Roman"/>
                      <w:color w:val="auto"/>
                      <w:szCs w:val="21"/>
                      <w:highlight w:val="none"/>
                    </w:rPr>
                    <w:t>、SS、NH</w:t>
                  </w:r>
                  <w:r>
                    <w:rPr>
                      <w:rFonts w:hint="default" w:ascii="Times New Roman" w:hAnsi="Times New Roman" w:cs="Times New Roman"/>
                      <w:color w:val="auto"/>
                      <w:szCs w:val="21"/>
                      <w:highlight w:val="none"/>
                      <w:vertAlign w:val="subscript"/>
                    </w:rPr>
                    <w:t>3</w:t>
                  </w:r>
                  <w:r>
                    <w:rPr>
                      <w:rFonts w:hint="default" w:ascii="Times New Roman" w:hAnsi="Times New Roman" w:cs="Times New Roman"/>
                      <w:color w:val="auto"/>
                      <w:szCs w:val="21"/>
                      <w:highlight w:val="none"/>
                    </w:rPr>
                    <w:t>-N</w:t>
                  </w:r>
                  <w:r>
                    <w:rPr>
                      <w:rFonts w:hint="default" w:ascii="Times New Roman" w:hAnsi="Times New Roman" w:cs="Times New Roman"/>
                      <w:color w:val="auto"/>
                      <w:kern w:val="0"/>
                      <w:szCs w:val="21"/>
                      <w:highlight w:val="none"/>
                      <w:lang w:bidi="ar"/>
                    </w:rPr>
                    <w:t>、</w:t>
                  </w:r>
                  <w:r>
                    <w:rPr>
                      <w:rFonts w:hint="default" w:ascii="Times New Roman" w:hAnsi="Times New Roman" w:cs="Times New Roman"/>
                      <w:color w:val="auto"/>
                      <w:szCs w:val="21"/>
                      <w:highlight w:val="none"/>
                    </w:rPr>
                    <w:t>TP、</w:t>
                  </w:r>
                  <w:r>
                    <w:rPr>
                      <w:rFonts w:hint="default" w:ascii="Times New Roman" w:hAnsi="Times New Roman" w:cs="Times New Roman"/>
                      <w:color w:val="auto"/>
                      <w:kern w:val="0"/>
                      <w:szCs w:val="21"/>
                      <w:highlight w:val="none"/>
                      <w:lang w:bidi="ar"/>
                    </w:rPr>
                    <w:t>TN</w:t>
                  </w:r>
                  <w:r>
                    <w:rPr>
                      <w:rFonts w:hint="default"/>
                      <w:color w:val="auto"/>
                      <w:kern w:val="0"/>
                      <w:szCs w:val="21"/>
                      <w:highlight w:val="none"/>
                      <w:lang w:bidi="ar"/>
                    </w:rPr>
                    <w:t>、LAS、石油类</w:t>
                  </w:r>
                </w:p>
              </w:tc>
              <w:tc>
                <w:tcPr>
                  <w:tcW w:w="993" w:type="dxa"/>
                  <w:shd w:val="clear" w:color="auto" w:fill="auto"/>
                  <w:vAlign w:val="center"/>
                </w:tcPr>
                <w:p w14:paraId="157276B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1次/年</w:t>
                  </w:r>
                </w:p>
              </w:tc>
              <w:tc>
                <w:tcPr>
                  <w:tcW w:w="2883" w:type="dxa"/>
                  <w:vAlign w:val="center"/>
                </w:tcPr>
                <w:p w14:paraId="50BAA50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bidi="ar"/>
                    </w:rPr>
                    <w:t>《污水综合排放标准》（GB8978-1996）表4中三级标准</w:t>
                  </w:r>
                </w:p>
              </w:tc>
            </w:tr>
          </w:tbl>
          <w:p w14:paraId="442D0E06">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highlight w:val="none"/>
              </w:rPr>
            </w:pPr>
          </w:p>
        </w:tc>
      </w:tr>
      <w:tr w14:paraId="7A26A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52" w:type="dxa"/>
            <w:vMerge w:val="continue"/>
            <w:shd w:val="clear" w:color="auto" w:fill="auto"/>
          </w:tcPr>
          <w:p w14:paraId="0FC6C7B9">
            <w:pPr>
              <w:keepNext w:val="0"/>
              <w:keepLines w:val="0"/>
              <w:suppressLineNumbers w:val="0"/>
              <w:tabs>
                <w:tab w:val="left" w:pos="1077"/>
              </w:tabs>
              <w:spacing w:before="0" w:beforeAutospacing="0" w:after="0" w:afterAutospacing="0"/>
              <w:ind w:left="0" w:right="0"/>
              <w:rPr>
                <w:rFonts w:hint="default" w:ascii="Times New Roman" w:hAnsi="Times New Roman" w:cs="Times New Roman"/>
                <w:color w:val="auto"/>
                <w:sz w:val="24"/>
                <w:highlight w:val="none"/>
              </w:rPr>
            </w:pPr>
          </w:p>
        </w:tc>
        <w:tc>
          <w:tcPr>
            <w:tcW w:w="8609" w:type="dxa"/>
            <w:shd w:val="clear" w:color="auto" w:fill="auto"/>
          </w:tcPr>
          <w:p w14:paraId="3950C100">
            <w:pPr>
              <w:keepNext/>
              <w:keepLines/>
              <w:suppressLineNumbers w:val="0"/>
              <w:spacing w:before="0" w:beforeAutospacing="0" w:after="0" w:afterAutospacing="0" w:line="360" w:lineRule="auto"/>
              <w:ind w:left="0" w:right="0" w:firstLine="354" w:firstLineChars="147"/>
              <w:outlineLvl w:val="2"/>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三、噪声环境影响和保护措施</w:t>
            </w:r>
          </w:p>
          <w:p w14:paraId="146073C0">
            <w:pPr>
              <w:keepNext/>
              <w:keepLines/>
              <w:suppressLineNumbers w:val="0"/>
              <w:spacing w:before="0" w:beforeAutospacing="0" w:after="0" w:afterAutospacing="0" w:line="360" w:lineRule="auto"/>
              <w:ind w:left="0" w:right="0" w:firstLine="472" w:firstLineChars="196"/>
              <w:outlineLvl w:val="2"/>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1、噪声源强</w:t>
            </w:r>
          </w:p>
          <w:p w14:paraId="01824A3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kern w:val="0"/>
                <w:sz w:val="24"/>
                <w:highlight w:val="none"/>
              </w:rPr>
              <w:t>本项目新增设备有</w:t>
            </w:r>
            <w:r>
              <w:rPr>
                <w:rFonts w:hint="default" w:ascii="Times New Roman" w:hAnsi="Times New Roman" w:eastAsia="宋体" w:cs="Times New Roman"/>
                <w:color w:val="auto"/>
                <w:kern w:val="0"/>
                <w:sz w:val="24"/>
                <w:highlight w:val="none"/>
              </w:rPr>
              <w:t>为</w:t>
            </w:r>
            <w:r>
              <w:rPr>
                <w:rFonts w:hint="eastAsia" w:ascii="Times New Roman" w:hAnsi="Times New Roman" w:eastAsia="宋体" w:cs="Times New Roman"/>
                <w:color w:val="auto"/>
                <w:kern w:val="0"/>
                <w:sz w:val="24"/>
                <w:highlight w:val="none"/>
                <w:lang w:val="en-US" w:eastAsia="zh-CN"/>
              </w:rPr>
              <w:t>磨床</w:t>
            </w:r>
            <w:r>
              <w:rPr>
                <w:rFonts w:hint="default" w:ascii="Times New Roman" w:hAnsi="Times New Roman" w:eastAsia="宋体" w:cs="Times New Roman"/>
                <w:color w:val="auto"/>
                <w:kern w:val="0"/>
                <w:sz w:val="24"/>
                <w:highlight w:val="none"/>
              </w:rPr>
              <w:t>、</w:t>
            </w:r>
            <w:r>
              <w:rPr>
                <w:rFonts w:hint="default" w:ascii="Times New Roman" w:hAnsi="Times New Roman" w:eastAsia="宋体" w:cs="Times New Roman"/>
                <w:color w:val="auto"/>
                <w:kern w:val="0"/>
                <w:sz w:val="24"/>
                <w:highlight w:val="none"/>
                <w:lang w:val="en-US" w:eastAsia="zh-CN"/>
              </w:rPr>
              <w:t>数控车床</w:t>
            </w:r>
            <w:r>
              <w:rPr>
                <w:rFonts w:hint="default" w:ascii="Times New Roman" w:hAnsi="Times New Roman" w:eastAsia="宋体" w:cs="Times New Roman"/>
                <w:color w:val="auto"/>
                <w:kern w:val="0"/>
                <w:sz w:val="24"/>
                <w:highlight w:val="none"/>
              </w:rPr>
              <w:t>、</w:t>
            </w:r>
            <w:r>
              <w:rPr>
                <w:rFonts w:hint="default" w:ascii="Times New Roman" w:hAnsi="Times New Roman" w:eastAsia="宋体" w:cs="Times New Roman"/>
                <w:color w:val="auto"/>
                <w:kern w:val="0"/>
                <w:sz w:val="24"/>
                <w:highlight w:val="none"/>
                <w:lang w:val="en-US" w:eastAsia="zh-CN"/>
              </w:rPr>
              <w:t>喷砂机</w:t>
            </w:r>
            <w:r>
              <w:rPr>
                <w:rFonts w:hint="default" w:ascii="Times New Roman" w:hAnsi="Times New Roman" w:eastAsia="宋体" w:cs="Times New Roman"/>
                <w:color w:val="auto"/>
                <w:kern w:val="0"/>
                <w:sz w:val="24"/>
                <w:highlight w:val="none"/>
              </w:rPr>
              <w:t>、</w:t>
            </w:r>
            <w:r>
              <w:rPr>
                <w:rFonts w:hint="eastAsia" w:ascii="Times New Roman" w:hAnsi="Times New Roman" w:eastAsia="宋体" w:cs="Times New Roman"/>
                <w:color w:val="auto"/>
                <w:kern w:val="0"/>
                <w:sz w:val="24"/>
                <w:highlight w:val="none"/>
                <w:lang w:val="en-US" w:eastAsia="zh-CN"/>
              </w:rPr>
              <w:t>抛</w:t>
            </w:r>
            <w:r>
              <w:rPr>
                <w:rFonts w:hint="default" w:ascii="Times New Roman" w:hAnsi="Times New Roman" w:eastAsia="宋体" w:cs="Times New Roman"/>
                <w:color w:val="auto"/>
                <w:kern w:val="0"/>
                <w:sz w:val="24"/>
                <w:highlight w:val="none"/>
                <w:lang w:val="en-US" w:eastAsia="zh-CN"/>
              </w:rPr>
              <w:t>丸机</w:t>
            </w:r>
            <w:r>
              <w:rPr>
                <w:rFonts w:hint="default" w:ascii="Times New Roman" w:hAnsi="Times New Roman" w:eastAsia="宋体" w:cs="Times New Roman"/>
                <w:color w:val="auto"/>
                <w:kern w:val="0"/>
                <w:sz w:val="24"/>
                <w:highlight w:val="none"/>
              </w:rPr>
              <w:t>、</w:t>
            </w:r>
            <w:r>
              <w:rPr>
                <w:rFonts w:hint="eastAsia" w:ascii="Times New Roman" w:hAnsi="Times New Roman" w:eastAsia="宋体" w:cs="Times New Roman"/>
                <w:color w:val="auto"/>
                <w:kern w:val="0"/>
                <w:sz w:val="24"/>
                <w:highlight w:val="none"/>
                <w:lang w:val="en-US" w:eastAsia="zh-CN"/>
              </w:rPr>
              <w:t>超声波清洗机</w:t>
            </w:r>
            <w:r>
              <w:rPr>
                <w:rFonts w:hint="default" w:ascii="Times New Roman" w:hAnsi="Times New Roman" w:eastAsia="宋体" w:cs="Times New Roman"/>
                <w:color w:val="auto"/>
                <w:kern w:val="0"/>
                <w:sz w:val="24"/>
                <w:highlight w:val="none"/>
              </w:rPr>
              <w:t>、</w:t>
            </w:r>
            <w:r>
              <w:rPr>
                <w:rFonts w:hint="eastAsia" w:ascii="Times New Roman" w:hAnsi="Times New Roman" w:eastAsia="宋体" w:cs="Times New Roman"/>
                <w:color w:val="auto"/>
                <w:kern w:val="0"/>
                <w:sz w:val="24"/>
                <w:highlight w:val="none"/>
                <w:lang w:val="en-US" w:eastAsia="zh-CN"/>
              </w:rPr>
              <w:t>喷枪</w:t>
            </w:r>
            <w:r>
              <w:rPr>
                <w:rFonts w:hint="default" w:ascii="Times New Roman" w:hAnsi="Times New Roman" w:eastAsia="宋体" w:cs="Times New Roman"/>
                <w:color w:val="auto"/>
                <w:kern w:val="0"/>
                <w:sz w:val="24"/>
                <w:highlight w:val="none"/>
              </w:rPr>
              <w:t>等</w:t>
            </w:r>
            <w:r>
              <w:rPr>
                <w:rFonts w:hint="default" w:ascii="Times New Roman" w:hAnsi="Times New Roman" w:cs="Times New Roman"/>
                <w:color w:val="auto"/>
                <w:kern w:val="0"/>
                <w:sz w:val="24"/>
                <w:highlight w:val="none"/>
              </w:rPr>
              <w:t>，企业选用低噪声设备，通过厂房隔声、减振等降噪措施，可有效控制噪声影响。</w:t>
            </w:r>
            <w:r>
              <w:rPr>
                <w:rFonts w:hint="default" w:ascii="Times New Roman" w:hAnsi="Times New Roman" w:cs="Times New Roman"/>
                <w:color w:val="auto"/>
                <w:sz w:val="24"/>
                <w:highlight w:val="none"/>
              </w:rPr>
              <w:t>经类比《环境噪声与振动控制工程技术导则》（HJ 2034-2013）附录A常见噪声源及其声功率级，本项目主要生产设备声功率级约为75~90dB(A)，采取消声、隔声、减振等降噪措施。主要声源划分为室内声源和室外声源两类。</w:t>
            </w:r>
          </w:p>
          <w:p w14:paraId="73DDC04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（1）室内和室外声级差的计算</w:t>
            </w:r>
          </w:p>
          <w:p w14:paraId="63B8F60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当声源位于室内，设靠近开口处（或窗户）室内和室外的声级分别为L</w:t>
            </w:r>
            <w:r>
              <w:rPr>
                <w:rFonts w:hint="default" w:ascii="Times New Roman" w:hAnsi="Times New Roman" w:cs="Times New Roman"/>
                <w:color w:val="auto"/>
                <w:sz w:val="24"/>
                <w:highlight w:val="none"/>
                <w:vertAlign w:val="subscript"/>
              </w:rPr>
              <w:t>1</w:t>
            </w:r>
            <w:r>
              <w:rPr>
                <w:rFonts w:hint="default" w:ascii="Times New Roman" w:hAnsi="Times New Roman" w:cs="Times New Roman"/>
                <w:color w:val="auto"/>
                <w:sz w:val="24"/>
                <w:highlight w:val="none"/>
              </w:rPr>
              <w:t>和L</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，若声源所在室内声场近似扩散声场，且墙的隔声量远大于窗的隔声量，则室内和室外的声级差为：</w:t>
            </w:r>
          </w:p>
          <w:p w14:paraId="0D3B1F63">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NR=L</w:t>
            </w:r>
            <w:r>
              <w:rPr>
                <w:rFonts w:hint="default" w:ascii="Times New Roman" w:hAnsi="Times New Roman" w:cs="Times New Roman"/>
                <w:color w:val="auto"/>
                <w:sz w:val="24"/>
                <w:highlight w:val="none"/>
                <w:vertAlign w:val="subscript"/>
              </w:rPr>
              <w:t>1</w:t>
            </w: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=TL+6                         （1）</w:t>
            </w:r>
          </w:p>
          <w:p w14:paraId="1AD468E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式中TL—窗户的隔声量，dB；</w:t>
            </w:r>
          </w:p>
          <w:p w14:paraId="6E455C9A">
            <w:pPr>
              <w:keepNext w:val="0"/>
              <w:keepLines w:val="0"/>
              <w:suppressLineNumbers w:val="0"/>
              <w:spacing w:before="0" w:beforeAutospacing="0" w:after="0" w:afterAutospacing="0" w:line="360" w:lineRule="auto"/>
              <w:ind w:left="0" w:right="0" w:firstLine="1080" w:firstLineChars="45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NR—室内和室外的声级差，或称插入损失，dB。</w:t>
            </w:r>
          </w:p>
          <w:p w14:paraId="5DE78996">
            <w:pPr>
              <w:keepNext w:val="0"/>
              <w:keepLines w:val="0"/>
              <w:suppressLineNumbers w:val="0"/>
              <w:spacing w:before="0" w:beforeAutospacing="0" w:after="0" w:afterAutospacing="0" w:line="360" w:lineRule="auto"/>
              <w:ind w:left="0" w:right="0" w:firstLine="1080" w:firstLineChars="45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TL、NR均和声波的频率有关。其中L</w:t>
            </w:r>
            <w:r>
              <w:rPr>
                <w:rFonts w:hint="default" w:ascii="Times New Roman" w:hAnsi="Times New Roman" w:cs="Times New Roman"/>
                <w:color w:val="auto"/>
                <w:sz w:val="24"/>
                <w:highlight w:val="none"/>
                <w:vertAlign w:val="subscript"/>
              </w:rPr>
              <w:t>1</w:t>
            </w:r>
            <w:r>
              <w:rPr>
                <w:rFonts w:hint="default" w:ascii="Times New Roman" w:hAnsi="Times New Roman" w:cs="Times New Roman"/>
                <w:color w:val="auto"/>
                <w:sz w:val="24"/>
                <w:highlight w:val="none"/>
              </w:rPr>
              <w:t>可以是测量值或计算值，若为计算值时，按下式计算：</w:t>
            </w:r>
          </w:p>
          <w:p w14:paraId="18BBEF23">
            <w:pPr>
              <w:keepNext w:val="0"/>
              <w:keepLines w:val="0"/>
              <w:suppressLineNumbers w:val="0"/>
              <w:spacing w:before="0" w:beforeAutospacing="0" w:after="0" w:afterAutospacing="0" w:line="360" w:lineRule="auto"/>
              <w:ind w:left="0" w:right="0"/>
              <w:jc w:val="righ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1</w:t>
            </w: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W1</w:t>
            </w:r>
            <w:r>
              <w:rPr>
                <w:rFonts w:hint="default" w:ascii="Times New Roman" w:hAnsi="Times New Roman" w:cs="Times New Roman"/>
                <w:color w:val="auto"/>
                <w:sz w:val="24"/>
                <w:highlight w:val="none"/>
              </w:rPr>
              <w:t>+10lg[Q/（4πr</w:t>
            </w:r>
            <w:r>
              <w:rPr>
                <w:rFonts w:hint="default" w:ascii="Times New Roman" w:hAnsi="Times New Roman" w:cs="Times New Roman"/>
                <w:color w:val="auto"/>
                <w:sz w:val="24"/>
                <w:highlight w:val="none"/>
                <w:vertAlign w:val="subscript"/>
              </w:rPr>
              <w:t>1</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rPr>
              <w:t>）+4/R]                    （2）</w:t>
            </w:r>
          </w:p>
          <w:p w14:paraId="2BD6101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式中：L</w:t>
            </w:r>
            <w:r>
              <w:rPr>
                <w:rFonts w:hint="default" w:ascii="Times New Roman" w:hAnsi="Times New Roman" w:cs="Times New Roman"/>
                <w:color w:val="auto"/>
                <w:sz w:val="24"/>
                <w:highlight w:val="none"/>
                <w:vertAlign w:val="subscript"/>
              </w:rPr>
              <w:t>W1</w:t>
            </w:r>
            <w:r>
              <w:rPr>
                <w:rFonts w:hint="default" w:ascii="Times New Roman" w:hAnsi="Times New Roman" w:cs="Times New Roman"/>
                <w:color w:val="auto"/>
                <w:sz w:val="24"/>
                <w:highlight w:val="none"/>
              </w:rPr>
              <w:t>—某个室内声源在靠近围护结构处产生的倍频带声功率级；</w:t>
            </w:r>
          </w:p>
          <w:p w14:paraId="1EC8D2BC">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r</w:t>
            </w:r>
            <w:r>
              <w:rPr>
                <w:rFonts w:hint="default" w:ascii="Times New Roman" w:hAnsi="Times New Roman" w:cs="Times New Roman"/>
                <w:color w:val="auto"/>
                <w:sz w:val="24"/>
                <w:highlight w:val="none"/>
                <w:vertAlign w:val="subscript"/>
              </w:rPr>
              <w:t>1</w:t>
            </w:r>
            <w:r>
              <w:rPr>
                <w:rFonts w:hint="default" w:ascii="Times New Roman" w:hAnsi="Times New Roman" w:cs="Times New Roman"/>
                <w:color w:val="auto"/>
                <w:sz w:val="24"/>
                <w:highlight w:val="none"/>
              </w:rPr>
              <w:t>—某个室内声源与靠近围护结构处的距离；</w:t>
            </w:r>
          </w:p>
          <w:p w14:paraId="344F750F">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Q—指向性因子；通常对无指向性声源，①当声源放在房间中心时，Q=1；②当放在一面墙的中心时，Q=2；③当放在两面墙夹角处时，Q=4；④当放在三面墙夹角处时，Q=8；</w:t>
            </w:r>
          </w:p>
          <w:p w14:paraId="31D73698">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1</w:t>
            </w:r>
            <w:r>
              <w:rPr>
                <w:rFonts w:hint="default" w:ascii="Times New Roman" w:hAnsi="Times New Roman" w:cs="Times New Roman"/>
                <w:color w:val="auto"/>
                <w:sz w:val="24"/>
                <w:highlight w:val="none"/>
              </w:rPr>
              <w:t>—靠近围护结构处的倍频带声压级。</w:t>
            </w:r>
          </w:p>
          <w:p w14:paraId="4CFCD09D">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R—房间常数；</w:t>
            </w:r>
          </w:p>
          <w:p w14:paraId="1A700477">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R=Sα/（1-α）</w:t>
            </w:r>
          </w:p>
          <w:p w14:paraId="30EBA732">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S—房间内表面面积，m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rPr>
              <w:t>；</w:t>
            </w:r>
          </w:p>
          <w:p w14:paraId="1FE823C4">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α—平均吸声系数，本项目取砖墙抹灰材料结构系数，平均值0.03。</w:t>
            </w:r>
          </w:p>
          <w:p w14:paraId="461B63A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（2）等效室外声源的声功率级计算</w:t>
            </w:r>
          </w:p>
          <w:p w14:paraId="0ECEAA6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首先用公式（2）计算出某个声源在某个室内围护结构处（如窗户）的倍频带声压级，然后计算出所有室内声源在靠近围护结构处产生的总倍频带叠加声压级（按噪声级叠加计算求和），再将室外声级L</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和透声面积换算成等效室外声源，计算出等效声源的倍频带声功率级。</w:t>
            </w:r>
          </w:p>
          <w:p w14:paraId="0AF0436C">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w2</w:t>
            </w: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（T）+10 lgS                     （3）</w:t>
            </w:r>
          </w:p>
          <w:p w14:paraId="61C337C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w2</w:t>
            </w:r>
            <w:r>
              <w:rPr>
                <w:rFonts w:hint="default" w:ascii="Times New Roman" w:hAnsi="Times New Roman" w:cs="Times New Roman"/>
                <w:color w:val="auto"/>
                <w:sz w:val="24"/>
                <w:highlight w:val="none"/>
              </w:rPr>
              <w:t>—等效声源的倍频带声功率级；</w:t>
            </w:r>
          </w:p>
          <w:p w14:paraId="03C5D29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S—透声面积，m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rPr>
              <w:t>；</w:t>
            </w:r>
          </w:p>
          <w:p w14:paraId="07D8544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L</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—室外声级。等效室外声源的位置为围护结构的位置。</w:t>
            </w:r>
          </w:p>
          <w:p w14:paraId="18A509C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656B0C5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213709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23F6D27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6C526E3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6EF6BE1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791BE2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6D3952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3741371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CF7B8B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674FF27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174D379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6CBAAF3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1B2CAE0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47F730A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21F1714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3DFD271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5994082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399CDA8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0E98B4F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4FB8595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2A22C72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p w14:paraId="3C9E7E29">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tc>
      </w:tr>
    </w:tbl>
    <w:p w14:paraId="4670C028">
      <w:pP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br w:type="page"/>
      </w:r>
    </w:p>
    <w:p w14:paraId="29908559">
      <w:pPr>
        <w:rPr>
          <w:rFonts w:hint="default" w:ascii="Times New Roman" w:hAnsi="Times New Roman" w:cs="Times New Roman"/>
          <w:color w:val="auto"/>
          <w:highlight w:val="none"/>
        </w:rPr>
        <w:sectPr>
          <w:pgSz w:w="11905" w:h="16838"/>
          <w:pgMar w:top="1701" w:right="1531" w:bottom="2126" w:left="1531" w:header="851" w:footer="850" w:gutter="0"/>
          <w:pgBorders>
            <w:top w:val="none" w:sz="0" w:space="0"/>
            <w:left w:val="none" w:sz="0" w:space="0"/>
            <w:bottom w:val="none" w:sz="0" w:space="0"/>
            <w:right w:val="none" w:sz="0" w:space="0"/>
          </w:pgBorders>
          <w:cols w:space="0" w:num="1"/>
          <w:docGrid w:linePitch="312" w:charSpace="0"/>
        </w:sectPr>
      </w:pPr>
    </w:p>
    <w:p w14:paraId="5D91B02F">
      <w:pPr>
        <w:widowControl/>
        <w:adjustRightInd w:val="0"/>
        <w:snapToGrid w:val="0"/>
        <w:jc w:val="center"/>
        <w:textAlignment w:val="baseline"/>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表4-2</w:t>
      </w:r>
      <w:r>
        <w:rPr>
          <w:rFonts w:hint="eastAsia" w:cs="Times New Roman"/>
          <w:b/>
          <w:color w:val="auto"/>
          <w:kern w:val="0"/>
          <w:sz w:val="24"/>
          <w:highlight w:val="none"/>
          <w:lang w:val="en-US" w:eastAsia="zh-CN"/>
        </w:rPr>
        <w:t>6</w:t>
      </w:r>
      <w:r>
        <w:rPr>
          <w:rFonts w:hint="default" w:ascii="Times New Roman" w:hAnsi="Times New Roman" w:cs="Times New Roman"/>
          <w:b/>
          <w:color w:val="auto"/>
          <w:kern w:val="0"/>
          <w:sz w:val="24"/>
          <w:highlight w:val="none"/>
        </w:rPr>
        <w:t xml:space="preserve">  建设项目营运期主要噪声源源强</w:t>
      </w:r>
    </w:p>
    <w:tbl>
      <w:tblPr>
        <w:tblStyle w:val="61"/>
        <w:tblW w:w="14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396"/>
        <w:gridCol w:w="1"/>
        <w:gridCol w:w="397"/>
        <w:gridCol w:w="825"/>
        <w:gridCol w:w="394"/>
        <w:gridCol w:w="637"/>
        <w:gridCol w:w="398"/>
        <w:gridCol w:w="594"/>
        <w:gridCol w:w="3"/>
        <w:gridCol w:w="530"/>
        <w:gridCol w:w="444"/>
        <w:gridCol w:w="2"/>
        <w:gridCol w:w="536"/>
        <w:gridCol w:w="536"/>
        <w:gridCol w:w="536"/>
        <w:gridCol w:w="541"/>
        <w:gridCol w:w="3"/>
        <w:gridCol w:w="533"/>
        <w:gridCol w:w="536"/>
        <w:gridCol w:w="536"/>
        <w:gridCol w:w="541"/>
        <w:gridCol w:w="8"/>
        <w:gridCol w:w="1112"/>
        <w:gridCol w:w="5"/>
        <w:gridCol w:w="531"/>
        <w:gridCol w:w="536"/>
        <w:gridCol w:w="536"/>
        <w:gridCol w:w="541"/>
        <w:gridCol w:w="536"/>
        <w:gridCol w:w="541"/>
        <w:gridCol w:w="3"/>
        <w:gridCol w:w="533"/>
        <w:gridCol w:w="536"/>
        <w:gridCol w:w="310"/>
        <w:gridCol w:w="1"/>
      </w:tblGrid>
      <w:tr w14:paraId="02482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vMerge w:val="restart"/>
            <w:vAlign w:val="center"/>
          </w:tcPr>
          <w:p w14:paraId="7FE42CA4">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397" w:type="dxa"/>
            <w:vMerge w:val="restart"/>
            <w:vAlign w:val="center"/>
          </w:tcPr>
          <w:p w14:paraId="550D39AF">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建筑物名称</w:t>
            </w:r>
          </w:p>
        </w:tc>
        <w:tc>
          <w:tcPr>
            <w:tcW w:w="825" w:type="dxa"/>
            <w:vMerge w:val="restart"/>
            <w:vAlign w:val="center"/>
          </w:tcPr>
          <w:p w14:paraId="1C7E0897">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声源</w:t>
            </w:r>
          </w:p>
          <w:p w14:paraId="3781749A">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名称</w:t>
            </w:r>
          </w:p>
        </w:tc>
        <w:tc>
          <w:tcPr>
            <w:tcW w:w="394" w:type="dxa"/>
            <w:vMerge w:val="restart"/>
            <w:vAlign w:val="center"/>
          </w:tcPr>
          <w:p w14:paraId="40D86E7B">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设备</w:t>
            </w:r>
          </w:p>
          <w:p w14:paraId="4800ECA9">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数量</w:t>
            </w:r>
          </w:p>
        </w:tc>
        <w:tc>
          <w:tcPr>
            <w:tcW w:w="637" w:type="dxa"/>
            <w:vAlign w:val="center"/>
          </w:tcPr>
          <w:p w14:paraId="71EC16AC">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声源</w:t>
            </w:r>
          </w:p>
          <w:p w14:paraId="31D94332">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源强</w:t>
            </w:r>
          </w:p>
        </w:tc>
        <w:tc>
          <w:tcPr>
            <w:tcW w:w="398" w:type="dxa"/>
            <w:vMerge w:val="restart"/>
            <w:vAlign w:val="center"/>
          </w:tcPr>
          <w:p w14:paraId="4D315E6E">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声源控制措施</w:t>
            </w:r>
          </w:p>
        </w:tc>
        <w:tc>
          <w:tcPr>
            <w:tcW w:w="1573" w:type="dxa"/>
            <w:gridSpan w:val="5"/>
            <w:vAlign w:val="center"/>
          </w:tcPr>
          <w:p w14:paraId="5E1F9A48">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空间相对位置/m</w:t>
            </w:r>
          </w:p>
        </w:tc>
        <w:tc>
          <w:tcPr>
            <w:tcW w:w="2149" w:type="dxa"/>
            <w:gridSpan w:val="4"/>
            <w:vAlign w:val="center"/>
          </w:tcPr>
          <w:p w14:paraId="1980B06F">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距室内边界距离/m</w:t>
            </w:r>
          </w:p>
        </w:tc>
        <w:tc>
          <w:tcPr>
            <w:tcW w:w="2149" w:type="dxa"/>
            <w:gridSpan w:val="5"/>
            <w:vAlign w:val="center"/>
          </w:tcPr>
          <w:p w14:paraId="31BD27CD">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室内边界声级/</w:t>
            </w:r>
          </w:p>
          <w:p w14:paraId="73285777">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dB(A)</w:t>
            </w:r>
          </w:p>
        </w:tc>
        <w:tc>
          <w:tcPr>
            <w:tcW w:w="1120" w:type="dxa"/>
            <w:gridSpan w:val="2"/>
            <w:vMerge w:val="restart"/>
            <w:vAlign w:val="center"/>
          </w:tcPr>
          <w:p w14:paraId="4183B4F8">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运行时段</w:t>
            </w:r>
          </w:p>
        </w:tc>
        <w:tc>
          <w:tcPr>
            <w:tcW w:w="2149" w:type="dxa"/>
            <w:gridSpan w:val="5"/>
            <w:vAlign w:val="center"/>
          </w:tcPr>
          <w:p w14:paraId="07CB32AB">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建筑物插入损失/d B(A)</w:t>
            </w:r>
          </w:p>
        </w:tc>
        <w:tc>
          <w:tcPr>
            <w:tcW w:w="2460" w:type="dxa"/>
            <w:gridSpan w:val="7"/>
            <w:vAlign w:val="center"/>
          </w:tcPr>
          <w:p w14:paraId="7B2AC756">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建筑物外噪声声压级</w:t>
            </w:r>
          </w:p>
          <w:p w14:paraId="62EC8601">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/dB(A)</w:t>
            </w:r>
          </w:p>
        </w:tc>
      </w:tr>
      <w:tr w14:paraId="59842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vMerge w:val="continue"/>
            <w:vAlign w:val="center"/>
          </w:tcPr>
          <w:p w14:paraId="0D86BFA5">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p>
        </w:tc>
        <w:tc>
          <w:tcPr>
            <w:tcW w:w="397" w:type="dxa"/>
            <w:vMerge w:val="continue"/>
            <w:vAlign w:val="center"/>
          </w:tcPr>
          <w:p w14:paraId="05BF063C">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p>
        </w:tc>
        <w:tc>
          <w:tcPr>
            <w:tcW w:w="825" w:type="dxa"/>
            <w:vMerge w:val="continue"/>
            <w:vAlign w:val="center"/>
          </w:tcPr>
          <w:p w14:paraId="2E06E5C0">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p>
        </w:tc>
        <w:tc>
          <w:tcPr>
            <w:tcW w:w="394" w:type="dxa"/>
            <w:vMerge w:val="continue"/>
            <w:vAlign w:val="center"/>
          </w:tcPr>
          <w:p w14:paraId="2A655FB6">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p>
        </w:tc>
        <w:tc>
          <w:tcPr>
            <w:tcW w:w="637" w:type="dxa"/>
            <w:vAlign w:val="center"/>
          </w:tcPr>
          <w:p w14:paraId="71DF6BFA">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声功率级/dB(A)</w:t>
            </w:r>
          </w:p>
        </w:tc>
        <w:tc>
          <w:tcPr>
            <w:tcW w:w="398" w:type="dxa"/>
            <w:vMerge w:val="continue"/>
            <w:vAlign w:val="center"/>
          </w:tcPr>
          <w:p w14:paraId="606CFDA8">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p>
        </w:tc>
        <w:tc>
          <w:tcPr>
            <w:tcW w:w="597" w:type="dxa"/>
            <w:gridSpan w:val="2"/>
            <w:vAlign w:val="center"/>
          </w:tcPr>
          <w:p w14:paraId="619931C7">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X</w:t>
            </w:r>
          </w:p>
        </w:tc>
        <w:tc>
          <w:tcPr>
            <w:tcW w:w="530" w:type="dxa"/>
            <w:vAlign w:val="center"/>
          </w:tcPr>
          <w:p w14:paraId="6D39851A">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Y</w:t>
            </w:r>
          </w:p>
        </w:tc>
        <w:tc>
          <w:tcPr>
            <w:tcW w:w="446" w:type="dxa"/>
            <w:gridSpan w:val="2"/>
            <w:vAlign w:val="center"/>
          </w:tcPr>
          <w:p w14:paraId="27C5DD69">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Z</w:t>
            </w:r>
          </w:p>
        </w:tc>
        <w:tc>
          <w:tcPr>
            <w:tcW w:w="536" w:type="dxa"/>
            <w:vAlign w:val="center"/>
          </w:tcPr>
          <w:p w14:paraId="56C7A40C">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东</w:t>
            </w:r>
          </w:p>
        </w:tc>
        <w:tc>
          <w:tcPr>
            <w:tcW w:w="536" w:type="dxa"/>
            <w:vAlign w:val="center"/>
          </w:tcPr>
          <w:p w14:paraId="49EB3FBB">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南</w:t>
            </w:r>
          </w:p>
        </w:tc>
        <w:tc>
          <w:tcPr>
            <w:tcW w:w="536" w:type="dxa"/>
            <w:vAlign w:val="center"/>
          </w:tcPr>
          <w:p w14:paraId="0EDBF4B7">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西</w:t>
            </w:r>
          </w:p>
        </w:tc>
        <w:tc>
          <w:tcPr>
            <w:tcW w:w="541" w:type="dxa"/>
            <w:vAlign w:val="center"/>
          </w:tcPr>
          <w:p w14:paraId="4414A541">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北</w:t>
            </w:r>
          </w:p>
        </w:tc>
        <w:tc>
          <w:tcPr>
            <w:tcW w:w="536" w:type="dxa"/>
            <w:gridSpan w:val="2"/>
            <w:vAlign w:val="center"/>
          </w:tcPr>
          <w:p w14:paraId="3A0E848C">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东</w:t>
            </w:r>
          </w:p>
        </w:tc>
        <w:tc>
          <w:tcPr>
            <w:tcW w:w="536" w:type="dxa"/>
            <w:vAlign w:val="center"/>
          </w:tcPr>
          <w:p w14:paraId="7CC37EA8">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南</w:t>
            </w:r>
          </w:p>
        </w:tc>
        <w:tc>
          <w:tcPr>
            <w:tcW w:w="536" w:type="dxa"/>
            <w:vAlign w:val="center"/>
          </w:tcPr>
          <w:p w14:paraId="4ED11CFF">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西</w:t>
            </w:r>
          </w:p>
        </w:tc>
        <w:tc>
          <w:tcPr>
            <w:tcW w:w="541" w:type="dxa"/>
            <w:vAlign w:val="center"/>
          </w:tcPr>
          <w:p w14:paraId="4E7FEBE9">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北</w:t>
            </w:r>
          </w:p>
        </w:tc>
        <w:tc>
          <w:tcPr>
            <w:tcW w:w="1120" w:type="dxa"/>
            <w:gridSpan w:val="2"/>
            <w:vMerge w:val="continue"/>
            <w:vAlign w:val="center"/>
          </w:tcPr>
          <w:p w14:paraId="5B6CC81B">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p>
        </w:tc>
        <w:tc>
          <w:tcPr>
            <w:tcW w:w="536" w:type="dxa"/>
            <w:gridSpan w:val="2"/>
            <w:vAlign w:val="center"/>
          </w:tcPr>
          <w:p w14:paraId="03CE4585">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东</w:t>
            </w:r>
          </w:p>
        </w:tc>
        <w:tc>
          <w:tcPr>
            <w:tcW w:w="536" w:type="dxa"/>
            <w:vAlign w:val="center"/>
          </w:tcPr>
          <w:p w14:paraId="6FF0D43E">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南</w:t>
            </w:r>
          </w:p>
        </w:tc>
        <w:tc>
          <w:tcPr>
            <w:tcW w:w="536" w:type="dxa"/>
            <w:vAlign w:val="center"/>
          </w:tcPr>
          <w:p w14:paraId="7C34A992">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西</w:t>
            </w:r>
          </w:p>
        </w:tc>
        <w:tc>
          <w:tcPr>
            <w:tcW w:w="541" w:type="dxa"/>
            <w:vAlign w:val="center"/>
          </w:tcPr>
          <w:p w14:paraId="2374AA91">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北</w:t>
            </w:r>
          </w:p>
        </w:tc>
        <w:tc>
          <w:tcPr>
            <w:tcW w:w="536" w:type="dxa"/>
            <w:vAlign w:val="center"/>
          </w:tcPr>
          <w:p w14:paraId="6614D347">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东</w:t>
            </w:r>
          </w:p>
        </w:tc>
        <w:tc>
          <w:tcPr>
            <w:tcW w:w="541" w:type="dxa"/>
            <w:vAlign w:val="center"/>
          </w:tcPr>
          <w:p w14:paraId="56E22B37">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南</w:t>
            </w:r>
          </w:p>
        </w:tc>
        <w:tc>
          <w:tcPr>
            <w:tcW w:w="536" w:type="dxa"/>
            <w:gridSpan w:val="2"/>
            <w:vAlign w:val="center"/>
          </w:tcPr>
          <w:p w14:paraId="3BC17FCF">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西</w:t>
            </w:r>
          </w:p>
        </w:tc>
        <w:tc>
          <w:tcPr>
            <w:tcW w:w="536" w:type="dxa"/>
            <w:vAlign w:val="center"/>
          </w:tcPr>
          <w:p w14:paraId="506434D5">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北</w:t>
            </w:r>
          </w:p>
        </w:tc>
        <w:tc>
          <w:tcPr>
            <w:tcW w:w="311" w:type="dxa"/>
            <w:gridSpan w:val="2"/>
            <w:vAlign w:val="center"/>
          </w:tcPr>
          <w:p w14:paraId="01692E23">
            <w:pPr>
              <w:keepNext w:val="0"/>
              <w:keepLines w:val="0"/>
              <w:suppressLineNumbers w:val="0"/>
              <w:snapToGrid w:val="0"/>
              <w:spacing w:before="0" w:beforeAutospacing="0" w:after="0" w:afterAutospacing="0"/>
              <w:ind w:left="-63" w:leftChars="-30" w:right="-63" w:rightChars="-3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建筑物外距离</w:t>
            </w:r>
          </w:p>
        </w:tc>
      </w:tr>
      <w:tr w14:paraId="294C8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4D98FBE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397" w:type="dxa"/>
            <w:vMerge w:val="restart"/>
            <w:vAlign w:val="center"/>
          </w:tcPr>
          <w:p w14:paraId="6270D7E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生产厂房</w:t>
            </w:r>
          </w:p>
        </w:tc>
        <w:tc>
          <w:tcPr>
            <w:tcW w:w="825" w:type="dxa"/>
            <w:shd w:val="clear" w:color="auto" w:fill="FFFFFF"/>
            <w:vAlign w:val="center"/>
          </w:tcPr>
          <w:p w14:paraId="51DE7C14">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数控车床</w:t>
            </w:r>
          </w:p>
        </w:tc>
        <w:tc>
          <w:tcPr>
            <w:tcW w:w="394" w:type="dxa"/>
            <w:shd w:val="clear" w:color="auto" w:fill="FFFFFF"/>
            <w:vAlign w:val="center"/>
          </w:tcPr>
          <w:p w14:paraId="09F01BE9">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45</w:t>
            </w:r>
          </w:p>
        </w:tc>
        <w:tc>
          <w:tcPr>
            <w:tcW w:w="637" w:type="dxa"/>
            <w:vAlign w:val="center"/>
          </w:tcPr>
          <w:p w14:paraId="67FFC74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80</w:t>
            </w:r>
          </w:p>
        </w:tc>
        <w:tc>
          <w:tcPr>
            <w:tcW w:w="398" w:type="dxa"/>
            <w:vAlign w:val="center"/>
          </w:tcPr>
          <w:p w14:paraId="0ACC841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1F07B2C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-40.9</w:t>
            </w:r>
          </w:p>
        </w:tc>
        <w:tc>
          <w:tcPr>
            <w:tcW w:w="530" w:type="dxa"/>
            <w:shd w:val="clear" w:color="auto" w:fill="FFFFFF"/>
            <w:vAlign w:val="center"/>
          </w:tcPr>
          <w:p w14:paraId="3618876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6.1</w:t>
            </w:r>
          </w:p>
        </w:tc>
        <w:tc>
          <w:tcPr>
            <w:tcW w:w="446" w:type="dxa"/>
            <w:gridSpan w:val="2"/>
            <w:shd w:val="clear" w:color="auto" w:fill="FFFFFF"/>
            <w:vAlign w:val="center"/>
          </w:tcPr>
          <w:p w14:paraId="3B8AD7D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2CDCE61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142.6</w:t>
            </w:r>
          </w:p>
        </w:tc>
        <w:tc>
          <w:tcPr>
            <w:tcW w:w="536" w:type="dxa"/>
            <w:shd w:val="clear" w:color="auto" w:fill="FFFFFF"/>
            <w:vAlign w:val="center"/>
          </w:tcPr>
          <w:p w14:paraId="5E99DFD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23.3</w:t>
            </w:r>
          </w:p>
        </w:tc>
        <w:tc>
          <w:tcPr>
            <w:tcW w:w="536" w:type="dxa"/>
            <w:shd w:val="clear" w:color="auto" w:fill="FFFFFF"/>
            <w:vAlign w:val="center"/>
          </w:tcPr>
          <w:p w14:paraId="70FBA9C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61.3</w:t>
            </w:r>
          </w:p>
        </w:tc>
        <w:tc>
          <w:tcPr>
            <w:tcW w:w="541" w:type="dxa"/>
            <w:shd w:val="clear" w:color="auto" w:fill="FFFFFF"/>
            <w:vAlign w:val="center"/>
          </w:tcPr>
          <w:p w14:paraId="48825DD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12.4</w:t>
            </w:r>
          </w:p>
        </w:tc>
        <w:tc>
          <w:tcPr>
            <w:tcW w:w="536" w:type="dxa"/>
            <w:gridSpan w:val="2"/>
            <w:shd w:val="clear" w:color="auto" w:fill="FFFFFF"/>
            <w:vAlign w:val="center"/>
          </w:tcPr>
          <w:p w14:paraId="6875F8B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10ADB37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6D372B6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41" w:type="dxa"/>
            <w:shd w:val="clear" w:color="auto" w:fill="FFFFFF"/>
            <w:vAlign w:val="center"/>
          </w:tcPr>
          <w:p w14:paraId="7E1065E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60.6</w:t>
            </w:r>
          </w:p>
        </w:tc>
        <w:tc>
          <w:tcPr>
            <w:tcW w:w="1120" w:type="dxa"/>
            <w:gridSpan w:val="2"/>
            <w:vAlign w:val="center"/>
          </w:tcPr>
          <w:p w14:paraId="0DF21F5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6EA01BA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3FC0AA5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2131A9E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1F3C241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05C7005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41" w:type="dxa"/>
            <w:shd w:val="clear" w:color="auto" w:fill="FFFFFF"/>
            <w:vAlign w:val="center"/>
          </w:tcPr>
          <w:p w14:paraId="6F1DAD6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gridSpan w:val="2"/>
            <w:shd w:val="clear" w:color="auto" w:fill="FFFFFF"/>
            <w:vAlign w:val="center"/>
          </w:tcPr>
          <w:p w14:paraId="7D3B9CD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shd w:val="clear" w:color="auto" w:fill="FFFFFF"/>
            <w:vAlign w:val="center"/>
          </w:tcPr>
          <w:p w14:paraId="44CA201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34.6</w:t>
            </w:r>
          </w:p>
        </w:tc>
        <w:tc>
          <w:tcPr>
            <w:tcW w:w="311" w:type="dxa"/>
            <w:gridSpan w:val="2"/>
            <w:vMerge w:val="restart"/>
            <w:vAlign w:val="center"/>
          </w:tcPr>
          <w:p w14:paraId="1F7E549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r>
      <w:tr w14:paraId="45F31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397" w:type="dxa"/>
            <w:gridSpan w:val="2"/>
            <w:shd w:val="clear" w:color="auto" w:fill="auto"/>
            <w:vAlign w:val="center"/>
          </w:tcPr>
          <w:p w14:paraId="4926302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397" w:type="dxa"/>
            <w:vMerge w:val="continue"/>
            <w:vAlign w:val="center"/>
          </w:tcPr>
          <w:p w14:paraId="6DF441C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5734099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小型加工中心（车铣一体）</w:t>
            </w:r>
          </w:p>
        </w:tc>
        <w:tc>
          <w:tcPr>
            <w:tcW w:w="394" w:type="dxa"/>
            <w:shd w:val="clear" w:color="auto" w:fill="FFFFFF"/>
            <w:vAlign w:val="center"/>
          </w:tcPr>
          <w:p w14:paraId="5982F006">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35</w:t>
            </w:r>
          </w:p>
        </w:tc>
        <w:tc>
          <w:tcPr>
            <w:tcW w:w="637" w:type="dxa"/>
            <w:vAlign w:val="center"/>
          </w:tcPr>
          <w:p w14:paraId="18667FE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7</w:t>
            </w:r>
            <w:r>
              <w:rPr>
                <w:rFonts w:hint="default" w:ascii="Times New Roman" w:hAnsi="Times New Roman" w:cs="Times New Roman"/>
                <w:color w:val="auto"/>
                <w:sz w:val="21"/>
                <w:szCs w:val="21"/>
                <w:highlight w:val="none"/>
                <w:lang w:val="en-US" w:eastAsia="zh-CN"/>
              </w:rPr>
              <w:t>8</w:t>
            </w:r>
          </w:p>
        </w:tc>
        <w:tc>
          <w:tcPr>
            <w:tcW w:w="398" w:type="dxa"/>
            <w:vAlign w:val="center"/>
          </w:tcPr>
          <w:p w14:paraId="5B7E322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095403C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-19.9</w:t>
            </w:r>
          </w:p>
        </w:tc>
        <w:tc>
          <w:tcPr>
            <w:tcW w:w="530" w:type="dxa"/>
            <w:shd w:val="clear" w:color="auto" w:fill="FFFFFF"/>
            <w:vAlign w:val="center"/>
          </w:tcPr>
          <w:p w14:paraId="7C1CD2B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11.2</w:t>
            </w:r>
          </w:p>
        </w:tc>
        <w:tc>
          <w:tcPr>
            <w:tcW w:w="446" w:type="dxa"/>
            <w:gridSpan w:val="2"/>
            <w:shd w:val="clear" w:color="auto" w:fill="FFFFFF"/>
            <w:vAlign w:val="center"/>
          </w:tcPr>
          <w:p w14:paraId="17BE3D0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53E7177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121.6</w:t>
            </w:r>
          </w:p>
        </w:tc>
        <w:tc>
          <w:tcPr>
            <w:tcW w:w="536" w:type="dxa"/>
            <w:shd w:val="clear" w:color="auto" w:fill="FFFFFF"/>
            <w:vAlign w:val="center"/>
          </w:tcPr>
          <w:p w14:paraId="6605B15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28.4</w:t>
            </w:r>
          </w:p>
        </w:tc>
        <w:tc>
          <w:tcPr>
            <w:tcW w:w="536" w:type="dxa"/>
            <w:shd w:val="clear" w:color="auto" w:fill="FFFFFF"/>
            <w:vAlign w:val="center"/>
          </w:tcPr>
          <w:p w14:paraId="16E55BA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82.3</w:t>
            </w:r>
          </w:p>
        </w:tc>
        <w:tc>
          <w:tcPr>
            <w:tcW w:w="541" w:type="dxa"/>
            <w:shd w:val="clear" w:color="auto" w:fill="FFFFFF"/>
            <w:vAlign w:val="center"/>
          </w:tcPr>
          <w:p w14:paraId="4E41992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7.3</w:t>
            </w:r>
          </w:p>
        </w:tc>
        <w:tc>
          <w:tcPr>
            <w:tcW w:w="536" w:type="dxa"/>
            <w:gridSpan w:val="2"/>
            <w:shd w:val="clear" w:color="auto" w:fill="FFFFFF"/>
            <w:vAlign w:val="center"/>
          </w:tcPr>
          <w:p w14:paraId="58053FC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58.4</w:t>
            </w:r>
          </w:p>
        </w:tc>
        <w:tc>
          <w:tcPr>
            <w:tcW w:w="536" w:type="dxa"/>
            <w:shd w:val="clear" w:color="auto" w:fill="FFFFFF"/>
            <w:vAlign w:val="center"/>
          </w:tcPr>
          <w:p w14:paraId="369861C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58.4</w:t>
            </w:r>
          </w:p>
        </w:tc>
        <w:tc>
          <w:tcPr>
            <w:tcW w:w="536" w:type="dxa"/>
            <w:shd w:val="clear" w:color="auto" w:fill="FFFFFF"/>
            <w:vAlign w:val="center"/>
          </w:tcPr>
          <w:p w14:paraId="004505A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58.4</w:t>
            </w:r>
          </w:p>
        </w:tc>
        <w:tc>
          <w:tcPr>
            <w:tcW w:w="541" w:type="dxa"/>
            <w:shd w:val="clear" w:color="auto" w:fill="FFFFFF"/>
            <w:vAlign w:val="center"/>
          </w:tcPr>
          <w:p w14:paraId="2B0FC96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58.9</w:t>
            </w:r>
          </w:p>
        </w:tc>
        <w:tc>
          <w:tcPr>
            <w:tcW w:w="1120" w:type="dxa"/>
            <w:gridSpan w:val="2"/>
            <w:vAlign w:val="center"/>
          </w:tcPr>
          <w:p w14:paraId="6410E7D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1F1FE7E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75142C2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979718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642680C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7A6F101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32.4</w:t>
            </w:r>
          </w:p>
        </w:tc>
        <w:tc>
          <w:tcPr>
            <w:tcW w:w="541" w:type="dxa"/>
            <w:shd w:val="clear" w:color="auto" w:fill="FFFFFF"/>
            <w:vAlign w:val="center"/>
          </w:tcPr>
          <w:p w14:paraId="2402769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32.4</w:t>
            </w:r>
          </w:p>
        </w:tc>
        <w:tc>
          <w:tcPr>
            <w:tcW w:w="536" w:type="dxa"/>
            <w:gridSpan w:val="2"/>
            <w:shd w:val="clear" w:color="auto" w:fill="FFFFFF"/>
            <w:vAlign w:val="center"/>
          </w:tcPr>
          <w:p w14:paraId="5A7011B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32.4</w:t>
            </w:r>
          </w:p>
        </w:tc>
        <w:tc>
          <w:tcPr>
            <w:tcW w:w="536" w:type="dxa"/>
            <w:shd w:val="clear" w:color="auto" w:fill="FFFFFF"/>
            <w:vAlign w:val="center"/>
          </w:tcPr>
          <w:p w14:paraId="3172386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32.9</w:t>
            </w:r>
          </w:p>
        </w:tc>
        <w:tc>
          <w:tcPr>
            <w:tcW w:w="311" w:type="dxa"/>
            <w:gridSpan w:val="2"/>
            <w:vMerge w:val="continue"/>
            <w:vAlign w:val="center"/>
          </w:tcPr>
          <w:p w14:paraId="2A575F0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0DF0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4498E16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p>
        </w:tc>
        <w:tc>
          <w:tcPr>
            <w:tcW w:w="397" w:type="dxa"/>
            <w:vMerge w:val="continue"/>
            <w:vAlign w:val="center"/>
          </w:tcPr>
          <w:p w14:paraId="678D773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1B68F7AA">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大型加工中心（车铣一体）</w:t>
            </w:r>
          </w:p>
        </w:tc>
        <w:tc>
          <w:tcPr>
            <w:tcW w:w="394" w:type="dxa"/>
            <w:shd w:val="clear" w:color="auto" w:fill="FFFFFF"/>
            <w:vAlign w:val="center"/>
          </w:tcPr>
          <w:p w14:paraId="4D87322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w:t>
            </w:r>
          </w:p>
        </w:tc>
        <w:tc>
          <w:tcPr>
            <w:tcW w:w="637" w:type="dxa"/>
            <w:vAlign w:val="center"/>
          </w:tcPr>
          <w:p w14:paraId="3517228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80</w:t>
            </w:r>
          </w:p>
        </w:tc>
        <w:tc>
          <w:tcPr>
            <w:tcW w:w="398" w:type="dxa"/>
            <w:vAlign w:val="center"/>
          </w:tcPr>
          <w:p w14:paraId="22AAE0D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4C258CD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-16.3</w:t>
            </w:r>
          </w:p>
        </w:tc>
        <w:tc>
          <w:tcPr>
            <w:tcW w:w="530" w:type="dxa"/>
            <w:shd w:val="clear" w:color="auto" w:fill="FFFFFF"/>
            <w:vAlign w:val="center"/>
          </w:tcPr>
          <w:p w14:paraId="050DD90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-6.1</w:t>
            </w:r>
          </w:p>
        </w:tc>
        <w:tc>
          <w:tcPr>
            <w:tcW w:w="446" w:type="dxa"/>
            <w:gridSpan w:val="2"/>
            <w:shd w:val="clear" w:color="auto" w:fill="FFFFFF"/>
            <w:vAlign w:val="center"/>
          </w:tcPr>
          <w:p w14:paraId="6424172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5A7A3EE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118.0</w:t>
            </w:r>
          </w:p>
        </w:tc>
        <w:tc>
          <w:tcPr>
            <w:tcW w:w="536" w:type="dxa"/>
            <w:shd w:val="clear" w:color="auto" w:fill="FFFFFF"/>
            <w:vAlign w:val="center"/>
          </w:tcPr>
          <w:p w14:paraId="512FCC1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11.1</w:t>
            </w:r>
          </w:p>
        </w:tc>
        <w:tc>
          <w:tcPr>
            <w:tcW w:w="536" w:type="dxa"/>
            <w:shd w:val="clear" w:color="auto" w:fill="FFFFFF"/>
            <w:vAlign w:val="center"/>
          </w:tcPr>
          <w:p w14:paraId="21B72A9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85.9</w:t>
            </w:r>
          </w:p>
        </w:tc>
        <w:tc>
          <w:tcPr>
            <w:tcW w:w="541" w:type="dxa"/>
            <w:shd w:val="clear" w:color="auto" w:fill="FFFFFF"/>
            <w:vAlign w:val="center"/>
          </w:tcPr>
          <w:p w14:paraId="1945DD1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24.6</w:t>
            </w:r>
          </w:p>
        </w:tc>
        <w:tc>
          <w:tcPr>
            <w:tcW w:w="536" w:type="dxa"/>
            <w:gridSpan w:val="2"/>
            <w:shd w:val="clear" w:color="auto" w:fill="FFFFFF"/>
            <w:vAlign w:val="center"/>
          </w:tcPr>
          <w:p w14:paraId="0C1B4D6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5842646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60.6</w:t>
            </w:r>
          </w:p>
        </w:tc>
        <w:tc>
          <w:tcPr>
            <w:tcW w:w="536" w:type="dxa"/>
            <w:shd w:val="clear" w:color="auto" w:fill="FFFFFF"/>
            <w:vAlign w:val="center"/>
          </w:tcPr>
          <w:p w14:paraId="3E71D40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41" w:type="dxa"/>
            <w:shd w:val="clear" w:color="auto" w:fill="FFFFFF"/>
            <w:vAlign w:val="center"/>
          </w:tcPr>
          <w:p w14:paraId="54D1381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1120" w:type="dxa"/>
            <w:gridSpan w:val="2"/>
            <w:vAlign w:val="center"/>
          </w:tcPr>
          <w:p w14:paraId="570F2B89">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4644021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748272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2504B4C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254E1D2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44FEA96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41" w:type="dxa"/>
            <w:shd w:val="clear" w:color="auto" w:fill="FFFFFF"/>
            <w:vAlign w:val="center"/>
          </w:tcPr>
          <w:p w14:paraId="7F362F8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34.6</w:t>
            </w:r>
          </w:p>
        </w:tc>
        <w:tc>
          <w:tcPr>
            <w:tcW w:w="536" w:type="dxa"/>
            <w:gridSpan w:val="2"/>
            <w:shd w:val="clear" w:color="auto" w:fill="FFFFFF"/>
            <w:vAlign w:val="center"/>
          </w:tcPr>
          <w:p w14:paraId="0A80F14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shd w:val="clear" w:color="auto" w:fill="FFFFFF"/>
            <w:vAlign w:val="center"/>
          </w:tcPr>
          <w:p w14:paraId="5BCB44D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311" w:type="dxa"/>
            <w:gridSpan w:val="2"/>
            <w:vMerge w:val="continue"/>
            <w:vAlign w:val="center"/>
          </w:tcPr>
          <w:p w14:paraId="3FDB76E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1F5B1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3A4018E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w:t>
            </w:r>
          </w:p>
        </w:tc>
        <w:tc>
          <w:tcPr>
            <w:tcW w:w="397" w:type="dxa"/>
            <w:vMerge w:val="continue"/>
            <w:vAlign w:val="center"/>
          </w:tcPr>
          <w:p w14:paraId="6D7E7E1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69AB7E96">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电动攻丝机</w:t>
            </w:r>
          </w:p>
        </w:tc>
        <w:tc>
          <w:tcPr>
            <w:tcW w:w="394" w:type="dxa"/>
            <w:shd w:val="clear" w:color="auto" w:fill="auto"/>
            <w:vAlign w:val="center"/>
          </w:tcPr>
          <w:p w14:paraId="181B271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637" w:type="dxa"/>
            <w:vAlign w:val="center"/>
          </w:tcPr>
          <w:p w14:paraId="0118FC2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7</w:t>
            </w:r>
            <w:r>
              <w:rPr>
                <w:rFonts w:hint="default" w:ascii="Times New Roman" w:hAnsi="Times New Roman" w:cs="Times New Roman"/>
                <w:color w:val="auto"/>
                <w:sz w:val="21"/>
                <w:szCs w:val="21"/>
                <w:highlight w:val="none"/>
                <w:lang w:val="en-US" w:eastAsia="zh-CN"/>
              </w:rPr>
              <w:t>5</w:t>
            </w:r>
          </w:p>
        </w:tc>
        <w:tc>
          <w:tcPr>
            <w:tcW w:w="398" w:type="dxa"/>
            <w:vAlign w:val="center"/>
          </w:tcPr>
          <w:p w14:paraId="1B8F6D1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6A7F50C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-24.5</w:t>
            </w:r>
          </w:p>
        </w:tc>
        <w:tc>
          <w:tcPr>
            <w:tcW w:w="530" w:type="dxa"/>
            <w:shd w:val="clear" w:color="auto" w:fill="FFFFFF"/>
            <w:vAlign w:val="center"/>
          </w:tcPr>
          <w:p w14:paraId="23549B6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3.6</w:t>
            </w:r>
          </w:p>
        </w:tc>
        <w:tc>
          <w:tcPr>
            <w:tcW w:w="446" w:type="dxa"/>
            <w:gridSpan w:val="2"/>
            <w:shd w:val="clear" w:color="auto" w:fill="FFFFFF"/>
            <w:vAlign w:val="center"/>
          </w:tcPr>
          <w:p w14:paraId="47FDDBD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29F3840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126.2</w:t>
            </w:r>
          </w:p>
        </w:tc>
        <w:tc>
          <w:tcPr>
            <w:tcW w:w="536" w:type="dxa"/>
            <w:shd w:val="clear" w:color="auto" w:fill="FFFFFF"/>
            <w:vAlign w:val="center"/>
          </w:tcPr>
          <w:p w14:paraId="3902423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20.8</w:t>
            </w:r>
          </w:p>
        </w:tc>
        <w:tc>
          <w:tcPr>
            <w:tcW w:w="536" w:type="dxa"/>
            <w:shd w:val="clear" w:color="auto" w:fill="FFFFFF"/>
            <w:vAlign w:val="center"/>
          </w:tcPr>
          <w:p w14:paraId="003818F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77.7</w:t>
            </w:r>
          </w:p>
        </w:tc>
        <w:tc>
          <w:tcPr>
            <w:tcW w:w="541" w:type="dxa"/>
            <w:shd w:val="clear" w:color="auto" w:fill="FFFFFF"/>
            <w:vAlign w:val="center"/>
          </w:tcPr>
          <w:p w14:paraId="30D6278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14.9</w:t>
            </w:r>
          </w:p>
        </w:tc>
        <w:tc>
          <w:tcPr>
            <w:tcW w:w="536" w:type="dxa"/>
            <w:gridSpan w:val="2"/>
            <w:shd w:val="clear" w:color="auto" w:fill="FFFFFF"/>
            <w:vAlign w:val="center"/>
          </w:tcPr>
          <w:p w14:paraId="5DFF59B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36" w:type="dxa"/>
            <w:shd w:val="clear" w:color="auto" w:fill="FFFFFF"/>
            <w:vAlign w:val="center"/>
          </w:tcPr>
          <w:p w14:paraId="300309F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36" w:type="dxa"/>
            <w:shd w:val="clear" w:color="auto" w:fill="FFFFFF"/>
            <w:vAlign w:val="center"/>
          </w:tcPr>
          <w:p w14:paraId="1F1E4BE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41" w:type="dxa"/>
            <w:shd w:val="clear" w:color="auto" w:fill="FFFFFF"/>
            <w:vAlign w:val="center"/>
          </w:tcPr>
          <w:p w14:paraId="43CC665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55.5</w:t>
            </w:r>
          </w:p>
        </w:tc>
        <w:tc>
          <w:tcPr>
            <w:tcW w:w="1120" w:type="dxa"/>
            <w:gridSpan w:val="2"/>
            <w:vAlign w:val="center"/>
          </w:tcPr>
          <w:p w14:paraId="2F8C438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6FDBBAB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08EFD6B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7D58BA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4BE9DFD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63DD08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41" w:type="dxa"/>
            <w:shd w:val="clear" w:color="auto" w:fill="FFFFFF"/>
            <w:vAlign w:val="center"/>
          </w:tcPr>
          <w:p w14:paraId="6652586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36" w:type="dxa"/>
            <w:gridSpan w:val="2"/>
            <w:shd w:val="clear" w:color="auto" w:fill="FFFFFF"/>
            <w:vAlign w:val="center"/>
          </w:tcPr>
          <w:p w14:paraId="71C18FB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36" w:type="dxa"/>
            <w:shd w:val="clear" w:color="auto" w:fill="FFFFFF"/>
            <w:vAlign w:val="center"/>
          </w:tcPr>
          <w:p w14:paraId="3F39259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29.5</w:t>
            </w:r>
          </w:p>
        </w:tc>
        <w:tc>
          <w:tcPr>
            <w:tcW w:w="311" w:type="dxa"/>
            <w:gridSpan w:val="2"/>
            <w:vMerge w:val="continue"/>
            <w:vAlign w:val="center"/>
          </w:tcPr>
          <w:p w14:paraId="3A18169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47F37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397" w:type="dxa"/>
            <w:gridSpan w:val="2"/>
            <w:shd w:val="clear" w:color="auto" w:fill="auto"/>
            <w:vAlign w:val="center"/>
          </w:tcPr>
          <w:p w14:paraId="48F4CE8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p>
        </w:tc>
        <w:tc>
          <w:tcPr>
            <w:tcW w:w="397" w:type="dxa"/>
            <w:vMerge w:val="continue"/>
            <w:vAlign w:val="center"/>
          </w:tcPr>
          <w:p w14:paraId="1DB7663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3733191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000000"/>
                <w:sz w:val="21"/>
                <w:szCs w:val="21"/>
                <w:lang w:val="en-US" w:eastAsia="zh-CN"/>
              </w:rPr>
              <w:t>数控精雕机</w:t>
            </w:r>
          </w:p>
        </w:tc>
        <w:tc>
          <w:tcPr>
            <w:tcW w:w="394" w:type="dxa"/>
            <w:shd w:val="clear" w:color="auto" w:fill="auto"/>
            <w:vAlign w:val="center"/>
          </w:tcPr>
          <w:p w14:paraId="3418A3D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eastAsia="宋体" w:cs="Times New Roman"/>
                <w:color w:val="000000"/>
                <w:sz w:val="21"/>
                <w:szCs w:val="21"/>
                <w:lang w:val="en-US" w:eastAsia="zh-CN"/>
              </w:rPr>
              <w:t>1</w:t>
            </w:r>
          </w:p>
        </w:tc>
        <w:tc>
          <w:tcPr>
            <w:tcW w:w="637" w:type="dxa"/>
            <w:vAlign w:val="center"/>
          </w:tcPr>
          <w:p w14:paraId="443B98E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7</w:t>
            </w:r>
            <w:r>
              <w:rPr>
                <w:rFonts w:hint="default" w:ascii="Times New Roman" w:hAnsi="Times New Roman" w:cs="Times New Roman"/>
                <w:color w:val="auto"/>
                <w:sz w:val="21"/>
                <w:szCs w:val="21"/>
                <w:highlight w:val="none"/>
                <w:lang w:val="en-US" w:eastAsia="zh-CN"/>
              </w:rPr>
              <w:t>5</w:t>
            </w:r>
          </w:p>
        </w:tc>
        <w:tc>
          <w:tcPr>
            <w:tcW w:w="398" w:type="dxa"/>
            <w:vAlign w:val="center"/>
          </w:tcPr>
          <w:p w14:paraId="722B962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752581A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-72.3</w:t>
            </w:r>
          </w:p>
        </w:tc>
        <w:tc>
          <w:tcPr>
            <w:tcW w:w="530" w:type="dxa"/>
            <w:shd w:val="clear" w:color="auto" w:fill="FFFFFF"/>
            <w:vAlign w:val="center"/>
          </w:tcPr>
          <w:p w14:paraId="74C3B59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-0.8</w:t>
            </w:r>
          </w:p>
        </w:tc>
        <w:tc>
          <w:tcPr>
            <w:tcW w:w="446" w:type="dxa"/>
            <w:gridSpan w:val="2"/>
            <w:shd w:val="clear" w:color="auto" w:fill="FFFFFF"/>
            <w:vAlign w:val="center"/>
          </w:tcPr>
          <w:p w14:paraId="48B4AD7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4BB4E0C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174.0</w:t>
            </w:r>
          </w:p>
        </w:tc>
        <w:tc>
          <w:tcPr>
            <w:tcW w:w="536" w:type="dxa"/>
            <w:shd w:val="clear" w:color="auto" w:fill="FFFFFF"/>
            <w:vAlign w:val="center"/>
          </w:tcPr>
          <w:p w14:paraId="029000A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16.4</w:t>
            </w:r>
          </w:p>
        </w:tc>
        <w:tc>
          <w:tcPr>
            <w:tcW w:w="536" w:type="dxa"/>
            <w:shd w:val="clear" w:color="auto" w:fill="FFFFFF"/>
            <w:vAlign w:val="center"/>
          </w:tcPr>
          <w:p w14:paraId="2F16A3D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29.9</w:t>
            </w:r>
          </w:p>
        </w:tc>
        <w:tc>
          <w:tcPr>
            <w:tcW w:w="541" w:type="dxa"/>
            <w:shd w:val="clear" w:color="auto" w:fill="FFFFFF"/>
            <w:vAlign w:val="center"/>
          </w:tcPr>
          <w:p w14:paraId="490F2BD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19.3</w:t>
            </w:r>
          </w:p>
        </w:tc>
        <w:tc>
          <w:tcPr>
            <w:tcW w:w="536" w:type="dxa"/>
            <w:gridSpan w:val="2"/>
            <w:shd w:val="clear" w:color="auto" w:fill="FFFFFF"/>
            <w:vAlign w:val="center"/>
          </w:tcPr>
          <w:p w14:paraId="4D68974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36" w:type="dxa"/>
            <w:shd w:val="clear" w:color="auto" w:fill="FFFFFF"/>
            <w:vAlign w:val="center"/>
          </w:tcPr>
          <w:p w14:paraId="48441E1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55.5</w:t>
            </w:r>
          </w:p>
        </w:tc>
        <w:tc>
          <w:tcPr>
            <w:tcW w:w="536" w:type="dxa"/>
            <w:shd w:val="clear" w:color="auto" w:fill="FFFFFF"/>
            <w:vAlign w:val="center"/>
          </w:tcPr>
          <w:p w14:paraId="448B165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41" w:type="dxa"/>
            <w:shd w:val="clear" w:color="auto" w:fill="FFFFFF"/>
            <w:vAlign w:val="center"/>
          </w:tcPr>
          <w:p w14:paraId="76F849A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55.5</w:t>
            </w:r>
          </w:p>
        </w:tc>
        <w:tc>
          <w:tcPr>
            <w:tcW w:w="1120" w:type="dxa"/>
            <w:gridSpan w:val="2"/>
            <w:vAlign w:val="center"/>
          </w:tcPr>
          <w:p w14:paraId="585C9DE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29263CA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BAAFD5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5B499AA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443F150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32E7E31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41" w:type="dxa"/>
            <w:shd w:val="clear" w:color="auto" w:fill="FFFFFF"/>
            <w:vAlign w:val="center"/>
          </w:tcPr>
          <w:p w14:paraId="772F704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29.5</w:t>
            </w:r>
          </w:p>
        </w:tc>
        <w:tc>
          <w:tcPr>
            <w:tcW w:w="536" w:type="dxa"/>
            <w:gridSpan w:val="2"/>
            <w:shd w:val="clear" w:color="auto" w:fill="FFFFFF"/>
            <w:vAlign w:val="center"/>
          </w:tcPr>
          <w:p w14:paraId="1222E13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36" w:type="dxa"/>
            <w:shd w:val="clear" w:color="auto" w:fill="FFFFFF"/>
            <w:vAlign w:val="center"/>
          </w:tcPr>
          <w:p w14:paraId="0B7E661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29.5</w:t>
            </w:r>
          </w:p>
        </w:tc>
        <w:tc>
          <w:tcPr>
            <w:tcW w:w="311" w:type="dxa"/>
            <w:gridSpan w:val="2"/>
            <w:vMerge w:val="continue"/>
            <w:vAlign w:val="center"/>
          </w:tcPr>
          <w:p w14:paraId="0EC747C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5AD4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397" w:type="dxa"/>
            <w:gridSpan w:val="2"/>
            <w:shd w:val="clear" w:color="auto" w:fill="auto"/>
            <w:vAlign w:val="center"/>
          </w:tcPr>
          <w:p w14:paraId="1EF5784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w:t>
            </w:r>
          </w:p>
        </w:tc>
        <w:tc>
          <w:tcPr>
            <w:tcW w:w="397" w:type="dxa"/>
            <w:vMerge w:val="continue"/>
            <w:vAlign w:val="center"/>
          </w:tcPr>
          <w:p w14:paraId="424888E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5E928A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sz w:val="21"/>
                <w:szCs w:val="21"/>
                <w:lang w:val="en-US" w:eastAsia="zh-CN"/>
              </w:rPr>
              <w:t>磁力研磨机</w:t>
            </w:r>
          </w:p>
        </w:tc>
        <w:tc>
          <w:tcPr>
            <w:tcW w:w="394" w:type="dxa"/>
            <w:shd w:val="clear" w:color="auto" w:fill="auto"/>
            <w:vAlign w:val="center"/>
          </w:tcPr>
          <w:p w14:paraId="2F57477E">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1</w:t>
            </w:r>
          </w:p>
        </w:tc>
        <w:tc>
          <w:tcPr>
            <w:tcW w:w="637" w:type="dxa"/>
            <w:vAlign w:val="center"/>
          </w:tcPr>
          <w:p w14:paraId="0743794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81</w:t>
            </w:r>
          </w:p>
        </w:tc>
        <w:tc>
          <w:tcPr>
            <w:tcW w:w="398" w:type="dxa"/>
            <w:vAlign w:val="center"/>
          </w:tcPr>
          <w:p w14:paraId="72AB9C2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31A95A8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-7.2</w:t>
            </w:r>
          </w:p>
        </w:tc>
        <w:tc>
          <w:tcPr>
            <w:tcW w:w="530" w:type="dxa"/>
            <w:shd w:val="clear" w:color="auto" w:fill="FFFFFF"/>
            <w:vAlign w:val="center"/>
          </w:tcPr>
          <w:p w14:paraId="6FBFE4C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10.2</w:t>
            </w:r>
          </w:p>
        </w:tc>
        <w:tc>
          <w:tcPr>
            <w:tcW w:w="446" w:type="dxa"/>
            <w:gridSpan w:val="2"/>
            <w:shd w:val="clear" w:color="auto" w:fill="FFFFFF"/>
            <w:vAlign w:val="center"/>
          </w:tcPr>
          <w:p w14:paraId="0234F19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20B5291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108.9</w:t>
            </w:r>
          </w:p>
        </w:tc>
        <w:tc>
          <w:tcPr>
            <w:tcW w:w="536" w:type="dxa"/>
            <w:shd w:val="clear" w:color="auto" w:fill="FFFFFF"/>
            <w:vAlign w:val="center"/>
          </w:tcPr>
          <w:p w14:paraId="7BBE7F8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27.4</w:t>
            </w:r>
          </w:p>
        </w:tc>
        <w:tc>
          <w:tcPr>
            <w:tcW w:w="536" w:type="dxa"/>
            <w:shd w:val="clear" w:color="auto" w:fill="FFFFFF"/>
            <w:vAlign w:val="center"/>
          </w:tcPr>
          <w:p w14:paraId="54933AD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95.0</w:t>
            </w:r>
          </w:p>
        </w:tc>
        <w:tc>
          <w:tcPr>
            <w:tcW w:w="541" w:type="dxa"/>
            <w:shd w:val="clear" w:color="auto" w:fill="FFFFFF"/>
            <w:vAlign w:val="center"/>
          </w:tcPr>
          <w:p w14:paraId="2CFEB65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8.3</w:t>
            </w:r>
          </w:p>
        </w:tc>
        <w:tc>
          <w:tcPr>
            <w:tcW w:w="536" w:type="dxa"/>
            <w:gridSpan w:val="2"/>
            <w:shd w:val="clear" w:color="auto" w:fill="FFFFFF"/>
            <w:vAlign w:val="center"/>
          </w:tcPr>
          <w:p w14:paraId="22EF4EA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36" w:type="dxa"/>
            <w:shd w:val="clear" w:color="auto" w:fill="FFFFFF"/>
            <w:vAlign w:val="center"/>
          </w:tcPr>
          <w:p w14:paraId="6079240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36" w:type="dxa"/>
            <w:shd w:val="clear" w:color="auto" w:fill="FFFFFF"/>
            <w:vAlign w:val="center"/>
          </w:tcPr>
          <w:p w14:paraId="242A476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41" w:type="dxa"/>
            <w:shd w:val="clear" w:color="auto" w:fill="FFFFFF"/>
            <w:vAlign w:val="center"/>
          </w:tcPr>
          <w:p w14:paraId="0DE5765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55.8</w:t>
            </w:r>
          </w:p>
        </w:tc>
        <w:tc>
          <w:tcPr>
            <w:tcW w:w="1120" w:type="dxa"/>
            <w:gridSpan w:val="2"/>
            <w:vAlign w:val="center"/>
          </w:tcPr>
          <w:p w14:paraId="362FCF0E">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38ECBC9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36E5141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08BD8EA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41DCE8C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31E4CA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41" w:type="dxa"/>
            <w:shd w:val="clear" w:color="auto" w:fill="FFFFFF"/>
            <w:vAlign w:val="center"/>
          </w:tcPr>
          <w:p w14:paraId="3303331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36" w:type="dxa"/>
            <w:gridSpan w:val="2"/>
            <w:shd w:val="clear" w:color="auto" w:fill="FFFFFF"/>
            <w:vAlign w:val="center"/>
          </w:tcPr>
          <w:p w14:paraId="0C1739C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36" w:type="dxa"/>
            <w:shd w:val="clear" w:color="auto" w:fill="FFFFFF"/>
            <w:vAlign w:val="center"/>
          </w:tcPr>
          <w:p w14:paraId="33DC667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29.8</w:t>
            </w:r>
          </w:p>
        </w:tc>
        <w:tc>
          <w:tcPr>
            <w:tcW w:w="311" w:type="dxa"/>
            <w:gridSpan w:val="2"/>
            <w:vMerge w:val="continue"/>
            <w:vAlign w:val="center"/>
          </w:tcPr>
          <w:p w14:paraId="0250464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7C031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1142256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w:t>
            </w:r>
          </w:p>
        </w:tc>
        <w:tc>
          <w:tcPr>
            <w:tcW w:w="397" w:type="dxa"/>
            <w:vMerge w:val="continue"/>
            <w:vAlign w:val="center"/>
          </w:tcPr>
          <w:p w14:paraId="1F63B9A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58A2C9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手持去毛刺机</w:t>
            </w:r>
          </w:p>
        </w:tc>
        <w:tc>
          <w:tcPr>
            <w:tcW w:w="394" w:type="dxa"/>
            <w:shd w:val="clear" w:color="auto" w:fill="auto"/>
            <w:vAlign w:val="center"/>
          </w:tcPr>
          <w:p w14:paraId="152FD830">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w:t>
            </w:r>
          </w:p>
        </w:tc>
        <w:tc>
          <w:tcPr>
            <w:tcW w:w="637" w:type="dxa"/>
            <w:vAlign w:val="center"/>
          </w:tcPr>
          <w:p w14:paraId="22E5677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75</w:t>
            </w:r>
          </w:p>
        </w:tc>
        <w:tc>
          <w:tcPr>
            <w:tcW w:w="398" w:type="dxa"/>
            <w:vAlign w:val="center"/>
          </w:tcPr>
          <w:p w14:paraId="5675E7A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78184CA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-88.9</w:t>
            </w:r>
          </w:p>
        </w:tc>
        <w:tc>
          <w:tcPr>
            <w:tcW w:w="530" w:type="dxa"/>
            <w:shd w:val="clear" w:color="auto" w:fill="FFFFFF"/>
            <w:vAlign w:val="center"/>
          </w:tcPr>
          <w:p w14:paraId="25D9BB1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-11</w:t>
            </w:r>
          </w:p>
        </w:tc>
        <w:tc>
          <w:tcPr>
            <w:tcW w:w="446" w:type="dxa"/>
            <w:gridSpan w:val="2"/>
            <w:shd w:val="clear" w:color="auto" w:fill="FFFFFF"/>
            <w:vAlign w:val="center"/>
          </w:tcPr>
          <w:p w14:paraId="24A1B1B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74F6066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190.6</w:t>
            </w:r>
          </w:p>
        </w:tc>
        <w:tc>
          <w:tcPr>
            <w:tcW w:w="536" w:type="dxa"/>
            <w:shd w:val="clear" w:color="auto" w:fill="FFFFFF"/>
            <w:vAlign w:val="center"/>
          </w:tcPr>
          <w:p w14:paraId="6A6B489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6.2</w:t>
            </w:r>
          </w:p>
        </w:tc>
        <w:tc>
          <w:tcPr>
            <w:tcW w:w="536" w:type="dxa"/>
            <w:shd w:val="clear" w:color="auto" w:fill="FFFFFF"/>
            <w:vAlign w:val="center"/>
          </w:tcPr>
          <w:p w14:paraId="242DBF0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13.3</w:t>
            </w:r>
          </w:p>
        </w:tc>
        <w:tc>
          <w:tcPr>
            <w:tcW w:w="541" w:type="dxa"/>
            <w:shd w:val="clear" w:color="auto" w:fill="FFFFFF"/>
            <w:vAlign w:val="center"/>
          </w:tcPr>
          <w:p w14:paraId="5D98CC9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29.5</w:t>
            </w:r>
          </w:p>
        </w:tc>
        <w:tc>
          <w:tcPr>
            <w:tcW w:w="536" w:type="dxa"/>
            <w:gridSpan w:val="2"/>
            <w:shd w:val="clear" w:color="auto" w:fill="FFFFFF"/>
            <w:vAlign w:val="center"/>
          </w:tcPr>
          <w:p w14:paraId="6D75D8A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36" w:type="dxa"/>
            <w:shd w:val="clear" w:color="auto" w:fill="FFFFFF"/>
            <w:vAlign w:val="center"/>
          </w:tcPr>
          <w:p w14:paraId="0059626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56.1</w:t>
            </w:r>
          </w:p>
        </w:tc>
        <w:tc>
          <w:tcPr>
            <w:tcW w:w="536" w:type="dxa"/>
            <w:shd w:val="clear" w:color="auto" w:fill="FFFFFF"/>
            <w:vAlign w:val="center"/>
          </w:tcPr>
          <w:p w14:paraId="74A16D7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55.5</w:t>
            </w:r>
          </w:p>
        </w:tc>
        <w:tc>
          <w:tcPr>
            <w:tcW w:w="541" w:type="dxa"/>
            <w:shd w:val="clear" w:color="auto" w:fill="FFFFFF"/>
            <w:vAlign w:val="center"/>
          </w:tcPr>
          <w:p w14:paraId="342C5EC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1120" w:type="dxa"/>
            <w:gridSpan w:val="2"/>
            <w:vAlign w:val="center"/>
          </w:tcPr>
          <w:p w14:paraId="4A025300">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0F9EDF9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A4A256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7B0131C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590224E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F86EC9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41" w:type="dxa"/>
            <w:shd w:val="clear" w:color="auto" w:fill="FFFFFF"/>
            <w:vAlign w:val="center"/>
          </w:tcPr>
          <w:p w14:paraId="25961C0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30.1</w:t>
            </w:r>
          </w:p>
        </w:tc>
        <w:tc>
          <w:tcPr>
            <w:tcW w:w="536" w:type="dxa"/>
            <w:gridSpan w:val="2"/>
            <w:shd w:val="clear" w:color="auto" w:fill="FFFFFF"/>
            <w:vAlign w:val="center"/>
          </w:tcPr>
          <w:p w14:paraId="5C494AD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29.5</w:t>
            </w:r>
          </w:p>
        </w:tc>
        <w:tc>
          <w:tcPr>
            <w:tcW w:w="536" w:type="dxa"/>
            <w:shd w:val="clear" w:color="auto" w:fill="FFFFFF"/>
            <w:vAlign w:val="center"/>
          </w:tcPr>
          <w:p w14:paraId="094DAD1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311" w:type="dxa"/>
            <w:gridSpan w:val="2"/>
            <w:vMerge w:val="continue"/>
            <w:vAlign w:val="center"/>
          </w:tcPr>
          <w:p w14:paraId="0041C8B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04F4B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397" w:type="dxa"/>
            <w:gridSpan w:val="2"/>
            <w:shd w:val="clear" w:color="auto" w:fill="auto"/>
            <w:vAlign w:val="center"/>
          </w:tcPr>
          <w:p w14:paraId="70A4A81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w:t>
            </w:r>
          </w:p>
        </w:tc>
        <w:tc>
          <w:tcPr>
            <w:tcW w:w="397" w:type="dxa"/>
            <w:vMerge w:val="continue"/>
            <w:vAlign w:val="center"/>
          </w:tcPr>
          <w:p w14:paraId="13A1CD2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65DF96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磨床</w:t>
            </w:r>
          </w:p>
        </w:tc>
        <w:tc>
          <w:tcPr>
            <w:tcW w:w="394" w:type="dxa"/>
            <w:shd w:val="clear" w:color="auto" w:fill="auto"/>
            <w:vAlign w:val="center"/>
          </w:tcPr>
          <w:p w14:paraId="2F184DC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FF"/>
                <w:sz w:val="21"/>
                <w:szCs w:val="21"/>
                <w:lang w:val="en-US" w:eastAsia="zh-CN"/>
              </w:rPr>
              <w:t>5</w:t>
            </w:r>
          </w:p>
        </w:tc>
        <w:tc>
          <w:tcPr>
            <w:tcW w:w="637" w:type="dxa"/>
            <w:vAlign w:val="center"/>
          </w:tcPr>
          <w:p w14:paraId="0FEF8A0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7</w:t>
            </w:r>
            <w:r>
              <w:rPr>
                <w:rFonts w:hint="default" w:ascii="Times New Roman" w:hAnsi="Times New Roman" w:cs="Times New Roman"/>
                <w:color w:val="auto"/>
                <w:sz w:val="21"/>
                <w:szCs w:val="21"/>
                <w:highlight w:val="none"/>
                <w:lang w:val="en-US" w:eastAsia="zh-CN"/>
              </w:rPr>
              <w:t>9</w:t>
            </w:r>
          </w:p>
        </w:tc>
        <w:tc>
          <w:tcPr>
            <w:tcW w:w="398" w:type="dxa"/>
            <w:vAlign w:val="center"/>
          </w:tcPr>
          <w:p w14:paraId="7ED7E48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3F9B389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-62.3</w:t>
            </w:r>
          </w:p>
        </w:tc>
        <w:tc>
          <w:tcPr>
            <w:tcW w:w="530" w:type="dxa"/>
            <w:shd w:val="clear" w:color="auto" w:fill="FFFFFF"/>
            <w:vAlign w:val="center"/>
          </w:tcPr>
          <w:p w14:paraId="09C509F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5.1</w:t>
            </w:r>
          </w:p>
        </w:tc>
        <w:tc>
          <w:tcPr>
            <w:tcW w:w="446" w:type="dxa"/>
            <w:gridSpan w:val="2"/>
            <w:shd w:val="clear" w:color="auto" w:fill="FFFFFF"/>
            <w:vAlign w:val="center"/>
          </w:tcPr>
          <w:p w14:paraId="6C59808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1527CA8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164.0</w:t>
            </w:r>
          </w:p>
        </w:tc>
        <w:tc>
          <w:tcPr>
            <w:tcW w:w="536" w:type="dxa"/>
            <w:shd w:val="clear" w:color="auto" w:fill="FFFFFF"/>
            <w:vAlign w:val="center"/>
          </w:tcPr>
          <w:p w14:paraId="446C0CD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22.3</w:t>
            </w:r>
          </w:p>
        </w:tc>
        <w:tc>
          <w:tcPr>
            <w:tcW w:w="536" w:type="dxa"/>
            <w:shd w:val="clear" w:color="auto" w:fill="FFFFFF"/>
            <w:vAlign w:val="center"/>
          </w:tcPr>
          <w:p w14:paraId="33DD567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39.9</w:t>
            </w:r>
          </w:p>
        </w:tc>
        <w:tc>
          <w:tcPr>
            <w:tcW w:w="541" w:type="dxa"/>
            <w:shd w:val="clear" w:color="auto" w:fill="FFFFFF"/>
            <w:vAlign w:val="center"/>
          </w:tcPr>
          <w:p w14:paraId="512EAFE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13.4</w:t>
            </w:r>
          </w:p>
        </w:tc>
        <w:tc>
          <w:tcPr>
            <w:tcW w:w="536" w:type="dxa"/>
            <w:gridSpan w:val="2"/>
            <w:shd w:val="clear" w:color="auto" w:fill="FFFFFF"/>
            <w:vAlign w:val="center"/>
          </w:tcPr>
          <w:p w14:paraId="6D1D104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59.4</w:t>
            </w:r>
          </w:p>
        </w:tc>
        <w:tc>
          <w:tcPr>
            <w:tcW w:w="536" w:type="dxa"/>
            <w:shd w:val="clear" w:color="auto" w:fill="FFFFFF"/>
            <w:vAlign w:val="center"/>
          </w:tcPr>
          <w:p w14:paraId="1670F8C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59.4</w:t>
            </w:r>
          </w:p>
        </w:tc>
        <w:tc>
          <w:tcPr>
            <w:tcW w:w="536" w:type="dxa"/>
            <w:shd w:val="clear" w:color="auto" w:fill="FFFFFF"/>
            <w:vAlign w:val="center"/>
          </w:tcPr>
          <w:p w14:paraId="631E5DD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59.4</w:t>
            </w:r>
          </w:p>
        </w:tc>
        <w:tc>
          <w:tcPr>
            <w:tcW w:w="541" w:type="dxa"/>
            <w:shd w:val="clear" w:color="auto" w:fill="FFFFFF"/>
            <w:vAlign w:val="center"/>
          </w:tcPr>
          <w:p w14:paraId="69BF3E9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59.5</w:t>
            </w:r>
          </w:p>
        </w:tc>
        <w:tc>
          <w:tcPr>
            <w:tcW w:w="1120" w:type="dxa"/>
            <w:gridSpan w:val="2"/>
            <w:vAlign w:val="center"/>
          </w:tcPr>
          <w:p w14:paraId="454DBC88">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42C5F39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45AC529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1B9920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43ECAB0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05FAF0D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33.4</w:t>
            </w:r>
          </w:p>
        </w:tc>
        <w:tc>
          <w:tcPr>
            <w:tcW w:w="541" w:type="dxa"/>
            <w:shd w:val="clear" w:color="auto" w:fill="FFFFFF"/>
            <w:vAlign w:val="center"/>
          </w:tcPr>
          <w:p w14:paraId="0DEC2CE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33.4</w:t>
            </w:r>
          </w:p>
        </w:tc>
        <w:tc>
          <w:tcPr>
            <w:tcW w:w="536" w:type="dxa"/>
            <w:gridSpan w:val="2"/>
            <w:shd w:val="clear" w:color="auto" w:fill="FFFFFF"/>
            <w:vAlign w:val="center"/>
          </w:tcPr>
          <w:p w14:paraId="6DB17FE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33.4</w:t>
            </w:r>
          </w:p>
        </w:tc>
        <w:tc>
          <w:tcPr>
            <w:tcW w:w="536" w:type="dxa"/>
            <w:shd w:val="clear" w:color="auto" w:fill="FFFFFF"/>
            <w:vAlign w:val="center"/>
          </w:tcPr>
          <w:p w14:paraId="7A6D88F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33.5</w:t>
            </w:r>
          </w:p>
        </w:tc>
        <w:tc>
          <w:tcPr>
            <w:tcW w:w="311" w:type="dxa"/>
            <w:gridSpan w:val="2"/>
            <w:vMerge w:val="continue"/>
            <w:vAlign w:val="center"/>
          </w:tcPr>
          <w:p w14:paraId="590890F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67C58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2B459C4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w:t>
            </w:r>
          </w:p>
        </w:tc>
        <w:tc>
          <w:tcPr>
            <w:tcW w:w="397" w:type="dxa"/>
            <w:vMerge w:val="continue"/>
            <w:vAlign w:val="center"/>
          </w:tcPr>
          <w:p w14:paraId="0080EB0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6D4B1C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喷砂机</w:t>
            </w:r>
          </w:p>
        </w:tc>
        <w:tc>
          <w:tcPr>
            <w:tcW w:w="394" w:type="dxa"/>
            <w:shd w:val="clear" w:color="auto" w:fill="auto"/>
            <w:vAlign w:val="center"/>
          </w:tcPr>
          <w:p w14:paraId="6CCA4A9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637" w:type="dxa"/>
            <w:vAlign w:val="center"/>
          </w:tcPr>
          <w:p w14:paraId="4FB544E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82</w:t>
            </w:r>
          </w:p>
        </w:tc>
        <w:tc>
          <w:tcPr>
            <w:tcW w:w="398" w:type="dxa"/>
            <w:vAlign w:val="center"/>
          </w:tcPr>
          <w:p w14:paraId="0271235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1FA52BE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-89.7</w:t>
            </w:r>
          </w:p>
        </w:tc>
        <w:tc>
          <w:tcPr>
            <w:tcW w:w="530" w:type="dxa"/>
            <w:shd w:val="clear" w:color="auto" w:fill="FFFFFF"/>
            <w:vAlign w:val="center"/>
          </w:tcPr>
          <w:p w14:paraId="6311565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w:t>
            </w:r>
          </w:p>
        </w:tc>
        <w:tc>
          <w:tcPr>
            <w:tcW w:w="446" w:type="dxa"/>
            <w:gridSpan w:val="2"/>
            <w:shd w:val="clear" w:color="auto" w:fill="FFFFFF"/>
            <w:vAlign w:val="center"/>
          </w:tcPr>
          <w:p w14:paraId="6FB171D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6505B52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191.4</w:t>
            </w:r>
          </w:p>
        </w:tc>
        <w:tc>
          <w:tcPr>
            <w:tcW w:w="536" w:type="dxa"/>
            <w:shd w:val="clear" w:color="auto" w:fill="FFFFFF"/>
            <w:vAlign w:val="center"/>
          </w:tcPr>
          <w:p w14:paraId="75B043A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18.2</w:t>
            </w:r>
          </w:p>
        </w:tc>
        <w:tc>
          <w:tcPr>
            <w:tcW w:w="536" w:type="dxa"/>
            <w:shd w:val="clear" w:color="auto" w:fill="FFFFFF"/>
            <w:vAlign w:val="center"/>
          </w:tcPr>
          <w:p w14:paraId="10B950D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12.5</w:t>
            </w:r>
          </w:p>
        </w:tc>
        <w:tc>
          <w:tcPr>
            <w:tcW w:w="541" w:type="dxa"/>
            <w:shd w:val="clear" w:color="auto" w:fill="FFFFFF"/>
            <w:vAlign w:val="center"/>
          </w:tcPr>
          <w:p w14:paraId="51298B5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17.5</w:t>
            </w:r>
          </w:p>
        </w:tc>
        <w:tc>
          <w:tcPr>
            <w:tcW w:w="536" w:type="dxa"/>
            <w:gridSpan w:val="2"/>
            <w:shd w:val="clear" w:color="auto" w:fill="FFFFFF"/>
            <w:vAlign w:val="center"/>
          </w:tcPr>
          <w:p w14:paraId="7E8CE5E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58.4</w:t>
            </w:r>
          </w:p>
        </w:tc>
        <w:tc>
          <w:tcPr>
            <w:tcW w:w="536" w:type="dxa"/>
            <w:shd w:val="clear" w:color="auto" w:fill="FFFFFF"/>
            <w:vAlign w:val="center"/>
          </w:tcPr>
          <w:p w14:paraId="0E77315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58.5</w:t>
            </w:r>
          </w:p>
        </w:tc>
        <w:tc>
          <w:tcPr>
            <w:tcW w:w="536" w:type="dxa"/>
            <w:shd w:val="clear" w:color="auto" w:fill="FFFFFF"/>
            <w:vAlign w:val="center"/>
          </w:tcPr>
          <w:p w14:paraId="47872C8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58.6</w:t>
            </w:r>
          </w:p>
        </w:tc>
        <w:tc>
          <w:tcPr>
            <w:tcW w:w="541" w:type="dxa"/>
            <w:shd w:val="clear" w:color="auto" w:fill="FFFFFF"/>
            <w:vAlign w:val="center"/>
          </w:tcPr>
          <w:p w14:paraId="63D312F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58.5</w:t>
            </w:r>
          </w:p>
        </w:tc>
        <w:tc>
          <w:tcPr>
            <w:tcW w:w="1120" w:type="dxa"/>
            <w:gridSpan w:val="2"/>
            <w:vAlign w:val="center"/>
          </w:tcPr>
          <w:p w14:paraId="50BC389A">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2A25579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39EEDBD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0908594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3C6075D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5A9935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32.4</w:t>
            </w:r>
          </w:p>
        </w:tc>
        <w:tc>
          <w:tcPr>
            <w:tcW w:w="541" w:type="dxa"/>
            <w:shd w:val="clear" w:color="auto" w:fill="FFFFFF"/>
            <w:vAlign w:val="center"/>
          </w:tcPr>
          <w:p w14:paraId="747FEC6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32.5</w:t>
            </w:r>
          </w:p>
        </w:tc>
        <w:tc>
          <w:tcPr>
            <w:tcW w:w="536" w:type="dxa"/>
            <w:gridSpan w:val="2"/>
            <w:shd w:val="clear" w:color="auto" w:fill="FFFFFF"/>
            <w:vAlign w:val="center"/>
          </w:tcPr>
          <w:p w14:paraId="2235CD8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32.6</w:t>
            </w:r>
          </w:p>
        </w:tc>
        <w:tc>
          <w:tcPr>
            <w:tcW w:w="536" w:type="dxa"/>
            <w:shd w:val="clear" w:color="auto" w:fill="FFFFFF"/>
            <w:vAlign w:val="center"/>
          </w:tcPr>
          <w:p w14:paraId="5569A48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32.5</w:t>
            </w:r>
          </w:p>
        </w:tc>
        <w:tc>
          <w:tcPr>
            <w:tcW w:w="311" w:type="dxa"/>
            <w:gridSpan w:val="2"/>
            <w:vMerge w:val="continue"/>
            <w:vAlign w:val="center"/>
          </w:tcPr>
          <w:p w14:paraId="46F9B22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68DB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52DB918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397" w:type="dxa"/>
            <w:vMerge w:val="continue"/>
            <w:vAlign w:val="center"/>
          </w:tcPr>
          <w:p w14:paraId="07961EB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22A187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抛</w:t>
            </w:r>
            <w:r>
              <w:rPr>
                <w:rFonts w:hint="default" w:ascii="Times New Roman" w:hAnsi="Times New Roman" w:eastAsia="宋体" w:cs="Times New Roman"/>
                <w:color w:val="auto"/>
                <w:kern w:val="0"/>
                <w:sz w:val="21"/>
                <w:szCs w:val="21"/>
                <w:lang w:val="en-US" w:eastAsia="zh-CN" w:bidi="ar-SA"/>
              </w:rPr>
              <w:t>丸机</w:t>
            </w:r>
          </w:p>
        </w:tc>
        <w:tc>
          <w:tcPr>
            <w:tcW w:w="394" w:type="dxa"/>
            <w:shd w:val="clear" w:color="auto" w:fill="auto"/>
            <w:vAlign w:val="center"/>
          </w:tcPr>
          <w:p w14:paraId="5D56774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c>
          <w:tcPr>
            <w:tcW w:w="637" w:type="dxa"/>
            <w:vAlign w:val="center"/>
          </w:tcPr>
          <w:p w14:paraId="3959BAF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82</w:t>
            </w:r>
          </w:p>
        </w:tc>
        <w:tc>
          <w:tcPr>
            <w:tcW w:w="398" w:type="dxa"/>
            <w:vAlign w:val="center"/>
          </w:tcPr>
          <w:p w14:paraId="15CFE6E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43E546E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-43.2</w:t>
            </w:r>
          </w:p>
        </w:tc>
        <w:tc>
          <w:tcPr>
            <w:tcW w:w="530" w:type="dxa"/>
            <w:shd w:val="clear" w:color="auto" w:fill="FFFFFF"/>
            <w:vAlign w:val="center"/>
          </w:tcPr>
          <w:p w14:paraId="359B04E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-3.6</w:t>
            </w:r>
          </w:p>
        </w:tc>
        <w:tc>
          <w:tcPr>
            <w:tcW w:w="446" w:type="dxa"/>
            <w:gridSpan w:val="2"/>
            <w:shd w:val="clear" w:color="auto" w:fill="FFFFFF"/>
            <w:vAlign w:val="center"/>
          </w:tcPr>
          <w:p w14:paraId="5A7F7A6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55C73A6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144.9</w:t>
            </w:r>
          </w:p>
        </w:tc>
        <w:tc>
          <w:tcPr>
            <w:tcW w:w="536" w:type="dxa"/>
            <w:shd w:val="clear" w:color="auto" w:fill="FFFFFF"/>
            <w:vAlign w:val="center"/>
          </w:tcPr>
          <w:p w14:paraId="341D985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13.6</w:t>
            </w:r>
          </w:p>
        </w:tc>
        <w:tc>
          <w:tcPr>
            <w:tcW w:w="536" w:type="dxa"/>
            <w:shd w:val="clear" w:color="auto" w:fill="FFFFFF"/>
            <w:vAlign w:val="center"/>
          </w:tcPr>
          <w:p w14:paraId="29A8D3E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59.0</w:t>
            </w:r>
          </w:p>
        </w:tc>
        <w:tc>
          <w:tcPr>
            <w:tcW w:w="541" w:type="dxa"/>
            <w:shd w:val="clear" w:color="auto" w:fill="FFFFFF"/>
            <w:vAlign w:val="center"/>
          </w:tcPr>
          <w:p w14:paraId="7E3E9F8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22.1</w:t>
            </w:r>
          </w:p>
        </w:tc>
        <w:tc>
          <w:tcPr>
            <w:tcW w:w="536" w:type="dxa"/>
            <w:gridSpan w:val="2"/>
            <w:shd w:val="clear" w:color="auto" w:fill="FFFFFF"/>
            <w:vAlign w:val="center"/>
          </w:tcPr>
          <w:p w14:paraId="0C333D9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58.4</w:t>
            </w:r>
          </w:p>
        </w:tc>
        <w:tc>
          <w:tcPr>
            <w:tcW w:w="536" w:type="dxa"/>
            <w:shd w:val="clear" w:color="auto" w:fill="FFFFFF"/>
            <w:vAlign w:val="center"/>
          </w:tcPr>
          <w:p w14:paraId="5E5C3D7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58.5</w:t>
            </w:r>
          </w:p>
        </w:tc>
        <w:tc>
          <w:tcPr>
            <w:tcW w:w="536" w:type="dxa"/>
            <w:shd w:val="clear" w:color="auto" w:fill="FFFFFF"/>
            <w:vAlign w:val="center"/>
          </w:tcPr>
          <w:p w14:paraId="61B530E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58.4</w:t>
            </w:r>
          </w:p>
        </w:tc>
        <w:tc>
          <w:tcPr>
            <w:tcW w:w="541" w:type="dxa"/>
            <w:shd w:val="clear" w:color="auto" w:fill="FFFFFF"/>
            <w:vAlign w:val="center"/>
          </w:tcPr>
          <w:p w14:paraId="12FAB09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58.4</w:t>
            </w:r>
          </w:p>
        </w:tc>
        <w:tc>
          <w:tcPr>
            <w:tcW w:w="1120" w:type="dxa"/>
            <w:gridSpan w:val="2"/>
            <w:vAlign w:val="center"/>
          </w:tcPr>
          <w:p w14:paraId="3CF120F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3BFCBC0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1EF684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7DF83BD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2635066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7476590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32.4</w:t>
            </w:r>
          </w:p>
        </w:tc>
        <w:tc>
          <w:tcPr>
            <w:tcW w:w="541" w:type="dxa"/>
            <w:shd w:val="clear" w:color="auto" w:fill="FFFFFF"/>
            <w:vAlign w:val="center"/>
          </w:tcPr>
          <w:p w14:paraId="674C262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32.5</w:t>
            </w:r>
          </w:p>
        </w:tc>
        <w:tc>
          <w:tcPr>
            <w:tcW w:w="536" w:type="dxa"/>
            <w:gridSpan w:val="2"/>
            <w:shd w:val="clear" w:color="auto" w:fill="FFFFFF"/>
            <w:vAlign w:val="center"/>
          </w:tcPr>
          <w:p w14:paraId="262C817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32.4</w:t>
            </w:r>
          </w:p>
        </w:tc>
        <w:tc>
          <w:tcPr>
            <w:tcW w:w="536" w:type="dxa"/>
            <w:shd w:val="clear" w:color="auto" w:fill="FFFFFF"/>
            <w:vAlign w:val="center"/>
          </w:tcPr>
          <w:p w14:paraId="6709FBD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32.4</w:t>
            </w:r>
          </w:p>
        </w:tc>
        <w:tc>
          <w:tcPr>
            <w:tcW w:w="311" w:type="dxa"/>
            <w:gridSpan w:val="2"/>
            <w:vMerge w:val="continue"/>
            <w:vAlign w:val="center"/>
          </w:tcPr>
          <w:p w14:paraId="667B193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76CAF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4470538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w:t>
            </w:r>
          </w:p>
        </w:tc>
        <w:tc>
          <w:tcPr>
            <w:tcW w:w="397" w:type="dxa"/>
            <w:vMerge w:val="continue"/>
            <w:vAlign w:val="center"/>
          </w:tcPr>
          <w:p w14:paraId="0F8445D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FFFFFF"/>
            <w:vAlign w:val="center"/>
          </w:tcPr>
          <w:p w14:paraId="773134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抛光机</w:t>
            </w:r>
          </w:p>
        </w:tc>
        <w:tc>
          <w:tcPr>
            <w:tcW w:w="394" w:type="dxa"/>
            <w:shd w:val="clear" w:color="auto" w:fill="auto"/>
            <w:vAlign w:val="center"/>
          </w:tcPr>
          <w:p w14:paraId="594E02F1">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2</w:t>
            </w:r>
          </w:p>
        </w:tc>
        <w:tc>
          <w:tcPr>
            <w:tcW w:w="637" w:type="dxa"/>
            <w:vAlign w:val="center"/>
          </w:tcPr>
          <w:p w14:paraId="7D9FA7D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82</w:t>
            </w:r>
          </w:p>
        </w:tc>
        <w:tc>
          <w:tcPr>
            <w:tcW w:w="398" w:type="dxa"/>
            <w:vAlign w:val="center"/>
          </w:tcPr>
          <w:p w14:paraId="29C3F60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28E5927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-67.2</w:t>
            </w:r>
          </w:p>
        </w:tc>
        <w:tc>
          <w:tcPr>
            <w:tcW w:w="530" w:type="dxa"/>
            <w:shd w:val="clear" w:color="auto" w:fill="FFFFFF"/>
            <w:vAlign w:val="center"/>
          </w:tcPr>
          <w:p w14:paraId="774E797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-7.2</w:t>
            </w:r>
          </w:p>
        </w:tc>
        <w:tc>
          <w:tcPr>
            <w:tcW w:w="446" w:type="dxa"/>
            <w:gridSpan w:val="2"/>
            <w:shd w:val="clear" w:color="auto" w:fill="FFFFFF"/>
            <w:vAlign w:val="center"/>
          </w:tcPr>
          <w:p w14:paraId="2ADC88D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22F67B4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168.9</w:t>
            </w:r>
          </w:p>
        </w:tc>
        <w:tc>
          <w:tcPr>
            <w:tcW w:w="536" w:type="dxa"/>
            <w:shd w:val="clear" w:color="auto" w:fill="FFFFFF"/>
            <w:vAlign w:val="center"/>
          </w:tcPr>
          <w:p w14:paraId="63E03BF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10.0</w:t>
            </w:r>
          </w:p>
        </w:tc>
        <w:tc>
          <w:tcPr>
            <w:tcW w:w="536" w:type="dxa"/>
            <w:shd w:val="clear" w:color="auto" w:fill="FFFFFF"/>
            <w:vAlign w:val="center"/>
          </w:tcPr>
          <w:p w14:paraId="1DC1EB4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35.0</w:t>
            </w:r>
          </w:p>
        </w:tc>
        <w:tc>
          <w:tcPr>
            <w:tcW w:w="541" w:type="dxa"/>
            <w:shd w:val="clear" w:color="auto" w:fill="FFFFFF"/>
            <w:vAlign w:val="center"/>
          </w:tcPr>
          <w:p w14:paraId="78D2F69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25.7</w:t>
            </w:r>
          </w:p>
        </w:tc>
        <w:tc>
          <w:tcPr>
            <w:tcW w:w="536" w:type="dxa"/>
            <w:gridSpan w:val="2"/>
            <w:shd w:val="clear" w:color="auto" w:fill="FFFFFF"/>
            <w:vAlign w:val="center"/>
          </w:tcPr>
          <w:p w14:paraId="6E5C2EF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6752FB0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60.7</w:t>
            </w:r>
          </w:p>
        </w:tc>
        <w:tc>
          <w:tcPr>
            <w:tcW w:w="536" w:type="dxa"/>
            <w:shd w:val="clear" w:color="auto" w:fill="FFFFFF"/>
            <w:vAlign w:val="center"/>
          </w:tcPr>
          <w:p w14:paraId="3B33056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41" w:type="dxa"/>
            <w:shd w:val="clear" w:color="auto" w:fill="FFFFFF"/>
            <w:vAlign w:val="center"/>
          </w:tcPr>
          <w:p w14:paraId="1DC4C15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1120" w:type="dxa"/>
            <w:gridSpan w:val="2"/>
            <w:vAlign w:val="center"/>
          </w:tcPr>
          <w:p w14:paraId="74BEA01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066323F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6D2AD8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39C947E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1298615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27891FB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41" w:type="dxa"/>
            <w:shd w:val="clear" w:color="auto" w:fill="FFFFFF"/>
            <w:vAlign w:val="center"/>
          </w:tcPr>
          <w:p w14:paraId="1CBA4EB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34.7</w:t>
            </w:r>
          </w:p>
        </w:tc>
        <w:tc>
          <w:tcPr>
            <w:tcW w:w="536" w:type="dxa"/>
            <w:gridSpan w:val="2"/>
            <w:shd w:val="clear" w:color="auto" w:fill="FFFFFF"/>
            <w:vAlign w:val="center"/>
          </w:tcPr>
          <w:p w14:paraId="1FCA100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shd w:val="clear" w:color="auto" w:fill="FFFFFF"/>
            <w:vAlign w:val="center"/>
          </w:tcPr>
          <w:p w14:paraId="54E676A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311" w:type="dxa"/>
            <w:gridSpan w:val="2"/>
            <w:vMerge w:val="continue"/>
            <w:vAlign w:val="center"/>
          </w:tcPr>
          <w:p w14:paraId="4063FAB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6E410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2CAEAEE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w:t>
            </w:r>
          </w:p>
        </w:tc>
        <w:tc>
          <w:tcPr>
            <w:tcW w:w="397" w:type="dxa"/>
            <w:vMerge w:val="continue"/>
            <w:vAlign w:val="center"/>
          </w:tcPr>
          <w:p w14:paraId="09D6F02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5FAC26E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000000"/>
                <w:sz w:val="21"/>
                <w:szCs w:val="21"/>
                <w:lang w:val="en-US" w:eastAsia="zh-CN"/>
              </w:rPr>
              <w:t>拉丝机</w:t>
            </w:r>
          </w:p>
        </w:tc>
        <w:tc>
          <w:tcPr>
            <w:tcW w:w="394" w:type="dxa"/>
            <w:shd w:val="clear" w:color="auto" w:fill="auto"/>
            <w:vAlign w:val="center"/>
          </w:tcPr>
          <w:p w14:paraId="011CFF1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eastAsia="宋体" w:cs="Times New Roman"/>
                <w:color w:val="000000"/>
                <w:sz w:val="21"/>
                <w:szCs w:val="21"/>
                <w:lang w:val="en-US" w:eastAsia="zh-CN"/>
              </w:rPr>
              <w:t>1</w:t>
            </w:r>
          </w:p>
        </w:tc>
        <w:tc>
          <w:tcPr>
            <w:tcW w:w="637" w:type="dxa"/>
            <w:vAlign w:val="center"/>
          </w:tcPr>
          <w:p w14:paraId="73B58A2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78</w:t>
            </w:r>
          </w:p>
        </w:tc>
        <w:tc>
          <w:tcPr>
            <w:tcW w:w="398" w:type="dxa"/>
            <w:vAlign w:val="center"/>
          </w:tcPr>
          <w:p w14:paraId="39FB4E1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3D77737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-35.3</w:t>
            </w:r>
          </w:p>
        </w:tc>
        <w:tc>
          <w:tcPr>
            <w:tcW w:w="530" w:type="dxa"/>
            <w:shd w:val="clear" w:color="auto" w:fill="FFFFFF"/>
            <w:vAlign w:val="center"/>
          </w:tcPr>
          <w:p w14:paraId="3F0D251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13.5</w:t>
            </w:r>
          </w:p>
        </w:tc>
        <w:tc>
          <w:tcPr>
            <w:tcW w:w="446" w:type="dxa"/>
            <w:gridSpan w:val="2"/>
            <w:shd w:val="clear" w:color="auto" w:fill="FFFFFF"/>
            <w:vAlign w:val="center"/>
          </w:tcPr>
          <w:p w14:paraId="24FA64C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2B7182A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137.0</w:t>
            </w:r>
          </w:p>
        </w:tc>
        <w:tc>
          <w:tcPr>
            <w:tcW w:w="536" w:type="dxa"/>
            <w:shd w:val="clear" w:color="auto" w:fill="FFFFFF"/>
            <w:vAlign w:val="center"/>
          </w:tcPr>
          <w:p w14:paraId="420DAFE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30.7</w:t>
            </w:r>
          </w:p>
        </w:tc>
        <w:tc>
          <w:tcPr>
            <w:tcW w:w="536" w:type="dxa"/>
            <w:shd w:val="clear" w:color="auto" w:fill="FFFFFF"/>
            <w:vAlign w:val="center"/>
          </w:tcPr>
          <w:p w14:paraId="4581C0C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66.9</w:t>
            </w:r>
          </w:p>
        </w:tc>
        <w:tc>
          <w:tcPr>
            <w:tcW w:w="541" w:type="dxa"/>
            <w:shd w:val="clear" w:color="auto" w:fill="FFFFFF"/>
            <w:vAlign w:val="center"/>
          </w:tcPr>
          <w:p w14:paraId="03347E2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5.0</w:t>
            </w:r>
          </w:p>
        </w:tc>
        <w:tc>
          <w:tcPr>
            <w:tcW w:w="536" w:type="dxa"/>
            <w:gridSpan w:val="2"/>
            <w:shd w:val="clear" w:color="auto" w:fill="FFFFFF"/>
            <w:vAlign w:val="center"/>
          </w:tcPr>
          <w:p w14:paraId="153ABEE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57.4</w:t>
            </w:r>
          </w:p>
        </w:tc>
        <w:tc>
          <w:tcPr>
            <w:tcW w:w="536" w:type="dxa"/>
            <w:shd w:val="clear" w:color="auto" w:fill="FFFFFF"/>
            <w:vAlign w:val="center"/>
          </w:tcPr>
          <w:p w14:paraId="6F1F022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57.4</w:t>
            </w:r>
          </w:p>
        </w:tc>
        <w:tc>
          <w:tcPr>
            <w:tcW w:w="536" w:type="dxa"/>
            <w:shd w:val="clear" w:color="auto" w:fill="FFFFFF"/>
            <w:vAlign w:val="center"/>
          </w:tcPr>
          <w:p w14:paraId="6C8ACB8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57.4</w:t>
            </w:r>
          </w:p>
        </w:tc>
        <w:tc>
          <w:tcPr>
            <w:tcW w:w="541" w:type="dxa"/>
            <w:shd w:val="clear" w:color="auto" w:fill="FFFFFF"/>
            <w:vAlign w:val="center"/>
          </w:tcPr>
          <w:p w14:paraId="5477556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58.5</w:t>
            </w:r>
          </w:p>
        </w:tc>
        <w:tc>
          <w:tcPr>
            <w:tcW w:w="1120" w:type="dxa"/>
            <w:gridSpan w:val="2"/>
            <w:vAlign w:val="center"/>
          </w:tcPr>
          <w:p w14:paraId="1F262D2C">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567ECDF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CB647F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F294BD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761DE28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D6DCD7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31.4</w:t>
            </w:r>
          </w:p>
        </w:tc>
        <w:tc>
          <w:tcPr>
            <w:tcW w:w="541" w:type="dxa"/>
            <w:shd w:val="clear" w:color="auto" w:fill="FFFFFF"/>
            <w:vAlign w:val="center"/>
          </w:tcPr>
          <w:p w14:paraId="7457429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31.4</w:t>
            </w:r>
          </w:p>
        </w:tc>
        <w:tc>
          <w:tcPr>
            <w:tcW w:w="536" w:type="dxa"/>
            <w:gridSpan w:val="2"/>
            <w:shd w:val="clear" w:color="auto" w:fill="FFFFFF"/>
            <w:vAlign w:val="center"/>
          </w:tcPr>
          <w:p w14:paraId="3E4D2A0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31.4</w:t>
            </w:r>
          </w:p>
        </w:tc>
        <w:tc>
          <w:tcPr>
            <w:tcW w:w="536" w:type="dxa"/>
            <w:shd w:val="clear" w:color="auto" w:fill="FFFFFF"/>
            <w:vAlign w:val="center"/>
          </w:tcPr>
          <w:p w14:paraId="186ED14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32.5</w:t>
            </w:r>
          </w:p>
        </w:tc>
        <w:tc>
          <w:tcPr>
            <w:tcW w:w="311" w:type="dxa"/>
            <w:gridSpan w:val="2"/>
            <w:vMerge w:val="continue"/>
            <w:vAlign w:val="center"/>
          </w:tcPr>
          <w:p w14:paraId="6368F64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12F0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615A4B0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13</w:t>
            </w:r>
          </w:p>
        </w:tc>
        <w:tc>
          <w:tcPr>
            <w:tcW w:w="397" w:type="dxa"/>
            <w:vMerge w:val="continue"/>
            <w:vAlign w:val="center"/>
          </w:tcPr>
          <w:p w14:paraId="31384B1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5521D3A1">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超声波清洗机</w:t>
            </w:r>
          </w:p>
        </w:tc>
        <w:tc>
          <w:tcPr>
            <w:tcW w:w="394" w:type="dxa"/>
            <w:shd w:val="clear" w:color="auto" w:fill="auto"/>
            <w:vAlign w:val="center"/>
          </w:tcPr>
          <w:p w14:paraId="5131BAA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eastAsia="宋体" w:cs="Times New Roman"/>
                <w:color w:val="000000"/>
                <w:sz w:val="21"/>
                <w:szCs w:val="21"/>
                <w:lang w:val="en-US" w:eastAsia="zh-CN"/>
              </w:rPr>
              <w:t>3</w:t>
            </w:r>
          </w:p>
        </w:tc>
        <w:tc>
          <w:tcPr>
            <w:tcW w:w="637" w:type="dxa"/>
            <w:vAlign w:val="center"/>
          </w:tcPr>
          <w:p w14:paraId="0125949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77</w:t>
            </w:r>
          </w:p>
        </w:tc>
        <w:tc>
          <w:tcPr>
            <w:tcW w:w="398" w:type="dxa"/>
            <w:vAlign w:val="center"/>
          </w:tcPr>
          <w:p w14:paraId="73A5B38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3B41B34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-73.6</w:t>
            </w:r>
          </w:p>
        </w:tc>
        <w:tc>
          <w:tcPr>
            <w:tcW w:w="530" w:type="dxa"/>
            <w:shd w:val="clear" w:color="auto" w:fill="FFFFFF"/>
            <w:vAlign w:val="center"/>
          </w:tcPr>
          <w:p w14:paraId="265A545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-10.2</w:t>
            </w:r>
          </w:p>
        </w:tc>
        <w:tc>
          <w:tcPr>
            <w:tcW w:w="446" w:type="dxa"/>
            <w:gridSpan w:val="2"/>
            <w:shd w:val="clear" w:color="auto" w:fill="FFFFFF"/>
            <w:vAlign w:val="center"/>
          </w:tcPr>
          <w:p w14:paraId="38B7011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20B2D74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175.3</w:t>
            </w:r>
          </w:p>
        </w:tc>
        <w:tc>
          <w:tcPr>
            <w:tcW w:w="536" w:type="dxa"/>
            <w:shd w:val="clear" w:color="auto" w:fill="FFFFFF"/>
            <w:vAlign w:val="center"/>
          </w:tcPr>
          <w:p w14:paraId="290B984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7.0</w:t>
            </w:r>
          </w:p>
        </w:tc>
        <w:tc>
          <w:tcPr>
            <w:tcW w:w="536" w:type="dxa"/>
            <w:shd w:val="clear" w:color="auto" w:fill="FFFFFF"/>
            <w:vAlign w:val="center"/>
          </w:tcPr>
          <w:p w14:paraId="11188CC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28.6</w:t>
            </w:r>
          </w:p>
        </w:tc>
        <w:tc>
          <w:tcPr>
            <w:tcW w:w="541" w:type="dxa"/>
            <w:shd w:val="clear" w:color="auto" w:fill="FFFFFF"/>
            <w:vAlign w:val="center"/>
          </w:tcPr>
          <w:p w14:paraId="3EABAC8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28.7</w:t>
            </w:r>
          </w:p>
        </w:tc>
        <w:tc>
          <w:tcPr>
            <w:tcW w:w="536" w:type="dxa"/>
            <w:gridSpan w:val="2"/>
            <w:shd w:val="clear" w:color="auto" w:fill="FFFFFF"/>
            <w:vAlign w:val="center"/>
          </w:tcPr>
          <w:p w14:paraId="74F8B5C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2D36FDD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61.0</w:t>
            </w:r>
          </w:p>
        </w:tc>
        <w:tc>
          <w:tcPr>
            <w:tcW w:w="536" w:type="dxa"/>
            <w:shd w:val="clear" w:color="auto" w:fill="FFFFFF"/>
            <w:vAlign w:val="center"/>
          </w:tcPr>
          <w:p w14:paraId="0A88F17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41" w:type="dxa"/>
            <w:shd w:val="clear" w:color="auto" w:fill="FFFFFF"/>
            <w:vAlign w:val="center"/>
          </w:tcPr>
          <w:p w14:paraId="00EDB1F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1120" w:type="dxa"/>
            <w:gridSpan w:val="2"/>
            <w:vAlign w:val="center"/>
          </w:tcPr>
          <w:p w14:paraId="67835C5F">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4194A43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05EDEEE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366F6BC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71C79CB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57EE32D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41" w:type="dxa"/>
            <w:shd w:val="clear" w:color="auto" w:fill="FFFFFF"/>
            <w:vAlign w:val="center"/>
          </w:tcPr>
          <w:p w14:paraId="1976E3D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35.0</w:t>
            </w:r>
          </w:p>
        </w:tc>
        <w:tc>
          <w:tcPr>
            <w:tcW w:w="536" w:type="dxa"/>
            <w:gridSpan w:val="2"/>
            <w:shd w:val="clear" w:color="auto" w:fill="FFFFFF"/>
            <w:vAlign w:val="center"/>
          </w:tcPr>
          <w:p w14:paraId="7B5C391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shd w:val="clear" w:color="auto" w:fill="FFFFFF"/>
            <w:vAlign w:val="center"/>
          </w:tcPr>
          <w:p w14:paraId="40C02FB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311" w:type="dxa"/>
            <w:gridSpan w:val="2"/>
            <w:vMerge w:val="continue"/>
            <w:vAlign w:val="center"/>
          </w:tcPr>
          <w:p w14:paraId="57D9564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08C73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397" w:type="dxa"/>
            <w:gridSpan w:val="2"/>
            <w:shd w:val="clear" w:color="auto" w:fill="auto"/>
            <w:vAlign w:val="center"/>
          </w:tcPr>
          <w:p w14:paraId="543A604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14</w:t>
            </w:r>
          </w:p>
        </w:tc>
        <w:tc>
          <w:tcPr>
            <w:tcW w:w="397" w:type="dxa"/>
            <w:vMerge w:val="continue"/>
            <w:vAlign w:val="center"/>
          </w:tcPr>
          <w:p w14:paraId="00ED057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0DC5DA2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bCs w:val="0"/>
                <w:color w:val="000000"/>
                <w:sz w:val="21"/>
                <w:szCs w:val="21"/>
                <w:lang w:val="en-US" w:eastAsia="zh-CN"/>
              </w:rPr>
              <w:t>喷漆机器人</w:t>
            </w:r>
          </w:p>
        </w:tc>
        <w:tc>
          <w:tcPr>
            <w:tcW w:w="394" w:type="dxa"/>
            <w:shd w:val="clear" w:color="auto" w:fill="auto"/>
            <w:vAlign w:val="center"/>
          </w:tcPr>
          <w:p w14:paraId="246CFEA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637" w:type="dxa"/>
            <w:vAlign w:val="center"/>
          </w:tcPr>
          <w:p w14:paraId="50F810C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80</w:t>
            </w:r>
          </w:p>
        </w:tc>
        <w:tc>
          <w:tcPr>
            <w:tcW w:w="398" w:type="dxa"/>
            <w:vAlign w:val="center"/>
          </w:tcPr>
          <w:p w14:paraId="3E66415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2744DC3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-53.6</w:t>
            </w:r>
          </w:p>
        </w:tc>
        <w:tc>
          <w:tcPr>
            <w:tcW w:w="530" w:type="dxa"/>
            <w:shd w:val="clear" w:color="auto" w:fill="FFFFFF"/>
            <w:vAlign w:val="center"/>
          </w:tcPr>
          <w:p w14:paraId="085DE3F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-10</w:t>
            </w:r>
          </w:p>
        </w:tc>
        <w:tc>
          <w:tcPr>
            <w:tcW w:w="446" w:type="dxa"/>
            <w:gridSpan w:val="2"/>
            <w:shd w:val="clear" w:color="auto" w:fill="FFFFFF"/>
            <w:vAlign w:val="center"/>
          </w:tcPr>
          <w:p w14:paraId="603B2AF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1DBB65F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155.3</w:t>
            </w:r>
          </w:p>
        </w:tc>
        <w:tc>
          <w:tcPr>
            <w:tcW w:w="536" w:type="dxa"/>
            <w:shd w:val="clear" w:color="auto" w:fill="FFFFFF"/>
            <w:vAlign w:val="center"/>
          </w:tcPr>
          <w:p w14:paraId="09FC018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7.2</w:t>
            </w:r>
          </w:p>
        </w:tc>
        <w:tc>
          <w:tcPr>
            <w:tcW w:w="536" w:type="dxa"/>
            <w:shd w:val="clear" w:color="auto" w:fill="FFFFFF"/>
            <w:vAlign w:val="center"/>
          </w:tcPr>
          <w:p w14:paraId="5AE71D8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48.6</w:t>
            </w:r>
          </w:p>
        </w:tc>
        <w:tc>
          <w:tcPr>
            <w:tcW w:w="541" w:type="dxa"/>
            <w:shd w:val="clear" w:color="auto" w:fill="FFFFFF"/>
            <w:vAlign w:val="center"/>
          </w:tcPr>
          <w:p w14:paraId="7EFC03A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28.5</w:t>
            </w:r>
          </w:p>
        </w:tc>
        <w:tc>
          <w:tcPr>
            <w:tcW w:w="536" w:type="dxa"/>
            <w:gridSpan w:val="2"/>
            <w:shd w:val="clear" w:color="auto" w:fill="FFFFFF"/>
            <w:vAlign w:val="center"/>
          </w:tcPr>
          <w:p w14:paraId="300F9BA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6E6FF75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60.9</w:t>
            </w:r>
          </w:p>
        </w:tc>
        <w:tc>
          <w:tcPr>
            <w:tcW w:w="536" w:type="dxa"/>
            <w:shd w:val="clear" w:color="auto" w:fill="FFFFFF"/>
            <w:vAlign w:val="center"/>
          </w:tcPr>
          <w:p w14:paraId="0680589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41" w:type="dxa"/>
            <w:shd w:val="clear" w:color="auto" w:fill="FFFFFF"/>
            <w:vAlign w:val="center"/>
          </w:tcPr>
          <w:p w14:paraId="2F5BB94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1120" w:type="dxa"/>
            <w:gridSpan w:val="2"/>
            <w:vAlign w:val="center"/>
          </w:tcPr>
          <w:p w14:paraId="177B260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7B2AFC8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AF89B0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45AFF3F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68EE1C8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94B450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41" w:type="dxa"/>
            <w:shd w:val="clear" w:color="auto" w:fill="FFFFFF"/>
            <w:vAlign w:val="center"/>
          </w:tcPr>
          <w:p w14:paraId="00F0159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34.9</w:t>
            </w:r>
          </w:p>
        </w:tc>
        <w:tc>
          <w:tcPr>
            <w:tcW w:w="536" w:type="dxa"/>
            <w:gridSpan w:val="2"/>
            <w:shd w:val="clear" w:color="auto" w:fill="FFFFFF"/>
            <w:vAlign w:val="center"/>
          </w:tcPr>
          <w:p w14:paraId="1B052C4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shd w:val="clear" w:color="auto" w:fill="FFFFFF"/>
            <w:vAlign w:val="center"/>
          </w:tcPr>
          <w:p w14:paraId="6935A35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311" w:type="dxa"/>
            <w:gridSpan w:val="2"/>
            <w:vMerge w:val="continue"/>
            <w:vAlign w:val="center"/>
          </w:tcPr>
          <w:p w14:paraId="6C21D3E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76A9C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442189E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397" w:type="dxa"/>
            <w:vMerge w:val="continue"/>
            <w:vAlign w:val="center"/>
          </w:tcPr>
          <w:p w14:paraId="601B79B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577F0D9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b w:val="0"/>
                <w:bCs w:val="0"/>
                <w:color w:val="000000"/>
                <w:sz w:val="21"/>
                <w:szCs w:val="21"/>
                <w:lang w:val="en-US" w:eastAsia="zh-CN"/>
              </w:rPr>
              <w:t>喷枪</w:t>
            </w:r>
          </w:p>
        </w:tc>
        <w:tc>
          <w:tcPr>
            <w:tcW w:w="394" w:type="dxa"/>
            <w:shd w:val="clear" w:color="auto" w:fill="auto"/>
            <w:vAlign w:val="center"/>
          </w:tcPr>
          <w:p w14:paraId="348673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8</w:t>
            </w:r>
          </w:p>
        </w:tc>
        <w:tc>
          <w:tcPr>
            <w:tcW w:w="637" w:type="dxa"/>
            <w:vAlign w:val="center"/>
          </w:tcPr>
          <w:p w14:paraId="31B7A0E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80</w:t>
            </w:r>
          </w:p>
        </w:tc>
        <w:tc>
          <w:tcPr>
            <w:tcW w:w="398" w:type="dxa"/>
            <w:vAlign w:val="center"/>
          </w:tcPr>
          <w:p w14:paraId="34E4DEF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24D91B6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-79.7</w:t>
            </w:r>
          </w:p>
        </w:tc>
        <w:tc>
          <w:tcPr>
            <w:tcW w:w="530" w:type="dxa"/>
            <w:shd w:val="clear" w:color="auto" w:fill="FFFFFF"/>
            <w:vAlign w:val="center"/>
          </w:tcPr>
          <w:p w14:paraId="3075458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5.1</w:t>
            </w:r>
          </w:p>
        </w:tc>
        <w:tc>
          <w:tcPr>
            <w:tcW w:w="446" w:type="dxa"/>
            <w:gridSpan w:val="2"/>
            <w:shd w:val="clear" w:color="auto" w:fill="FFFFFF"/>
            <w:vAlign w:val="center"/>
          </w:tcPr>
          <w:p w14:paraId="2C965F78">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146FC70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181.4</w:t>
            </w:r>
          </w:p>
        </w:tc>
        <w:tc>
          <w:tcPr>
            <w:tcW w:w="536" w:type="dxa"/>
            <w:shd w:val="clear" w:color="auto" w:fill="FFFFFF"/>
            <w:vAlign w:val="center"/>
          </w:tcPr>
          <w:p w14:paraId="1CCA77F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22.3</w:t>
            </w:r>
          </w:p>
        </w:tc>
        <w:tc>
          <w:tcPr>
            <w:tcW w:w="536" w:type="dxa"/>
            <w:shd w:val="clear" w:color="auto" w:fill="FFFFFF"/>
            <w:vAlign w:val="center"/>
          </w:tcPr>
          <w:p w14:paraId="4D1153F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22.5</w:t>
            </w:r>
          </w:p>
        </w:tc>
        <w:tc>
          <w:tcPr>
            <w:tcW w:w="541" w:type="dxa"/>
            <w:shd w:val="clear" w:color="auto" w:fill="FFFFFF"/>
            <w:vAlign w:val="center"/>
          </w:tcPr>
          <w:p w14:paraId="44D0016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13.4</w:t>
            </w:r>
          </w:p>
        </w:tc>
        <w:tc>
          <w:tcPr>
            <w:tcW w:w="536" w:type="dxa"/>
            <w:gridSpan w:val="2"/>
            <w:shd w:val="clear" w:color="auto" w:fill="FFFFFF"/>
            <w:vAlign w:val="center"/>
          </w:tcPr>
          <w:p w14:paraId="441FF87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3CA600D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6BA7E8F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41" w:type="dxa"/>
            <w:shd w:val="clear" w:color="auto" w:fill="FFFFFF"/>
            <w:vAlign w:val="center"/>
          </w:tcPr>
          <w:p w14:paraId="5650683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60.5</w:t>
            </w:r>
          </w:p>
        </w:tc>
        <w:tc>
          <w:tcPr>
            <w:tcW w:w="1120" w:type="dxa"/>
            <w:gridSpan w:val="2"/>
            <w:vAlign w:val="center"/>
          </w:tcPr>
          <w:p w14:paraId="4DF19BE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767B996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3CD877B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23C40B7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5CF27C8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63C469C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41" w:type="dxa"/>
            <w:shd w:val="clear" w:color="auto" w:fill="FFFFFF"/>
            <w:vAlign w:val="center"/>
          </w:tcPr>
          <w:p w14:paraId="151191C5">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gridSpan w:val="2"/>
            <w:shd w:val="clear" w:color="auto" w:fill="FFFFFF"/>
            <w:vAlign w:val="center"/>
          </w:tcPr>
          <w:p w14:paraId="4D61101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shd w:val="clear" w:color="auto" w:fill="FFFFFF"/>
            <w:vAlign w:val="center"/>
          </w:tcPr>
          <w:p w14:paraId="4ABAFCC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34.5</w:t>
            </w:r>
          </w:p>
        </w:tc>
        <w:tc>
          <w:tcPr>
            <w:tcW w:w="311" w:type="dxa"/>
            <w:gridSpan w:val="2"/>
            <w:vMerge w:val="continue"/>
            <w:vAlign w:val="center"/>
          </w:tcPr>
          <w:p w14:paraId="1D14E86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0F779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397" w:type="dxa"/>
            <w:gridSpan w:val="2"/>
            <w:shd w:val="clear" w:color="auto" w:fill="auto"/>
            <w:vAlign w:val="center"/>
          </w:tcPr>
          <w:p w14:paraId="193243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1</w:t>
            </w:r>
            <w:r>
              <w:rPr>
                <w:rFonts w:hint="default" w:ascii="Times New Roman" w:hAnsi="Times New Roman" w:cs="Times New Roman"/>
                <w:color w:val="auto"/>
                <w:sz w:val="21"/>
                <w:szCs w:val="21"/>
                <w:highlight w:val="none"/>
                <w:lang w:val="en-US" w:eastAsia="zh-CN"/>
              </w:rPr>
              <w:t>6</w:t>
            </w:r>
          </w:p>
        </w:tc>
        <w:tc>
          <w:tcPr>
            <w:tcW w:w="397" w:type="dxa"/>
            <w:vMerge w:val="continue"/>
            <w:vAlign w:val="center"/>
          </w:tcPr>
          <w:p w14:paraId="147E0ED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3375E15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000000"/>
                <w:sz w:val="21"/>
                <w:szCs w:val="21"/>
              </w:rPr>
              <w:t>空压机</w:t>
            </w:r>
          </w:p>
        </w:tc>
        <w:tc>
          <w:tcPr>
            <w:tcW w:w="394" w:type="dxa"/>
            <w:shd w:val="clear" w:color="auto" w:fill="auto"/>
            <w:vAlign w:val="center"/>
          </w:tcPr>
          <w:p w14:paraId="0D8B5F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2</w:t>
            </w:r>
          </w:p>
        </w:tc>
        <w:tc>
          <w:tcPr>
            <w:tcW w:w="637" w:type="dxa"/>
            <w:vAlign w:val="center"/>
          </w:tcPr>
          <w:p w14:paraId="11D3BBA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85</w:t>
            </w:r>
          </w:p>
        </w:tc>
        <w:tc>
          <w:tcPr>
            <w:tcW w:w="398" w:type="dxa"/>
            <w:vAlign w:val="center"/>
          </w:tcPr>
          <w:p w14:paraId="36ECC0A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635AEE4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-28.1</w:t>
            </w:r>
          </w:p>
        </w:tc>
        <w:tc>
          <w:tcPr>
            <w:tcW w:w="530" w:type="dxa"/>
            <w:shd w:val="clear" w:color="auto" w:fill="FFFFFF"/>
            <w:vAlign w:val="center"/>
          </w:tcPr>
          <w:p w14:paraId="38CFC4A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-0.5</w:t>
            </w:r>
          </w:p>
        </w:tc>
        <w:tc>
          <w:tcPr>
            <w:tcW w:w="446" w:type="dxa"/>
            <w:gridSpan w:val="2"/>
            <w:shd w:val="clear" w:color="auto" w:fill="FFFFFF"/>
            <w:vAlign w:val="center"/>
          </w:tcPr>
          <w:p w14:paraId="2B79886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7458405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129.8</w:t>
            </w:r>
          </w:p>
        </w:tc>
        <w:tc>
          <w:tcPr>
            <w:tcW w:w="536" w:type="dxa"/>
            <w:shd w:val="clear" w:color="auto" w:fill="FFFFFF"/>
            <w:vAlign w:val="center"/>
          </w:tcPr>
          <w:p w14:paraId="6DA059A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16.7</w:t>
            </w:r>
          </w:p>
        </w:tc>
        <w:tc>
          <w:tcPr>
            <w:tcW w:w="536" w:type="dxa"/>
            <w:shd w:val="clear" w:color="auto" w:fill="FFFFFF"/>
            <w:vAlign w:val="center"/>
          </w:tcPr>
          <w:p w14:paraId="1CCD469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74.1</w:t>
            </w:r>
          </w:p>
        </w:tc>
        <w:tc>
          <w:tcPr>
            <w:tcW w:w="541" w:type="dxa"/>
            <w:shd w:val="clear" w:color="auto" w:fill="FFFFFF"/>
            <w:vAlign w:val="center"/>
          </w:tcPr>
          <w:p w14:paraId="3EF07C0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19.0</w:t>
            </w:r>
          </w:p>
        </w:tc>
        <w:tc>
          <w:tcPr>
            <w:tcW w:w="536" w:type="dxa"/>
            <w:gridSpan w:val="2"/>
            <w:shd w:val="clear" w:color="auto" w:fill="FFFFFF"/>
            <w:vAlign w:val="center"/>
          </w:tcPr>
          <w:p w14:paraId="490F8616">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36" w:type="dxa"/>
            <w:shd w:val="clear" w:color="auto" w:fill="FFFFFF"/>
            <w:vAlign w:val="center"/>
          </w:tcPr>
          <w:p w14:paraId="7E6B6E44">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55.5</w:t>
            </w:r>
          </w:p>
        </w:tc>
        <w:tc>
          <w:tcPr>
            <w:tcW w:w="536" w:type="dxa"/>
            <w:shd w:val="clear" w:color="auto" w:fill="FFFFFF"/>
            <w:vAlign w:val="center"/>
          </w:tcPr>
          <w:p w14:paraId="1995083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55.4</w:t>
            </w:r>
          </w:p>
        </w:tc>
        <w:tc>
          <w:tcPr>
            <w:tcW w:w="541" w:type="dxa"/>
            <w:shd w:val="clear" w:color="auto" w:fill="FFFFFF"/>
            <w:vAlign w:val="center"/>
          </w:tcPr>
          <w:p w14:paraId="7CFE5881">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55.5</w:t>
            </w:r>
          </w:p>
        </w:tc>
        <w:tc>
          <w:tcPr>
            <w:tcW w:w="1120" w:type="dxa"/>
            <w:gridSpan w:val="2"/>
            <w:vAlign w:val="center"/>
          </w:tcPr>
          <w:p w14:paraId="2E907B3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67DAD45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38EE0E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5140833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2F40EF1D">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050E6F7C">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41" w:type="dxa"/>
            <w:shd w:val="clear" w:color="auto" w:fill="FFFFFF"/>
            <w:vAlign w:val="center"/>
          </w:tcPr>
          <w:p w14:paraId="5F5F447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29.5</w:t>
            </w:r>
          </w:p>
        </w:tc>
        <w:tc>
          <w:tcPr>
            <w:tcW w:w="536" w:type="dxa"/>
            <w:gridSpan w:val="2"/>
            <w:shd w:val="clear" w:color="auto" w:fill="FFFFFF"/>
            <w:vAlign w:val="center"/>
          </w:tcPr>
          <w:p w14:paraId="2E9B26F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29.4</w:t>
            </w:r>
          </w:p>
        </w:tc>
        <w:tc>
          <w:tcPr>
            <w:tcW w:w="536" w:type="dxa"/>
            <w:shd w:val="clear" w:color="auto" w:fill="FFFFFF"/>
            <w:vAlign w:val="center"/>
          </w:tcPr>
          <w:p w14:paraId="6C6B545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29.5</w:t>
            </w:r>
          </w:p>
        </w:tc>
        <w:tc>
          <w:tcPr>
            <w:tcW w:w="311" w:type="dxa"/>
            <w:gridSpan w:val="2"/>
            <w:vMerge w:val="continue"/>
            <w:vAlign w:val="center"/>
          </w:tcPr>
          <w:p w14:paraId="53C066E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20F4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gridSpan w:val="2"/>
            <w:shd w:val="clear" w:color="auto" w:fill="auto"/>
            <w:vAlign w:val="center"/>
          </w:tcPr>
          <w:p w14:paraId="3D7C3B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1</w:t>
            </w:r>
            <w:r>
              <w:rPr>
                <w:rFonts w:hint="default" w:ascii="Times New Roman" w:hAnsi="Times New Roman" w:cs="Times New Roman"/>
                <w:color w:val="auto"/>
                <w:sz w:val="21"/>
                <w:szCs w:val="21"/>
                <w:highlight w:val="none"/>
                <w:lang w:val="en-US" w:eastAsia="zh-CN"/>
              </w:rPr>
              <w:t>7</w:t>
            </w:r>
          </w:p>
        </w:tc>
        <w:tc>
          <w:tcPr>
            <w:tcW w:w="397" w:type="dxa"/>
            <w:vMerge w:val="continue"/>
            <w:vAlign w:val="center"/>
          </w:tcPr>
          <w:p w14:paraId="2E34201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25" w:type="dxa"/>
            <w:shd w:val="clear" w:color="auto" w:fill="auto"/>
            <w:vAlign w:val="center"/>
          </w:tcPr>
          <w:p w14:paraId="75335CB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000000"/>
                <w:sz w:val="21"/>
                <w:szCs w:val="21"/>
                <w:lang w:val="en-US" w:eastAsia="zh-CN"/>
              </w:rPr>
              <w:t>纯水机</w:t>
            </w:r>
          </w:p>
        </w:tc>
        <w:tc>
          <w:tcPr>
            <w:tcW w:w="394" w:type="dxa"/>
            <w:shd w:val="clear" w:color="auto" w:fill="auto"/>
            <w:vAlign w:val="center"/>
          </w:tcPr>
          <w:p w14:paraId="6ADDD8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1</w:t>
            </w:r>
          </w:p>
        </w:tc>
        <w:tc>
          <w:tcPr>
            <w:tcW w:w="637" w:type="dxa"/>
            <w:vAlign w:val="center"/>
          </w:tcPr>
          <w:p w14:paraId="314B58F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75</w:t>
            </w:r>
          </w:p>
        </w:tc>
        <w:tc>
          <w:tcPr>
            <w:tcW w:w="398" w:type="dxa"/>
            <w:vAlign w:val="center"/>
          </w:tcPr>
          <w:p w14:paraId="14DCA17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减振</w:t>
            </w:r>
          </w:p>
        </w:tc>
        <w:tc>
          <w:tcPr>
            <w:tcW w:w="597" w:type="dxa"/>
            <w:gridSpan w:val="2"/>
            <w:shd w:val="clear" w:color="auto" w:fill="FFFFFF"/>
            <w:vAlign w:val="center"/>
          </w:tcPr>
          <w:p w14:paraId="695FF1C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-79.7</w:t>
            </w:r>
          </w:p>
        </w:tc>
        <w:tc>
          <w:tcPr>
            <w:tcW w:w="530" w:type="dxa"/>
            <w:shd w:val="clear" w:color="auto" w:fill="FFFFFF"/>
            <w:vAlign w:val="center"/>
          </w:tcPr>
          <w:p w14:paraId="1C1F76C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5.1</w:t>
            </w:r>
          </w:p>
        </w:tc>
        <w:tc>
          <w:tcPr>
            <w:tcW w:w="446" w:type="dxa"/>
            <w:gridSpan w:val="2"/>
            <w:shd w:val="clear" w:color="auto" w:fill="FFFFFF"/>
            <w:vAlign w:val="center"/>
          </w:tcPr>
          <w:p w14:paraId="5CD79220">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1.2</w:t>
            </w:r>
          </w:p>
        </w:tc>
        <w:tc>
          <w:tcPr>
            <w:tcW w:w="536" w:type="dxa"/>
            <w:shd w:val="clear" w:color="auto" w:fill="FFFFFF"/>
            <w:vAlign w:val="center"/>
          </w:tcPr>
          <w:p w14:paraId="33191A3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181.4</w:t>
            </w:r>
          </w:p>
        </w:tc>
        <w:tc>
          <w:tcPr>
            <w:tcW w:w="536" w:type="dxa"/>
            <w:shd w:val="clear" w:color="auto" w:fill="FFFFFF"/>
            <w:vAlign w:val="center"/>
          </w:tcPr>
          <w:p w14:paraId="7CFECD37">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22.3</w:t>
            </w:r>
          </w:p>
        </w:tc>
        <w:tc>
          <w:tcPr>
            <w:tcW w:w="536" w:type="dxa"/>
            <w:shd w:val="clear" w:color="auto" w:fill="FFFFFF"/>
            <w:vAlign w:val="center"/>
          </w:tcPr>
          <w:p w14:paraId="61728D1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22.5</w:t>
            </w:r>
          </w:p>
        </w:tc>
        <w:tc>
          <w:tcPr>
            <w:tcW w:w="541" w:type="dxa"/>
            <w:shd w:val="clear" w:color="auto" w:fill="FFFFFF"/>
            <w:vAlign w:val="center"/>
          </w:tcPr>
          <w:p w14:paraId="3163F27F">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13.4</w:t>
            </w:r>
          </w:p>
        </w:tc>
        <w:tc>
          <w:tcPr>
            <w:tcW w:w="536" w:type="dxa"/>
            <w:gridSpan w:val="2"/>
            <w:shd w:val="clear" w:color="auto" w:fill="FFFFFF"/>
            <w:vAlign w:val="center"/>
          </w:tcPr>
          <w:p w14:paraId="1090971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61F0722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36" w:type="dxa"/>
            <w:shd w:val="clear" w:color="auto" w:fill="FFFFFF"/>
            <w:vAlign w:val="center"/>
          </w:tcPr>
          <w:p w14:paraId="3FB9334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60.4</w:t>
            </w:r>
          </w:p>
        </w:tc>
        <w:tc>
          <w:tcPr>
            <w:tcW w:w="541" w:type="dxa"/>
            <w:shd w:val="clear" w:color="auto" w:fill="FFFFFF"/>
            <w:vAlign w:val="center"/>
          </w:tcPr>
          <w:p w14:paraId="0551E5C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60.5</w:t>
            </w:r>
          </w:p>
        </w:tc>
        <w:tc>
          <w:tcPr>
            <w:tcW w:w="1120" w:type="dxa"/>
            <w:gridSpan w:val="2"/>
            <w:vAlign w:val="center"/>
          </w:tcPr>
          <w:p w14:paraId="0C304A06">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536" w:type="dxa"/>
            <w:gridSpan w:val="2"/>
            <w:shd w:val="clear" w:color="auto" w:fill="FFFFFF"/>
            <w:vAlign w:val="center"/>
          </w:tcPr>
          <w:p w14:paraId="2FBD52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Arial" w:cs="Times New Roman"/>
                <w:color w:val="auto"/>
                <w:sz w:val="21"/>
                <w:szCs w:val="21"/>
              </w:rPr>
              <w:t>26.0</w:t>
            </w:r>
          </w:p>
        </w:tc>
        <w:tc>
          <w:tcPr>
            <w:tcW w:w="536" w:type="dxa"/>
            <w:shd w:val="clear" w:color="auto" w:fill="FFFFFF"/>
            <w:vAlign w:val="center"/>
          </w:tcPr>
          <w:p w14:paraId="618DBD8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5F638C6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6266012E">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36" w:type="dxa"/>
            <w:shd w:val="clear" w:color="auto" w:fill="FFFFFF"/>
            <w:vAlign w:val="center"/>
          </w:tcPr>
          <w:p w14:paraId="10F9F263">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26.0</w:t>
            </w:r>
          </w:p>
        </w:tc>
        <w:tc>
          <w:tcPr>
            <w:tcW w:w="541" w:type="dxa"/>
            <w:shd w:val="clear" w:color="auto" w:fill="FFFFFF"/>
            <w:vAlign w:val="center"/>
          </w:tcPr>
          <w:p w14:paraId="6E4E671B">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gridSpan w:val="2"/>
            <w:shd w:val="clear" w:color="auto" w:fill="FFFFFF"/>
            <w:vAlign w:val="center"/>
          </w:tcPr>
          <w:p w14:paraId="0D543E52">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536" w:type="dxa"/>
            <w:shd w:val="clear" w:color="auto" w:fill="FFFFFF"/>
            <w:vAlign w:val="center"/>
          </w:tcPr>
          <w:p w14:paraId="387DDA99">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34.4</w:t>
            </w:r>
          </w:p>
        </w:tc>
        <w:tc>
          <w:tcPr>
            <w:tcW w:w="311" w:type="dxa"/>
            <w:gridSpan w:val="2"/>
            <w:vMerge w:val="continue"/>
            <w:shd w:val="clear" w:color="auto" w:fill="FFFFFF"/>
            <w:vAlign w:val="center"/>
          </w:tcPr>
          <w:p w14:paraId="5696D5BA">
            <w:pPr>
              <w:keepNext w:val="0"/>
              <w:keepLines w:val="0"/>
              <w:suppressLineNumbers w:val="0"/>
              <w:spacing w:before="0" w:beforeAutospacing="0" w:after="0" w:afterAutospacing="0"/>
              <w:ind w:left="0" w:right="0"/>
              <w:rPr>
                <w:rFonts w:hint="default" w:ascii="Times New Roman" w:hAnsi="Times New Roman" w:eastAsia="宋体" w:cs="Times New Roman"/>
                <w:kern w:val="2"/>
                <w:sz w:val="21"/>
                <w:szCs w:val="21"/>
                <w:lang w:val="en-US" w:eastAsia="zh-CN" w:bidi="ar-SA"/>
              </w:rPr>
            </w:pPr>
            <w:r>
              <w:rPr>
                <w:rFonts w:hint="default" w:ascii="Times New Roman" w:hAnsi="Times New Roman" w:eastAsia="Arial" w:cs="Times New Roman"/>
                <w:sz w:val="21"/>
                <w:szCs w:val="21"/>
              </w:rPr>
              <w:t>34.5</w:t>
            </w:r>
          </w:p>
        </w:tc>
      </w:tr>
      <w:tr w14:paraId="097BA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 w:type="dxa"/>
          <w:trHeight w:val="397" w:hRule="atLeast"/>
          <w:jc w:val="center"/>
        </w:trPr>
        <w:tc>
          <w:tcPr>
            <w:tcW w:w="396" w:type="dxa"/>
            <w:shd w:val="clear" w:color="auto" w:fill="auto"/>
            <w:vAlign w:val="center"/>
          </w:tcPr>
          <w:p w14:paraId="29209B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18</w:t>
            </w:r>
          </w:p>
        </w:tc>
        <w:tc>
          <w:tcPr>
            <w:tcW w:w="1617" w:type="dxa"/>
            <w:gridSpan w:val="4"/>
            <w:shd w:val="clear" w:color="auto" w:fill="auto"/>
            <w:vAlign w:val="center"/>
          </w:tcPr>
          <w:p w14:paraId="630C818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风机1#（室外声源）</w:t>
            </w:r>
          </w:p>
        </w:tc>
        <w:tc>
          <w:tcPr>
            <w:tcW w:w="637" w:type="dxa"/>
            <w:shd w:val="clear" w:color="auto" w:fill="auto"/>
            <w:vAlign w:val="center"/>
          </w:tcPr>
          <w:p w14:paraId="71D25C0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90</w:t>
            </w:r>
          </w:p>
        </w:tc>
        <w:tc>
          <w:tcPr>
            <w:tcW w:w="398" w:type="dxa"/>
            <w:shd w:val="clear" w:color="auto" w:fill="auto"/>
            <w:vAlign w:val="center"/>
          </w:tcPr>
          <w:p w14:paraId="2E22658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减振</w:t>
            </w:r>
          </w:p>
        </w:tc>
        <w:tc>
          <w:tcPr>
            <w:tcW w:w="594" w:type="dxa"/>
            <w:shd w:val="clear" w:color="auto" w:fill="FFFFFF"/>
            <w:vAlign w:val="center"/>
          </w:tcPr>
          <w:p w14:paraId="789D707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20.7</w:t>
            </w:r>
          </w:p>
        </w:tc>
        <w:tc>
          <w:tcPr>
            <w:tcW w:w="533" w:type="dxa"/>
            <w:gridSpan w:val="2"/>
            <w:shd w:val="clear" w:color="auto" w:fill="FFFFFF"/>
            <w:vAlign w:val="center"/>
          </w:tcPr>
          <w:p w14:paraId="4AF0543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3.2</w:t>
            </w:r>
          </w:p>
        </w:tc>
        <w:tc>
          <w:tcPr>
            <w:tcW w:w="444" w:type="dxa"/>
            <w:shd w:val="clear" w:color="auto" w:fill="FFFFFF"/>
            <w:vAlign w:val="center"/>
          </w:tcPr>
          <w:p w14:paraId="00DB3A1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1.2</w:t>
            </w:r>
          </w:p>
        </w:tc>
        <w:tc>
          <w:tcPr>
            <w:tcW w:w="2154" w:type="dxa"/>
            <w:gridSpan w:val="6"/>
            <w:vAlign w:val="center"/>
          </w:tcPr>
          <w:p w14:paraId="7551419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2154" w:type="dxa"/>
            <w:gridSpan w:val="5"/>
            <w:vAlign w:val="center"/>
          </w:tcPr>
          <w:p w14:paraId="494E8D5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117" w:type="dxa"/>
            <w:gridSpan w:val="2"/>
            <w:vAlign w:val="center"/>
          </w:tcPr>
          <w:p w14:paraId="6590D9E8">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3224" w:type="dxa"/>
            <w:gridSpan w:val="7"/>
            <w:vAlign w:val="center"/>
          </w:tcPr>
          <w:p w14:paraId="010485E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379" w:type="dxa"/>
            <w:gridSpan w:val="3"/>
            <w:vAlign w:val="center"/>
          </w:tcPr>
          <w:p w14:paraId="2592BD7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r w14:paraId="6DFF5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gridAfter w:val="1"/>
          <w:wAfter w:w="1" w:type="dxa"/>
          <w:trHeight w:val="397" w:hRule="atLeast"/>
          <w:jc w:val="center"/>
        </w:trPr>
        <w:tc>
          <w:tcPr>
            <w:tcW w:w="396" w:type="dxa"/>
            <w:shd w:val="clear" w:color="auto" w:fill="auto"/>
            <w:vAlign w:val="center"/>
          </w:tcPr>
          <w:p w14:paraId="6793619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19</w:t>
            </w:r>
          </w:p>
        </w:tc>
        <w:tc>
          <w:tcPr>
            <w:tcW w:w="1617" w:type="dxa"/>
            <w:gridSpan w:val="4"/>
            <w:shd w:val="clear" w:color="auto" w:fill="auto"/>
            <w:vAlign w:val="center"/>
          </w:tcPr>
          <w:p w14:paraId="1C1429C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风机2#（室外声源）</w:t>
            </w:r>
          </w:p>
        </w:tc>
        <w:tc>
          <w:tcPr>
            <w:tcW w:w="637" w:type="dxa"/>
            <w:shd w:val="clear" w:color="auto" w:fill="auto"/>
            <w:vAlign w:val="center"/>
          </w:tcPr>
          <w:p w14:paraId="4C93646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90</w:t>
            </w:r>
          </w:p>
        </w:tc>
        <w:tc>
          <w:tcPr>
            <w:tcW w:w="398" w:type="dxa"/>
            <w:shd w:val="clear" w:color="auto" w:fill="auto"/>
            <w:vAlign w:val="center"/>
          </w:tcPr>
          <w:p w14:paraId="4D7F843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减振</w:t>
            </w:r>
          </w:p>
        </w:tc>
        <w:tc>
          <w:tcPr>
            <w:tcW w:w="594" w:type="dxa"/>
            <w:shd w:val="clear" w:color="auto" w:fill="FFFFFF"/>
            <w:vAlign w:val="center"/>
          </w:tcPr>
          <w:p w14:paraId="3000A9D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18.4</w:t>
            </w:r>
          </w:p>
        </w:tc>
        <w:tc>
          <w:tcPr>
            <w:tcW w:w="533" w:type="dxa"/>
            <w:gridSpan w:val="2"/>
            <w:shd w:val="clear" w:color="auto" w:fill="FFFFFF"/>
            <w:vAlign w:val="center"/>
          </w:tcPr>
          <w:p w14:paraId="2480983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-7.5</w:t>
            </w:r>
          </w:p>
        </w:tc>
        <w:tc>
          <w:tcPr>
            <w:tcW w:w="444" w:type="dxa"/>
            <w:shd w:val="clear" w:color="auto" w:fill="FFFFFF"/>
            <w:vAlign w:val="center"/>
          </w:tcPr>
          <w:p w14:paraId="745C3A2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1.2</w:t>
            </w:r>
          </w:p>
        </w:tc>
        <w:tc>
          <w:tcPr>
            <w:tcW w:w="2154" w:type="dxa"/>
            <w:gridSpan w:val="6"/>
            <w:vAlign w:val="center"/>
          </w:tcPr>
          <w:p w14:paraId="1130425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2154" w:type="dxa"/>
            <w:gridSpan w:val="5"/>
            <w:vAlign w:val="center"/>
          </w:tcPr>
          <w:p w14:paraId="036DB86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117" w:type="dxa"/>
            <w:gridSpan w:val="2"/>
            <w:vAlign w:val="center"/>
          </w:tcPr>
          <w:p w14:paraId="23492FFA">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3224" w:type="dxa"/>
            <w:gridSpan w:val="7"/>
            <w:vAlign w:val="center"/>
          </w:tcPr>
          <w:p w14:paraId="49C23F6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379" w:type="dxa"/>
            <w:gridSpan w:val="3"/>
            <w:vAlign w:val="center"/>
          </w:tcPr>
          <w:p w14:paraId="3C06DAA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r w14:paraId="62841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gridAfter w:val="1"/>
          <w:wAfter w:w="1" w:type="dxa"/>
          <w:trHeight w:val="397" w:hRule="atLeast"/>
          <w:jc w:val="center"/>
        </w:trPr>
        <w:tc>
          <w:tcPr>
            <w:tcW w:w="396" w:type="dxa"/>
            <w:shd w:val="clear" w:color="auto" w:fill="auto"/>
            <w:vAlign w:val="center"/>
          </w:tcPr>
          <w:p w14:paraId="78D893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1617" w:type="dxa"/>
            <w:gridSpan w:val="4"/>
            <w:shd w:val="clear" w:color="auto" w:fill="auto"/>
            <w:vAlign w:val="center"/>
          </w:tcPr>
          <w:p w14:paraId="27A97C1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风机3#（室外声源）</w:t>
            </w:r>
          </w:p>
        </w:tc>
        <w:tc>
          <w:tcPr>
            <w:tcW w:w="637" w:type="dxa"/>
            <w:shd w:val="clear" w:color="auto" w:fill="auto"/>
            <w:vAlign w:val="center"/>
          </w:tcPr>
          <w:p w14:paraId="2C09D5D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90</w:t>
            </w:r>
          </w:p>
        </w:tc>
        <w:tc>
          <w:tcPr>
            <w:tcW w:w="398" w:type="dxa"/>
            <w:shd w:val="clear" w:color="auto" w:fill="auto"/>
            <w:vAlign w:val="center"/>
          </w:tcPr>
          <w:p w14:paraId="105CA8D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减振</w:t>
            </w:r>
          </w:p>
        </w:tc>
        <w:tc>
          <w:tcPr>
            <w:tcW w:w="594" w:type="dxa"/>
            <w:shd w:val="clear" w:color="auto" w:fill="FFFFFF"/>
            <w:vAlign w:val="center"/>
          </w:tcPr>
          <w:p w14:paraId="4DC6FC6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11.7</w:t>
            </w:r>
          </w:p>
        </w:tc>
        <w:tc>
          <w:tcPr>
            <w:tcW w:w="533" w:type="dxa"/>
            <w:gridSpan w:val="2"/>
            <w:shd w:val="clear" w:color="auto" w:fill="FFFFFF"/>
            <w:vAlign w:val="center"/>
          </w:tcPr>
          <w:p w14:paraId="65CCE3C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11.9</w:t>
            </w:r>
          </w:p>
        </w:tc>
        <w:tc>
          <w:tcPr>
            <w:tcW w:w="444" w:type="dxa"/>
            <w:shd w:val="clear" w:color="auto" w:fill="FFFFFF"/>
            <w:vAlign w:val="center"/>
          </w:tcPr>
          <w:p w14:paraId="004A977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1.2</w:t>
            </w:r>
          </w:p>
        </w:tc>
        <w:tc>
          <w:tcPr>
            <w:tcW w:w="2154" w:type="dxa"/>
            <w:gridSpan w:val="6"/>
            <w:vAlign w:val="center"/>
          </w:tcPr>
          <w:p w14:paraId="48A1921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2154" w:type="dxa"/>
            <w:gridSpan w:val="5"/>
            <w:vAlign w:val="center"/>
          </w:tcPr>
          <w:p w14:paraId="796E385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117" w:type="dxa"/>
            <w:gridSpan w:val="2"/>
            <w:vAlign w:val="center"/>
          </w:tcPr>
          <w:p w14:paraId="14758FB2">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3224" w:type="dxa"/>
            <w:gridSpan w:val="7"/>
            <w:vAlign w:val="center"/>
          </w:tcPr>
          <w:p w14:paraId="7D166AD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379" w:type="dxa"/>
            <w:gridSpan w:val="3"/>
            <w:vAlign w:val="center"/>
          </w:tcPr>
          <w:p w14:paraId="600CB4E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r w14:paraId="2245C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gridAfter w:val="1"/>
          <w:wAfter w:w="1" w:type="dxa"/>
          <w:trHeight w:val="90" w:hRule="atLeast"/>
          <w:jc w:val="center"/>
        </w:trPr>
        <w:tc>
          <w:tcPr>
            <w:tcW w:w="396" w:type="dxa"/>
            <w:shd w:val="clear" w:color="auto" w:fill="auto"/>
            <w:vAlign w:val="center"/>
          </w:tcPr>
          <w:p w14:paraId="0175BB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21</w:t>
            </w:r>
          </w:p>
        </w:tc>
        <w:tc>
          <w:tcPr>
            <w:tcW w:w="1617" w:type="dxa"/>
            <w:gridSpan w:val="4"/>
            <w:shd w:val="clear" w:color="auto" w:fill="auto"/>
            <w:vAlign w:val="center"/>
          </w:tcPr>
          <w:p w14:paraId="1C98577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风机4#（室外声源）</w:t>
            </w:r>
          </w:p>
        </w:tc>
        <w:tc>
          <w:tcPr>
            <w:tcW w:w="637" w:type="dxa"/>
            <w:shd w:val="clear" w:color="auto" w:fill="auto"/>
            <w:vAlign w:val="center"/>
          </w:tcPr>
          <w:p w14:paraId="1B60942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90</w:t>
            </w:r>
          </w:p>
        </w:tc>
        <w:tc>
          <w:tcPr>
            <w:tcW w:w="398" w:type="dxa"/>
            <w:shd w:val="clear" w:color="auto" w:fill="auto"/>
            <w:vAlign w:val="center"/>
          </w:tcPr>
          <w:p w14:paraId="632151C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减振</w:t>
            </w:r>
          </w:p>
        </w:tc>
        <w:tc>
          <w:tcPr>
            <w:tcW w:w="594" w:type="dxa"/>
            <w:shd w:val="clear" w:color="auto" w:fill="FFFFFF"/>
            <w:vAlign w:val="center"/>
          </w:tcPr>
          <w:p w14:paraId="104C510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12.8</w:t>
            </w:r>
          </w:p>
        </w:tc>
        <w:tc>
          <w:tcPr>
            <w:tcW w:w="533" w:type="dxa"/>
            <w:gridSpan w:val="2"/>
            <w:shd w:val="clear" w:color="auto" w:fill="FFFFFF"/>
            <w:vAlign w:val="center"/>
          </w:tcPr>
          <w:p w14:paraId="5ACD14A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8</w:t>
            </w:r>
          </w:p>
        </w:tc>
        <w:tc>
          <w:tcPr>
            <w:tcW w:w="444" w:type="dxa"/>
            <w:shd w:val="clear" w:color="auto" w:fill="FFFFFF"/>
            <w:vAlign w:val="center"/>
          </w:tcPr>
          <w:p w14:paraId="089EB48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1.2</w:t>
            </w:r>
          </w:p>
        </w:tc>
        <w:tc>
          <w:tcPr>
            <w:tcW w:w="2154" w:type="dxa"/>
            <w:gridSpan w:val="6"/>
            <w:vAlign w:val="center"/>
          </w:tcPr>
          <w:p w14:paraId="4B80285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2154" w:type="dxa"/>
            <w:gridSpan w:val="5"/>
            <w:vAlign w:val="center"/>
          </w:tcPr>
          <w:p w14:paraId="0E9832C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117" w:type="dxa"/>
            <w:gridSpan w:val="2"/>
            <w:vAlign w:val="center"/>
          </w:tcPr>
          <w:p w14:paraId="7FE1A7DA">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auto"/>
                <w:sz w:val="21"/>
                <w:szCs w:val="21"/>
                <w:highlight w:val="none"/>
              </w:rPr>
              <w:t>08:00-</w:t>
            </w:r>
            <w:r>
              <w:rPr>
                <w:rFonts w:hint="eastAsia" w:ascii="Times New Roman" w:hAnsi="Times New Roman" w:cs="Times New Roman"/>
                <w:color w:val="auto"/>
                <w:sz w:val="21"/>
                <w:szCs w:val="21"/>
                <w:highlight w:val="none"/>
                <w:lang w:val="en-US" w:eastAsia="zh-CN"/>
              </w:rPr>
              <w:t>24</w:t>
            </w:r>
            <w:r>
              <w:rPr>
                <w:rFonts w:hint="default" w:ascii="Times New Roman" w:hAnsi="Times New Roman" w:cs="Times New Roman"/>
                <w:color w:val="auto"/>
                <w:sz w:val="21"/>
                <w:szCs w:val="21"/>
                <w:highlight w:val="none"/>
              </w:rPr>
              <w:t>:00</w:t>
            </w:r>
          </w:p>
        </w:tc>
        <w:tc>
          <w:tcPr>
            <w:tcW w:w="3224" w:type="dxa"/>
            <w:gridSpan w:val="7"/>
            <w:vAlign w:val="center"/>
          </w:tcPr>
          <w:p w14:paraId="0EF15E0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1379" w:type="dxa"/>
            <w:gridSpan w:val="3"/>
            <w:vAlign w:val="center"/>
          </w:tcPr>
          <w:p w14:paraId="5CB18B9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r>
    </w:tbl>
    <w:p w14:paraId="5608141E">
      <w:pPr>
        <w:wordWrap w:val="0"/>
        <w:topLinePunct/>
        <w:spacing w:line="360" w:lineRule="auto"/>
        <w:contextualSpacing/>
        <w:textAlignment w:val="center"/>
        <w:rPr>
          <w:rFonts w:hint="default" w:ascii="Times New Roman" w:hAnsi="Times New Roman" w:cs="Times New Roman"/>
          <w:b/>
          <w:color w:val="auto"/>
          <w:highlight w:val="none"/>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r>
        <w:rPr>
          <w:rFonts w:hint="default" w:ascii="Times New Roman" w:hAnsi="Times New Roman" w:cs="Times New Roman"/>
          <w:b/>
          <w:bCs/>
          <w:color w:val="auto"/>
          <w:szCs w:val="21"/>
          <w:highlight w:val="none"/>
        </w:rPr>
        <w:t>备注：以厂区西南角为坐标原点,沿项目边界东向为X轴正轴，垂直X轴北向为Y轴正轴。</w:t>
      </w:r>
    </w:p>
    <w:tbl>
      <w:tblPr>
        <w:tblStyle w:val="61"/>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758"/>
      </w:tblGrid>
      <w:tr w14:paraId="593E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7" w:hRule="atLeast"/>
        </w:trPr>
        <w:tc>
          <w:tcPr>
            <w:tcW w:w="452" w:type="dxa"/>
            <w:vMerge w:val="restart"/>
            <w:shd w:val="clear" w:color="auto" w:fill="auto"/>
            <w:vAlign w:val="center"/>
          </w:tcPr>
          <w:p w14:paraId="535B5FE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运营</w:t>
            </w:r>
          </w:p>
          <w:p w14:paraId="54C871A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期环</w:t>
            </w:r>
          </w:p>
          <w:p w14:paraId="59AF04C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境影</w:t>
            </w:r>
          </w:p>
          <w:p w14:paraId="01B941B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响和</w:t>
            </w:r>
          </w:p>
          <w:p w14:paraId="5EFD5EB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保护</w:t>
            </w:r>
          </w:p>
          <w:p w14:paraId="01978ACF">
            <w:pPr>
              <w:keepNext w:val="0"/>
              <w:keepLines w:val="0"/>
              <w:suppressLineNumbers w:val="0"/>
              <w:tabs>
                <w:tab w:val="left" w:pos="1077"/>
              </w:tabs>
              <w:spacing w:before="0" w:beforeAutospacing="0" w:after="0" w:afterAutospacing="0"/>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kern w:val="0"/>
                <w:sz w:val="24"/>
                <w:highlight w:val="none"/>
              </w:rPr>
              <w:t>措施</w:t>
            </w:r>
          </w:p>
        </w:tc>
        <w:tc>
          <w:tcPr>
            <w:tcW w:w="8609" w:type="dxa"/>
            <w:shd w:val="clear" w:color="auto" w:fill="auto"/>
          </w:tcPr>
          <w:p w14:paraId="61906EC2">
            <w:pPr>
              <w:keepNext w:val="0"/>
              <w:keepLines w:val="0"/>
              <w:suppressLineNumbers w:val="0"/>
              <w:spacing w:before="100" w:beforeAutospacing="1" w:after="0" w:afterAutospacing="0" w:line="360" w:lineRule="auto"/>
              <w:ind w:left="0" w:right="0"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2、预测模式</w:t>
            </w:r>
          </w:p>
          <w:p w14:paraId="2E683D8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根据《环境影响评价技术导则 声环境》（HJ 2.4-2021）的技术要求，声环境影响预测一般采用声源的倍频带声功率级、A声功率级或靠近声源某一位置的倍频带声压级、A声级来预测计算距声源不同距离的声级。工业声源有室外和室内两种声源，应分别计算，本次评价采取导则推荐的工业噪声预测计算模型。</w:t>
            </w:r>
          </w:p>
          <w:p w14:paraId="4BD10BB6">
            <w:pPr>
              <w:keepNext w:val="0"/>
              <w:keepLines w:val="0"/>
              <w:suppressLineNumbers w:val="0"/>
              <w:spacing w:before="0" w:beforeAutospacing="0" w:after="0" w:afterAutospacing="0" w:line="360" w:lineRule="auto"/>
              <w:ind w:left="480" w:right="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（1）声级计算</w:t>
            </w:r>
          </w:p>
          <w:p w14:paraId="1018C3E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建设项目声源在预测点产生的等效声级贡献值（L</w:t>
            </w:r>
            <w:r>
              <w:rPr>
                <w:rFonts w:hint="default" w:ascii="Times New Roman" w:hAnsi="Times New Roman" w:cs="Times New Roman"/>
                <w:i/>
                <w:iCs/>
                <w:color w:val="auto"/>
                <w:kern w:val="0"/>
                <w:sz w:val="24"/>
                <w:highlight w:val="none"/>
              </w:rPr>
              <w:t>eqg</w:t>
            </w:r>
            <w:r>
              <w:rPr>
                <w:rFonts w:hint="default" w:ascii="Times New Roman" w:hAnsi="Times New Roman" w:cs="Times New Roman"/>
                <w:color w:val="auto"/>
                <w:kern w:val="0"/>
                <w:sz w:val="24"/>
                <w:highlight w:val="none"/>
              </w:rPr>
              <w:t>）计算公式：</w:t>
            </w:r>
          </w:p>
          <w:p w14:paraId="2EA31810">
            <w:pPr>
              <w:keepNext w:val="0"/>
              <w:keepLines w:val="0"/>
              <w:suppressLineNumbers w:val="0"/>
              <w:spacing w:before="60" w:beforeAutospacing="0" w:after="60" w:afterAutospacing="0" w:line="360" w:lineRule="auto"/>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position w:val="-28"/>
                <w:sz w:val="24"/>
                <w:highlight w:val="none"/>
              </w:rPr>
              <w:object>
                <v:shape id="_x0000_i1032" o:spt="75" type="#_x0000_t75" style="height:33.25pt;width:132.15pt;" o:ole="t" filled="f" o:preferrelative="t" stroked="f" coordsize="21600,21600">
                  <v:path/>
                  <v:fill on="f" focussize="0,0"/>
                  <v:stroke on="f" joinstyle="miter"/>
                  <v:imagedata r:id="rId29" o:title=""/>
                  <o:lock v:ext="edit" aspectratio="t"/>
                  <w10:wrap type="none"/>
                  <w10:anchorlock/>
                </v:shape>
                <o:OLEObject Type="Embed" ProgID="Equation.3" ShapeID="_x0000_i1032" DrawAspect="Content" ObjectID="_1468075732" r:id="rId28">
                  <o:LockedField>false</o:LockedField>
                </o:OLEObject>
              </w:object>
            </w:r>
          </w:p>
          <w:p w14:paraId="7A1638B6">
            <w:pPr>
              <w:keepNext w:val="0"/>
              <w:keepLines w:val="0"/>
              <w:suppressLineNumbers w:val="0"/>
              <w:spacing w:before="60" w:beforeAutospacing="0" w:after="6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式中：</w:t>
            </w:r>
            <w:r>
              <w:rPr>
                <w:rFonts w:hint="default" w:ascii="Times New Roman" w:hAnsi="Times New Roman" w:cs="Times New Roman"/>
                <w:i/>
                <w:color w:val="auto"/>
                <w:sz w:val="24"/>
                <w:highlight w:val="none"/>
              </w:rPr>
              <w:t>L</w:t>
            </w:r>
            <w:r>
              <w:rPr>
                <w:rFonts w:hint="default" w:ascii="Times New Roman" w:hAnsi="Times New Roman" w:cs="Times New Roman"/>
                <w:color w:val="auto"/>
                <w:sz w:val="24"/>
                <w:highlight w:val="none"/>
                <w:vertAlign w:val="subscript"/>
              </w:rPr>
              <w:t>eqg</w:t>
            </w:r>
            <w:r>
              <w:rPr>
                <w:rFonts w:hint="default" w:ascii="Times New Roman" w:hAnsi="Times New Roman" w:cs="Times New Roman"/>
                <w:color w:val="auto"/>
                <w:sz w:val="24"/>
                <w:highlight w:val="none"/>
              </w:rPr>
              <w:t>—建设项目声源在预测点的等效声级贡献值，dB（A）；</w:t>
            </w:r>
          </w:p>
          <w:p w14:paraId="0749B17E">
            <w:pPr>
              <w:keepNext w:val="0"/>
              <w:keepLines w:val="0"/>
              <w:suppressLineNumbers w:val="0"/>
              <w:spacing w:before="60" w:beforeAutospacing="0" w:after="6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i/>
                <w:color w:val="auto"/>
                <w:sz w:val="24"/>
                <w:highlight w:val="none"/>
              </w:rPr>
              <w:t>L</w:t>
            </w:r>
            <w:r>
              <w:rPr>
                <w:rFonts w:hint="default" w:ascii="Times New Roman" w:hAnsi="Times New Roman" w:cs="Times New Roman"/>
                <w:color w:val="auto"/>
                <w:sz w:val="24"/>
                <w:highlight w:val="none"/>
                <w:vertAlign w:val="subscript"/>
              </w:rPr>
              <w:t>Ai</w:t>
            </w:r>
            <w:r>
              <w:rPr>
                <w:rFonts w:hint="default" w:ascii="Times New Roman" w:hAnsi="Times New Roman" w:cs="Times New Roman"/>
                <w:color w:val="auto"/>
                <w:sz w:val="24"/>
                <w:highlight w:val="none"/>
              </w:rPr>
              <w:t>—i声源在预测点产生的A声级，dB（A）；</w:t>
            </w:r>
          </w:p>
          <w:p w14:paraId="1B301740">
            <w:pPr>
              <w:keepNext w:val="0"/>
              <w:keepLines w:val="0"/>
              <w:suppressLineNumbers w:val="0"/>
              <w:spacing w:before="60" w:beforeAutospacing="0" w:after="6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i/>
                <w:color w:val="auto"/>
                <w:sz w:val="24"/>
                <w:highlight w:val="none"/>
              </w:rPr>
              <w:t>T</w:t>
            </w:r>
            <w:r>
              <w:rPr>
                <w:rFonts w:hint="default" w:ascii="Times New Roman" w:hAnsi="Times New Roman" w:cs="Times New Roman"/>
                <w:color w:val="auto"/>
                <w:sz w:val="24"/>
                <w:highlight w:val="none"/>
              </w:rPr>
              <w:t>—预测计算的时间段，s；</w:t>
            </w:r>
          </w:p>
          <w:p w14:paraId="43B2A6CB">
            <w:pPr>
              <w:keepNext w:val="0"/>
              <w:keepLines w:val="0"/>
              <w:suppressLineNumbers w:val="0"/>
              <w:spacing w:before="60" w:beforeAutospacing="0" w:after="60" w:afterAutospacing="0" w:line="360" w:lineRule="auto"/>
              <w:ind w:left="0" w:right="0" w:firstLine="1200" w:firstLineChars="500"/>
              <w:rPr>
                <w:rFonts w:hint="default" w:ascii="Times New Roman" w:hAnsi="Times New Roman" w:cs="Times New Roman"/>
                <w:color w:val="auto"/>
                <w:sz w:val="24"/>
                <w:highlight w:val="none"/>
              </w:rPr>
            </w:pPr>
            <w:r>
              <w:rPr>
                <w:rFonts w:hint="default" w:ascii="Times New Roman" w:hAnsi="Times New Roman" w:cs="Times New Roman"/>
                <w:i/>
                <w:color w:val="auto"/>
                <w:sz w:val="24"/>
                <w:highlight w:val="none"/>
              </w:rPr>
              <w:t>t</w:t>
            </w:r>
            <w:r>
              <w:rPr>
                <w:rFonts w:hint="default" w:ascii="Times New Roman" w:hAnsi="Times New Roman" w:cs="Times New Roman"/>
                <w:i/>
                <w:color w:val="auto"/>
                <w:sz w:val="24"/>
                <w:highlight w:val="none"/>
                <w:vertAlign w:val="subscript"/>
              </w:rPr>
              <w:t>i</w:t>
            </w:r>
            <w:r>
              <w:rPr>
                <w:rFonts w:hint="default" w:ascii="Times New Roman" w:hAnsi="Times New Roman" w:cs="Times New Roman"/>
                <w:color w:val="auto"/>
                <w:sz w:val="24"/>
                <w:highlight w:val="none"/>
              </w:rPr>
              <w:t>—i声源在T时段内的运行时间，s。</w:t>
            </w:r>
          </w:p>
          <w:p w14:paraId="3F1C22B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（2）预测点的预测等效声级（</w:t>
            </w:r>
            <w:r>
              <w:rPr>
                <w:rFonts w:hint="default" w:ascii="Times New Roman" w:hAnsi="Times New Roman" w:cs="Times New Roman"/>
                <w:i/>
                <w:iCs/>
                <w:color w:val="auto"/>
                <w:kern w:val="0"/>
                <w:sz w:val="24"/>
                <w:highlight w:val="none"/>
              </w:rPr>
              <w:t>Leq</w:t>
            </w:r>
            <w:r>
              <w:rPr>
                <w:rFonts w:hint="default" w:ascii="Times New Roman" w:hAnsi="Times New Roman" w:cs="Times New Roman"/>
                <w:color w:val="auto"/>
                <w:kern w:val="0"/>
                <w:sz w:val="24"/>
                <w:highlight w:val="none"/>
              </w:rPr>
              <w:t>）计算公式</w:t>
            </w:r>
          </w:p>
          <w:p w14:paraId="161D56A2">
            <w:pPr>
              <w:keepNext w:val="0"/>
              <w:keepLines w:val="0"/>
              <w:suppressLineNumbers w:val="0"/>
              <w:spacing w:before="60" w:beforeAutospacing="0" w:after="60" w:afterAutospacing="0" w:line="360" w:lineRule="auto"/>
              <w:ind w:left="0" w:right="0"/>
              <w:jc w:val="center"/>
              <w:rPr>
                <w:rFonts w:hint="default" w:ascii="Times New Roman" w:hAnsi="Times New Roman" w:cs="Times New Roman"/>
                <w:color w:val="auto"/>
                <w:sz w:val="24"/>
                <w:highlight w:val="none"/>
              </w:rPr>
            </w:pPr>
            <w:r>
              <w:rPr>
                <w:rFonts w:hint="default" w:ascii="Times New Roman" w:hAnsi="Times New Roman" w:cs="Times New Roman"/>
                <w:color w:val="auto"/>
                <w:position w:val="-14"/>
                <w:sz w:val="24"/>
                <w:highlight w:val="none"/>
              </w:rPr>
              <w:object>
                <v:shape id="_x0000_i1033" o:spt="75" type="#_x0000_t75" style="height:21.4pt;width:141.45pt;" o:ole="t" filled="f" o:preferrelative="t" stroked="f" coordsize="21600,21600">
                  <v:path/>
                  <v:fill on="f" focussize="0,0"/>
                  <v:stroke on="f" joinstyle="miter"/>
                  <v:imagedata r:id="rId31" o:title=""/>
                  <o:lock v:ext="edit" aspectratio="t"/>
                  <w10:wrap type="none"/>
                  <w10:anchorlock/>
                </v:shape>
                <o:OLEObject Type="Embed" ProgID="Equation.3" ShapeID="_x0000_i1033" DrawAspect="Content" ObjectID="_1468075733" r:id="rId30">
                  <o:LockedField>false</o:LockedField>
                </o:OLEObject>
              </w:object>
            </w:r>
          </w:p>
          <w:p w14:paraId="39C85094">
            <w:pPr>
              <w:keepNext w:val="0"/>
              <w:keepLines w:val="0"/>
              <w:suppressLineNumbers w:val="0"/>
              <w:spacing w:before="60" w:beforeAutospacing="0" w:after="6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式中：</w:t>
            </w:r>
            <w:r>
              <w:rPr>
                <w:rFonts w:hint="default" w:ascii="Times New Roman" w:hAnsi="Times New Roman" w:cs="Times New Roman"/>
                <w:i/>
                <w:iCs/>
                <w:color w:val="auto"/>
                <w:kern w:val="0"/>
                <w:sz w:val="24"/>
                <w:highlight w:val="none"/>
              </w:rPr>
              <w:t>L</w:t>
            </w:r>
            <w:r>
              <w:rPr>
                <w:rFonts w:hint="default" w:ascii="Times New Roman" w:hAnsi="Times New Roman" w:cs="Times New Roman"/>
                <w:i/>
                <w:iCs/>
                <w:color w:val="auto"/>
                <w:kern w:val="0"/>
                <w:sz w:val="24"/>
                <w:highlight w:val="none"/>
                <w:vertAlign w:val="subscript"/>
              </w:rPr>
              <w:t xml:space="preserve"> eq g</w:t>
            </w:r>
            <w:r>
              <w:rPr>
                <w:rFonts w:hint="default" w:ascii="Times New Roman" w:hAnsi="Times New Roman" w:cs="Times New Roman"/>
                <w:i/>
                <w:iCs/>
                <w:color w:val="auto"/>
                <w:kern w:val="0"/>
                <w:sz w:val="24"/>
                <w:highlight w:val="none"/>
              </w:rPr>
              <w:t xml:space="preserve"> </w:t>
            </w:r>
            <w:r>
              <w:rPr>
                <w:rFonts w:hint="default" w:ascii="Times New Roman" w:hAnsi="Times New Roman" w:cs="Times New Roman"/>
                <w:color w:val="auto"/>
                <w:kern w:val="0"/>
                <w:sz w:val="24"/>
                <w:highlight w:val="none"/>
              </w:rPr>
              <w:t>—建设项目声源在预测点的等效声级贡献值，dB（A）；</w:t>
            </w:r>
          </w:p>
          <w:p w14:paraId="608DD983">
            <w:pPr>
              <w:keepNext w:val="0"/>
              <w:keepLines w:val="0"/>
              <w:suppressLineNumbers w:val="0"/>
              <w:spacing w:before="60" w:beforeAutospacing="0" w:after="60" w:afterAutospacing="0" w:line="360" w:lineRule="auto"/>
              <w:ind w:left="0" w:right="0" w:firstLine="1200" w:firstLineChars="500"/>
              <w:rPr>
                <w:rFonts w:hint="default" w:ascii="Times New Roman" w:hAnsi="Times New Roman" w:cs="Times New Roman"/>
                <w:color w:val="auto"/>
                <w:kern w:val="0"/>
                <w:sz w:val="24"/>
                <w:highlight w:val="none"/>
              </w:rPr>
            </w:pPr>
            <w:r>
              <w:rPr>
                <w:rFonts w:hint="default" w:ascii="Times New Roman" w:hAnsi="Times New Roman" w:cs="Times New Roman"/>
                <w:i/>
                <w:iCs/>
                <w:color w:val="auto"/>
                <w:kern w:val="0"/>
                <w:sz w:val="24"/>
                <w:highlight w:val="none"/>
              </w:rPr>
              <w:t>L</w:t>
            </w:r>
            <w:r>
              <w:rPr>
                <w:rFonts w:hint="default" w:ascii="Times New Roman" w:hAnsi="Times New Roman" w:cs="Times New Roman"/>
                <w:i/>
                <w:iCs/>
                <w:color w:val="auto"/>
                <w:kern w:val="0"/>
                <w:sz w:val="24"/>
                <w:highlight w:val="none"/>
                <w:vertAlign w:val="subscript"/>
              </w:rPr>
              <w:t xml:space="preserve"> eqb</w:t>
            </w:r>
            <w:r>
              <w:rPr>
                <w:rFonts w:hint="default" w:ascii="Times New Roman" w:hAnsi="Times New Roman" w:cs="Times New Roman"/>
                <w:color w:val="auto"/>
                <w:kern w:val="0"/>
                <w:sz w:val="24"/>
                <w:highlight w:val="none"/>
              </w:rPr>
              <w:t>—预测点的背景值，dB（A）</w:t>
            </w:r>
          </w:p>
          <w:p w14:paraId="2E058342">
            <w:pPr>
              <w:keepNext w:val="0"/>
              <w:keepLines w:val="0"/>
              <w:widowControl/>
              <w:suppressLineNumbers w:val="0"/>
              <w:spacing w:before="0" w:beforeAutospacing="0" w:after="0" w:afterAutospacing="0" w:line="480" w:lineRule="exact"/>
              <w:ind w:left="0" w:right="0" w:firstLine="482" w:firstLineChars="200"/>
              <w:jc w:val="left"/>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3、预测结果</w:t>
            </w:r>
          </w:p>
          <w:p w14:paraId="726BA603">
            <w:pPr>
              <w:keepNext w:val="0"/>
              <w:keepLines w:val="0"/>
              <w:widowControl/>
              <w:suppressLineNumbers w:val="0"/>
              <w:spacing w:before="0" w:beforeAutospacing="0" w:after="0" w:afterAutospacing="0" w:line="480" w:lineRule="exact"/>
              <w:ind w:left="0" w:right="0" w:firstLine="480" w:firstLineChars="200"/>
              <w:jc w:val="left"/>
              <w:rPr>
                <w:rFonts w:hint="default" w:ascii="Times New Roman" w:hAnsi="Times New Roman" w:cs="Times New Roman"/>
                <w:color w:val="auto"/>
                <w:kern w:val="0"/>
                <w:sz w:val="24"/>
                <w:highlight w:val="none"/>
              </w:rPr>
            </w:pPr>
            <w:r>
              <w:rPr>
                <w:rFonts w:hint="eastAsia" w:ascii="Times New Roman" w:hAnsi="Times New Roman" w:eastAsia="宋体" w:cs="Times New Roman"/>
                <w:color w:val="auto"/>
                <w:kern w:val="0"/>
                <w:sz w:val="24"/>
                <w:highlight w:val="none"/>
                <w:lang w:val="en-US" w:eastAsia="zh-CN"/>
              </w:rPr>
              <w:t>项目为</w:t>
            </w:r>
            <w:r>
              <w:rPr>
                <w:rFonts w:hint="eastAsia" w:cs="Times New Roman"/>
                <w:color w:val="auto"/>
                <w:kern w:val="0"/>
                <w:sz w:val="24"/>
                <w:highlight w:val="none"/>
                <w:lang w:val="en-US" w:eastAsia="zh-CN"/>
              </w:rPr>
              <w:t>新建</w:t>
            </w:r>
            <w:r>
              <w:rPr>
                <w:rFonts w:hint="eastAsia" w:ascii="Times New Roman" w:hAnsi="Times New Roman" w:eastAsia="宋体" w:cs="Times New Roman"/>
                <w:color w:val="auto"/>
                <w:kern w:val="0"/>
                <w:sz w:val="24"/>
                <w:highlight w:val="none"/>
                <w:lang w:val="en-US" w:eastAsia="zh-CN"/>
              </w:rPr>
              <w:t>项目，环境现状监测值已包含噪声</w:t>
            </w:r>
            <w:r>
              <w:rPr>
                <w:rFonts w:hint="eastAsia" w:cs="Times New Roman"/>
                <w:color w:val="auto"/>
                <w:kern w:val="0"/>
                <w:sz w:val="24"/>
                <w:highlight w:val="none"/>
                <w:lang w:val="en-US" w:eastAsia="zh-CN"/>
              </w:rPr>
              <w:t>现状监测</w:t>
            </w:r>
            <w:r>
              <w:rPr>
                <w:rFonts w:hint="eastAsia" w:ascii="Times New Roman" w:hAnsi="Times New Roman" w:eastAsia="宋体" w:cs="Times New Roman"/>
                <w:color w:val="auto"/>
                <w:kern w:val="0"/>
                <w:sz w:val="24"/>
                <w:highlight w:val="none"/>
                <w:lang w:val="en-US" w:eastAsia="zh-CN"/>
              </w:rPr>
              <w:t>噪声源，建成后以预测贡献值作为评价值，</w:t>
            </w:r>
            <w:r>
              <w:rPr>
                <w:rFonts w:hint="default" w:ascii="Times New Roman" w:hAnsi="Times New Roman" w:cs="Times New Roman"/>
                <w:color w:val="auto"/>
                <w:kern w:val="0"/>
                <w:sz w:val="24"/>
                <w:highlight w:val="none"/>
              </w:rPr>
              <w:t>拟建项目运行时昼</w:t>
            </w:r>
            <w:r>
              <w:rPr>
                <w:rFonts w:hint="eastAsia" w:cs="Times New Roman"/>
                <w:color w:val="auto"/>
                <w:kern w:val="0"/>
                <w:sz w:val="24"/>
                <w:highlight w:val="none"/>
                <w:lang w:val="en-US" w:eastAsia="zh-CN"/>
              </w:rPr>
              <w:t>夜</w:t>
            </w:r>
            <w:r>
              <w:rPr>
                <w:rFonts w:hint="default" w:ascii="Times New Roman" w:hAnsi="Times New Roman" w:cs="Times New Roman"/>
                <w:color w:val="auto"/>
                <w:kern w:val="0"/>
                <w:sz w:val="24"/>
                <w:highlight w:val="none"/>
              </w:rPr>
              <w:t>间预测噪声排放值结果如下。</w:t>
            </w:r>
          </w:p>
          <w:p w14:paraId="4320DD41">
            <w:pPr>
              <w:keepNext w:val="0"/>
              <w:keepLines w:val="0"/>
              <w:widowControl/>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表4-2</w:t>
            </w:r>
            <w:r>
              <w:rPr>
                <w:rFonts w:hint="eastAsia" w:cs="Times New Roman"/>
                <w:b/>
                <w:color w:val="auto"/>
                <w:kern w:val="0"/>
                <w:sz w:val="24"/>
                <w:highlight w:val="none"/>
                <w:lang w:val="en-US" w:eastAsia="zh-CN"/>
              </w:rPr>
              <w:t>7</w:t>
            </w:r>
            <w:r>
              <w:rPr>
                <w:rFonts w:hint="default" w:ascii="Times New Roman" w:hAnsi="Times New Roman" w:cs="Times New Roman"/>
                <w:b/>
                <w:color w:val="auto"/>
                <w:kern w:val="0"/>
                <w:sz w:val="24"/>
                <w:highlight w:val="none"/>
              </w:rPr>
              <w:t xml:space="preserve">   噪声排放预测结果  单位：dB(A)</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759"/>
              <w:gridCol w:w="654"/>
              <w:gridCol w:w="584"/>
              <w:gridCol w:w="676"/>
              <w:gridCol w:w="1320"/>
              <w:gridCol w:w="1262"/>
              <w:gridCol w:w="1262"/>
              <w:gridCol w:w="1262"/>
            </w:tblGrid>
            <w:tr w14:paraId="31143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057AB6E">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预测方位</w:t>
                  </w:r>
                </w:p>
              </w:tc>
              <w:tc>
                <w:tcPr>
                  <w:tcW w:w="107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7E0B67B2">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空间相对位置/m</w:t>
                  </w:r>
                </w:p>
              </w:tc>
              <w:tc>
                <w:tcPr>
                  <w:tcW w:w="42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DF4AB9">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时段</w:t>
                  </w:r>
                </w:p>
              </w:tc>
              <w:tc>
                <w:tcPr>
                  <w:tcW w:w="788" w:type="pct"/>
                  <w:vMerge w:val="restart"/>
                  <w:tcBorders>
                    <w:top w:val="single" w:color="auto" w:sz="4" w:space="0"/>
                    <w:left w:val="single" w:color="auto" w:sz="4" w:space="0"/>
                    <w:right w:val="single" w:color="auto" w:sz="4" w:space="0"/>
                  </w:tcBorders>
                  <w:shd w:val="clear" w:color="auto" w:fill="auto"/>
                  <w:vAlign w:val="center"/>
                </w:tcPr>
                <w:p w14:paraId="20CB4E59">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噪声贡献值dB（A）</w:t>
                  </w:r>
                </w:p>
              </w:tc>
              <w:tc>
                <w:tcPr>
                  <w:tcW w:w="754" w:type="pct"/>
                  <w:vMerge w:val="restart"/>
                  <w:tcBorders>
                    <w:top w:val="single" w:color="auto" w:sz="4" w:space="0"/>
                    <w:left w:val="single" w:color="auto" w:sz="4" w:space="0"/>
                    <w:right w:val="single" w:color="auto" w:sz="4" w:space="0"/>
                  </w:tcBorders>
                  <w:shd w:val="clear" w:color="auto" w:fill="auto"/>
                  <w:vAlign w:val="center"/>
                </w:tcPr>
                <w:p w14:paraId="4EDAEC52">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背景值</w:t>
                  </w:r>
                  <w:r>
                    <w:rPr>
                      <w:rFonts w:hint="default" w:ascii="Times New Roman" w:hAnsi="Times New Roman" w:cs="Times New Roman"/>
                      <w:b/>
                      <w:color w:val="000000" w:themeColor="text1"/>
                      <w:sz w:val="21"/>
                      <w:szCs w:val="21"/>
                      <w14:textFill>
                        <w14:solidFill>
                          <w14:schemeClr w14:val="tx1"/>
                        </w14:solidFill>
                      </w14:textFill>
                    </w:rPr>
                    <w:t>dB（A）</w:t>
                  </w:r>
                </w:p>
              </w:tc>
              <w:tc>
                <w:tcPr>
                  <w:tcW w:w="75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0C022A4">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预测值dB（A）</w:t>
                  </w:r>
                </w:p>
              </w:tc>
              <w:tc>
                <w:tcPr>
                  <w:tcW w:w="75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F77DF0">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标准值dB（A）</w:t>
                  </w:r>
                </w:p>
              </w:tc>
            </w:tr>
            <w:tr w14:paraId="46120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45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F344A3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14:paraId="3A76DD5B">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X</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14:paraId="42C834B0">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Y</w:t>
                  </w:r>
                </w:p>
              </w:tc>
              <w:tc>
                <w:tcPr>
                  <w:tcW w:w="295" w:type="pct"/>
                  <w:tcBorders>
                    <w:top w:val="single" w:color="auto" w:sz="4" w:space="0"/>
                    <w:left w:val="single" w:color="auto" w:sz="4" w:space="0"/>
                    <w:bottom w:val="single" w:color="auto" w:sz="4" w:space="0"/>
                    <w:right w:val="single" w:color="auto" w:sz="4" w:space="0"/>
                  </w:tcBorders>
                  <w:shd w:val="clear" w:color="auto" w:fill="auto"/>
                  <w:vAlign w:val="center"/>
                </w:tcPr>
                <w:p w14:paraId="1399217D">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Z</w:t>
                  </w:r>
                </w:p>
              </w:tc>
              <w:tc>
                <w:tcPr>
                  <w:tcW w:w="42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266AB9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788" w:type="pct"/>
                  <w:vMerge w:val="continue"/>
                  <w:tcBorders>
                    <w:left w:val="single" w:color="auto" w:sz="4" w:space="0"/>
                    <w:bottom w:val="single" w:color="auto" w:sz="4" w:space="0"/>
                    <w:right w:val="single" w:color="auto" w:sz="4" w:space="0"/>
                  </w:tcBorders>
                  <w:shd w:val="clear" w:color="auto" w:fill="auto"/>
                  <w:vAlign w:val="center"/>
                </w:tcPr>
                <w:p w14:paraId="4C21DD6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754" w:type="pct"/>
                  <w:vMerge w:val="continue"/>
                  <w:tcBorders>
                    <w:left w:val="single" w:color="auto" w:sz="4" w:space="0"/>
                    <w:bottom w:val="single" w:color="auto" w:sz="4" w:space="0"/>
                    <w:right w:val="single" w:color="auto" w:sz="4" w:space="0"/>
                  </w:tcBorders>
                  <w:shd w:val="clear" w:color="auto" w:fill="auto"/>
                  <w:vAlign w:val="center"/>
                </w:tcPr>
                <w:p w14:paraId="2794F14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75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2A10B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75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D670A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r>
            <w:tr w14:paraId="715C6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restart"/>
                  <w:tcBorders>
                    <w:top w:val="single" w:color="auto" w:sz="4" w:space="0"/>
                    <w:left w:val="single" w:color="auto" w:sz="4" w:space="0"/>
                    <w:right w:val="single" w:color="auto" w:sz="4" w:space="0"/>
                  </w:tcBorders>
                  <w:shd w:val="clear" w:color="auto" w:fill="auto"/>
                  <w:vAlign w:val="center"/>
                </w:tcPr>
                <w:p w14:paraId="164A8C70">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东侧</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7E186C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112.9</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394BA77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0.8</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783A42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14</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64174A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昼间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49DBF5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32.4</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0A002252">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2BC4F728">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1DFF8CF5">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65</w:t>
                  </w:r>
                </w:p>
              </w:tc>
            </w:tr>
            <w:tr w14:paraId="6D74B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tcBorders>
                    <w:left w:val="single" w:color="auto" w:sz="4" w:space="0"/>
                    <w:bottom w:val="single" w:color="auto" w:sz="4" w:space="0"/>
                    <w:right w:val="single" w:color="auto" w:sz="4" w:space="0"/>
                  </w:tcBorders>
                  <w:shd w:val="clear" w:color="auto" w:fill="auto"/>
                  <w:vAlign w:val="center"/>
                </w:tcPr>
                <w:p w14:paraId="13EAA31E">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2F2713E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112.9</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1FCA3E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0.8</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789688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14</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09616D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夜间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2B51EC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32.4</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754F77D5">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3273A751">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70E02489">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55</w:t>
                  </w:r>
                </w:p>
              </w:tc>
            </w:tr>
            <w:tr w14:paraId="54E24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restart"/>
                  <w:tcBorders>
                    <w:top w:val="single" w:color="auto" w:sz="4" w:space="0"/>
                    <w:left w:val="single" w:color="auto" w:sz="4" w:space="0"/>
                    <w:right w:val="single" w:color="auto" w:sz="4" w:space="0"/>
                  </w:tcBorders>
                  <w:shd w:val="clear" w:color="auto" w:fill="auto"/>
                  <w:vAlign w:val="center"/>
                </w:tcPr>
                <w:p w14:paraId="5FF3CE10">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南侧</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528C38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10.5</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5585EE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-25.5</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151FB1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12.9</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0DC068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昼间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142153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50.9</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72FDBC3A">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3936741A">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54.5</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4E09C1DC">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65</w:t>
                  </w:r>
                </w:p>
              </w:tc>
            </w:tr>
            <w:tr w14:paraId="5DC61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tcBorders>
                    <w:left w:val="single" w:color="auto" w:sz="4" w:space="0"/>
                    <w:bottom w:val="single" w:color="auto" w:sz="4" w:space="0"/>
                    <w:right w:val="single" w:color="auto" w:sz="4" w:space="0"/>
                  </w:tcBorders>
                  <w:shd w:val="clear" w:color="auto" w:fill="auto"/>
                  <w:vAlign w:val="center"/>
                </w:tcPr>
                <w:p w14:paraId="6CACC90B">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4E27D8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10.5</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7C8138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-25.5</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3006AE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12.9</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3FB4A0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夜间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78C05F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50.9</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60217CA2">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53</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1CAA83F1">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55.1</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5DAF0CEE">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55</w:t>
                  </w:r>
                </w:p>
              </w:tc>
            </w:tr>
            <w:tr w14:paraId="4DF7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5" w:type="pct"/>
                  <w:vMerge w:val="restart"/>
                  <w:tcBorders>
                    <w:top w:val="single" w:color="auto" w:sz="4" w:space="0"/>
                    <w:left w:val="single" w:color="auto" w:sz="4" w:space="0"/>
                    <w:right w:val="single" w:color="auto" w:sz="4" w:space="0"/>
                  </w:tcBorders>
                  <w:shd w:val="clear" w:color="auto" w:fill="auto"/>
                  <w:vAlign w:val="center"/>
                </w:tcPr>
                <w:p w14:paraId="3E6BC211">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西侧</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6C2CE3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-114</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2ABC7F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71.8</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4F9027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13</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56A70A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昼间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2B4006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43.2</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164063AD">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53</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7A220513">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53.4</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7B7E3AFF">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65</w:t>
                  </w:r>
                </w:p>
              </w:tc>
            </w:tr>
            <w:tr w14:paraId="4579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tcBorders>
                    <w:left w:val="single" w:color="auto" w:sz="4" w:space="0"/>
                    <w:bottom w:val="single" w:color="auto" w:sz="4" w:space="0"/>
                    <w:right w:val="single" w:color="auto" w:sz="4" w:space="0"/>
                  </w:tcBorders>
                  <w:shd w:val="clear" w:color="auto" w:fill="auto"/>
                  <w:vAlign w:val="center"/>
                </w:tcPr>
                <w:p w14:paraId="4C722A04">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75CC7A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-114</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05F573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71.8</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395322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13</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3177A7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夜间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46ABFC1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43.2</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71CD6D8B">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48</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1F9C9091">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19.2</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09637380">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55</w:t>
                  </w:r>
                </w:p>
              </w:tc>
            </w:tr>
            <w:tr w14:paraId="5319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restart"/>
                  <w:tcBorders>
                    <w:top w:val="single" w:color="auto" w:sz="4" w:space="0"/>
                    <w:left w:val="single" w:color="auto" w:sz="4" w:space="0"/>
                    <w:right w:val="single" w:color="auto" w:sz="4" w:space="0"/>
                  </w:tcBorders>
                  <w:shd w:val="clear" w:color="auto" w:fill="auto"/>
                  <w:vAlign w:val="center"/>
                </w:tcPr>
                <w:p w14:paraId="7AF8369B">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北侧</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5215EB3E">
                  <w:pPr>
                    <w:keepNext w:val="0"/>
                    <w:keepLines w:val="0"/>
                    <w:suppressLineNumbers w:val="0"/>
                    <w:spacing w:before="0" w:beforeAutospacing="0" w:after="0" w:afterAutospacing="0"/>
                    <w:ind w:left="0" w:right="0"/>
                    <w:jc w:val="center"/>
                    <w:rPr>
                      <w:rFonts w:hint="default" w:ascii="Times New Roman" w:hAnsi="Times New Roman" w:eastAsia="Arial" w:cs="Times New Roman"/>
                      <w:color w:val="000000" w:themeColor="text1"/>
                      <w:sz w:val="21"/>
                      <w:szCs w:val="21"/>
                      <w:lang w:val="en-US" w:eastAsia="zh-CN"/>
                      <w14:textFill>
                        <w14:solidFill>
                          <w14:schemeClr w14:val="tx1"/>
                        </w14:solidFill>
                      </w14:textFill>
                    </w:rPr>
                  </w:pPr>
                  <w:r>
                    <w:rPr>
                      <w:rFonts w:hint="eastAsia" w:ascii="Times New Roman" w:hAnsi="Times New Roman" w:eastAsia="Arial" w:cs="Times New Roman"/>
                      <w:color w:val="000000" w:themeColor="text1"/>
                      <w:sz w:val="21"/>
                      <w:szCs w:val="21"/>
                      <w:lang w:val="en-US" w:eastAsia="zh-CN"/>
                      <w14:textFill>
                        <w14:solidFill>
                          <w14:schemeClr w14:val="tx1"/>
                        </w14:solidFill>
                      </w14:textFill>
                    </w:rPr>
                    <w:t>6.4</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10F92709">
                  <w:pPr>
                    <w:keepNext w:val="0"/>
                    <w:keepLines w:val="0"/>
                    <w:suppressLineNumbers w:val="0"/>
                    <w:spacing w:before="0" w:beforeAutospacing="0" w:after="0" w:afterAutospacing="0"/>
                    <w:ind w:left="0" w:right="0"/>
                    <w:jc w:val="center"/>
                    <w:rPr>
                      <w:rFonts w:hint="default" w:ascii="Times New Roman" w:hAnsi="Times New Roman" w:eastAsia="Arial" w:cs="Times New Roman"/>
                      <w:color w:val="000000" w:themeColor="text1"/>
                      <w:sz w:val="21"/>
                      <w:szCs w:val="21"/>
                      <w:lang w:val="en-US" w:eastAsia="zh-CN"/>
                      <w14:textFill>
                        <w14:solidFill>
                          <w14:schemeClr w14:val="tx1"/>
                        </w14:solidFill>
                      </w14:textFill>
                    </w:rPr>
                  </w:pPr>
                  <w:r>
                    <w:rPr>
                      <w:rFonts w:hint="eastAsia" w:ascii="Times New Roman" w:hAnsi="Times New Roman" w:eastAsia="Arial" w:cs="Times New Roman"/>
                      <w:color w:val="000000" w:themeColor="text1"/>
                      <w:sz w:val="21"/>
                      <w:szCs w:val="21"/>
                      <w:lang w:val="en-US" w:eastAsia="zh-CN"/>
                      <w14:textFill>
                        <w14:solidFill>
                          <w14:schemeClr w14:val="tx1"/>
                        </w14:solidFill>
                      </w14:textFill>
                    </w:rPr>
                    <w:t>26.3</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7EED993A">
                  <w:pPr>
                    <w:keepNext w:val="0"/>
                    <w:keepLines w:val="0"/>
                    <w:suppressLineNumbers w:val="0"/>
                    <w:spacing w:before="0" w:beforeAutospacing="0" w:after="0" w:afterAutospacing="0"/>
                    <w:ind w:left="0" w:right="0"/>
                    <w:jc w:val="center"/>
                    <w:rPr>
                      <w:rFonts w:hint="default" w:ascii="Times New Roman" w:hAnsi="Times New Roman" w:eastAsia="Arial" w:cs="Times New Roman"/>
                      <w:color w:val="000000" w:themeColor="text1"/>
                      <w:sz w:val="21"/>
                      <w:szCs w:val="21"/>
                      <w:lang w:val="en-US" w:eastAsia="zh-CN"/>
                      <w14:textFill>
                        <w14:solidFill>
                          <w14:schemeClr w14:val="tx1"/>
                        </w14:solidFill>
                      </w14:textFill>
                    </w:rPr>
                  </w:pPr>
                  <w:r>
                    <w:rPr>
                      <w:rFonts w:hint="eastAsia" w:ascii="Times New Roman" w:hAnsi="Times New Roman" w:eastAsia="Arial" w:cs="Times New Roman"/>
                      <w:color w:val="000000" w:themeColor="text1"/>
                      <w:sz w:val="21"/>
                      <w:szCs w:val="21"/>
                      <w:lang w:val="en-US" w:eastAsia="zh-CN"/>
                      <w14:textFill>
                        <w14:solidFill>
                          <w14:schemeClr w14:val="tx1"/>
                        </w14:solidFill>
                      </w14:textFill>
                    </w:rPr>
                    <w:t>11.8</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5A02D7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昼间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27BBE0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51.1</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3E73D299">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48</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0658AE7E">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52.8</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4D7AFA59">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65</w:t>
                  </w:r>
                </w:p>
              </w:tc>
            </w:tr>
            <w:tr w14:paraId="5525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tcBorders>
                    <w:left w:val="single" w:color="auto" w:sz="4" w:space="0"/>
                    <w:bottom w:val="single" w:color="auto" w:sz="4" w:space="0"/>
                    <w:right w:val="single" w:color="auto" w:sz="4" w:space="0"/>
                  </w:tcBorders>
                  <w:shd w:val="clear" w:color="auto" w:fill="auto"/>
                  <w:vAlign w:val="center"/>
                </w:tcPr>
                <w:p w14:paraId="5684A3A0">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7AB2ABFA">
                  <w:pPr>
                    <w:keepNext w:val="0"/>
                    <w:keepLines w:val="0"/>
                    <w:suppressLineNumbers w:val="0"/>
                    <w:spacing w:before="0" w:beforeAutospacing="0" w:after="0" w:afterAutospacing="0"/>
                    <w:ind w:left="0" w:right="0"/>
                    <w:jc w:val="center"/>
                    <w:rPr>
                      <w:rFonts w:hint="default" w:ascii="Times New Roman" w:hAnsi="Times New Roman" w:eastAsia="Arial"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Arial" w:cs="Times New Roman"/>
                      <w:color w:val="000000" w:themeColor="text1"/>
                      <w:sz w:val="21"/>
                      <w:szCs w:val="21"/>
                      <w:lang w:val="en-US" w:eastAsia="zh-CN"/>
                      <w14:textFill>
                        <w14:solidFill>
                          <w14:schemeClr w14:val="tx1"/>
                        </w14:solidFill>
                      </w14:textFill>
                    </w:rPr>
                    <w:t>6.4</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4A5B447C">
                  <w:pPr>
                    <w:keepNext w:val="0"/>
                    <w:keepLines w:val="0"/>
                    <w:suppressLineNumbers w:val="0"/>
                    <w:spacing w:before="0" w:beforeAutospacing="0" w:after="0" w:afterAutospacing="0"/>
                    <w:ind w:left="0" w:right="0"/>
                    <w:jc w:val="center"/>
                    <w:rPr>
                      <w:rFonts w:hint="default" w:ascii="Times New Roman" w:hAnsi="Times New Roman" w:eastAsia="Arial"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Arial" w:cs="Times New Roman"/>
                      <w:color w:val="000000" w:themeColor="text1"/>
                      <w:sz w:val="21"/>
                      <w:szCs w:val="21"/>
                      <w:lang w:val="en-US" w:eastAsia="zh-CN"/>
                      <w14:textFill>
                        <w14:solidFill>
                          <w14:schemeClr w14:val="tx1"/>
                        </w14:solidFill>
                      </w14:textFill>
                    </w:rPr>
                    <w:t>26.3</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5AFE2720">
                  <w:pPr>
                    <w:keepNext w:val="0"/>
                    <w:keepLines w:val="0"/>
                    <w:suppressLineNumbers w:val="0"/>
                    <w:spacing w:before="0" w:beforeAutospacing="0" w:after="0" w:afterAutospacing="0"/>
                    <w:ind w:left="0" w:right="0"/>
                    <w:jc w:val="center"/>
                    <w:rPr>
                      <w:rFonts w:hint="default" w:ascii="Times New Roman" w:hAnsi="Times New Roman" w:eastAsia="Arial"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Arial" w:cs="Times New Roman"/>
                      <w:color w:val="000000" w:themeColor="text1"/>
                      <w:sz w:val="21"/>
                      <w:szCs w:val="21"/>
                      <w:lang w:val="en-US" w:eastAsia="zh-CN"/>
                      <w14:textFill>
                        <w14:solidFill>
                          <w14:schemeClr w14:val="tx1"/>
                        </w14:solidFill>
                      </w14:textFill>
                    </w:rPr>
                    <w:t>11.8</w:t>
                  </w:r>
                </w:p>
              </w:tc>
              <w:tc>
                <w:tcPr>
                  <w:tcW w:w="421" w:type="pct"/>
                  <w:tcBorders>
                    <w:top w:val="single" w:color="auto" w:sz="4" w:space="0"/>
                    <w:left w:val="single" w:color="auto" w:sz="4" w:space="0"/>
                    <w:bottom w:val="single" w:color="auto" w:sz="4" w:space="0"/>
                    <w:right w:val="single" w:color="auto" w:sz="4" w:space="0"/>
                  </w:tcBorders>
                  <w:shd w:val="clear" w:color="auto" w:fill="FFFFFF"/>
                  <w:vAlign w:val="center"/>
                </w:tcPr>
                <w:p w14:paraId="13F5F6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夜间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6D582C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51.1</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3612E7B5">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48</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749F9534">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52.8</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365389BB">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55</w:t>
                  </w:r>
                </w:p>
              </w:tc>
            </w:tr>
            <w:tr w14:paraId="6B36D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55" w:type="pct"/>
                  <w:vMerge w:val="restart"/>
                  <w:tcBorders>
                    <w:top w:val="single" w:color="auto" w:sz="4" w:space="0"/>
                    <w:left w:val="single" w:color="auto" w:sz="4" w:space="0"/>
                    <w:right w:val="single" w:color="auto" w:sz="4" w:space="0"/>
                  </w:tcBorders>
                  <w:shd w:val="clear" w:color="auto" w:fill="auto"/>
                  <w:vAlign w:val="center"/>
                </w:tcPr>
                <w:p w14:paraId="386063C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兴泰人才公寓1F</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4502E2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-144</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0FE34F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38.4</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4DC3C45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421" w:type="pct"/>
                  <w:tcBorders>
                    <w:top w:val="single" w:color="auto" w:sz="4" w:space="0"/>
                    <w:left w:val="single" w:color="auto" w:sz="4" w:space="0"/>
                    <w:bottom w:val="single" w:color="auto" w:sz="4" w:space="0"/>
                    <w:right w:val="single" w:color="auto" w:sz="4" w:space="0"/>
                  </w:tcBorders>
                  <w:shd w:val="clear" w:color="auto" w:fill="auto"/>
                  <w:vAlign w:val="center"/>
                </w:tcPr>
                <w:p w14:paraId="1A9B971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昼间</w:t>
                  </w:r>
                </w:p>
              </w:tc>
              <w:tc>
                <w:tcPr>
                  <w:tcW w:w="788" w:type="pct"/>
                  <w:tcBorders>
                    <w:top w:val="single" w:color="auto" w:sz="4" w:space="0"/>
                    <w:left w:val="single" w:color="auto" w:sz="4" w:space="0"/>
                    <w:bottom w:val="single" w:color="auto" w:sz="4" w:space="0"/>
                    <w:right w:val="single" w:color="auto" w:sz="4" w:space="0"/>
                  </w:tcBorders>
                  <w:shd w:val="clear" w:color="auto" w:fill="auto"/>
                  <w:vAlign w:val="center"/>
                </w:tcPr>
                <w:p w14:paraId="295F8884">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36.3</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314F86D5">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56</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1DDA5153">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56</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4D4C80B6">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60</w:t>
                  </w:r>
                </w:p>
              </w:tc>
            </w:tr>
            <w:tr w14:paraId="6D4A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tcBorders>
                    <w:left w:val="single" w:color="auto" w:sz="4" w:space="0"/>
                    <w:bottom w:val="single" w:color="auto" w:sz="4" w:space="0"/>
                    <w:right w:val="single" w:color="auto" w:sz="4" w:space="0"/>
                  </w:tcBorders>
                  <w:shd w:val="clear" w:color="auto" w:fill="auto"/>
                  <w:vAlign w:val="center"/>
                </w:tcPr>
                <w:p w14:paraId="0B50F773">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3CC37DE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-144</w:t>
                  </w:r>
                </w:p>
              </w:tc>
              <w:tc>
                <w:tcPr>
                  <w:tcW w:w="388" w:type="pct"/>
                  <w:tcBorders>
                    <w:top w:val="single" w:color="auto" w:sz="4" w:space="0"/>
                    <w:left w:val="single" w:color="auto" w:sz="4" w:space="0"/>
                    <w:bottom w:val="single" w:color="auto" w:sz="4" w:space="0"/>
                    <w:right w:val="single" w:color="auto" w:sz="4" w:space="0"/>
                  </w:tcBorders>
                  <w:shd w:val="clear" w:color="auto" w:fill="FFFFFF"/>
                  <w:vAlign w:val="center"/>
                </w:tcPr>
                <w:p w14:paraId="0F6CCA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38.4</w:t>
                  </w:r>
                </w:p>
              </w:tc>
              <w:tc>
                <w:tcPr>
                  <w:tcW w:w="295" w:type="pct"/>
                  <w:tcBorders>
                    <w:top w:val="single" w:color="auto" w:sz="4" w:space="0"/>
                    <w:left w:val="single" w:color="auto" w:sz="4" w:space="0"/>
                    <w:bottom w:val="single" w:color="auto" w:sz="4" w:space="0"/>
                    <w:right w:val="single" w:color="auto" w:sz="4" w:space="0"/>
                  </w:tcBorders>
                  <w:shd w:val="clear" w:color="auto" w:fill="FFFFFF"/>
                  <w:vAlign w:val="center"/>
                </w:tcPr>
                <w:p w14:paraId="21F9F4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421" w:type="pct"/>
                  <w:tcBorders>
                    <w:top w:val="single" w:color="auto" w:sz="4" w:space="0"/>
                    <w:left w:val="single" w:color="auto" w:sz="4" w:space="0"/>
                    <w:bottom w:val="single" w:color="auto" w:sz="4" w:space="0"/>
                    <w:right w:val="single" w:color="auto" w:sz="4" w:space="0"/>
                  </w:tcBorders>
                  <w:shd w:val="clear" w:color="auto" w:fill="auto"/>
                  <w:vAlign w:val="center"/>
                </w:tcPr>
                <w:p w14:paraId="17A9E4A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夜间</w:t>
                  </w:r>
                </w:p>
              </w:tc>
              <w:tc>
                <w:tcPr>
                  <w:tcW w:w="788" w:type="pct"/>
                  <w:tcBorders>
                    <w:top w:val="single" w:color="auto" w:sz="4" w:space="0"/>
                    <w:left w:val="single" w:color="auto" w:sz="4" w:space="0"/>
                    <w:bottom w:val="single" w:color="auto" w:sz="4" w:space="0"/>
                    <w:right w:val="single" w:color="auto" w:sz="4" w:space="0"/>
                  </w:tcBorders>
                  <w:shd w:val="clear" w:color="auto" w:fill="FFFFFF"/>
                  <w:vAlign w:val="center"/>
                </w:tcPr>
                <w:p w14:paraId="40E5D141">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36.3</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5AF82B08">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50</w:t>
                  </w:r>
                </w:p>
              </w:tc>
              <w:tc>
                <w:tcPr>
                  <w:tcW w:w="754" w:type="pct"/>
                  <w:tcBorders>
                    <w:top w:val="single" w:color="auto" w:sz="4" w:space="0"/>
                    <w:left w:val="single" w:color="auto" w:sz="4" w:space="0"/>
                    <w:bottom w:val="single" w:color="auto" w:sz="4" w:space="0"/>
                    <w:right w:val="single" w:color="auto" w:sz="4" w:space="0"/>
                  </w:tcBorders>
                  <w:shd w:val="clear" w:color="auto" w:fill="FFFFFF"/>
                  <w:vAlign w:val="center"/>
                </w:tcPr>
                <w:p w14:paraId="0A289437">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50.2</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14:paraId="690817A3">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50</w:t>
                  </w:r>
                </w:p>
              </w:tc>
            </w:tr>
            <w:tr w14:paraId="4E213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55" w:type="pct"/>
                  <w:vMerge w:val="restart"/>
                  <w:shd w:val="clear" w:color="auto" w:fill="auto"/>
                  <w:vAlign w:val="center"/>
                </w:tcPr>
                <w:p w14:paraId="5709B42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兴泰人才公寓5F</w:t>
                  </w:r>
                </w:p>
              </w:tc>
              <w:tc>
                <w:tcPr>
                  <w:tcW w:w="388" w:type="pct"/>
                  <w:vAlign w:val="center"/>
                </w:tcPr>
                <w:p w14:paraId="7B4F5696">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-154</w:t>
                  </w:r>
                </w:p>
              </w:tc>
              <w:tc>
                <w:tcPr>
                  <w:tcW w:w="388" w:type="pct"/>
                  <w:vAlign w:val="center"/>
                </w:tcPr>
                <w:p w14:paraId="00BFB47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-2.3</w:t>
                  </w:r>
                </w:p>
              </w:tc>
              <w:tc>
                <w:tcPr>
                  <w:tcW w:w="295" w:type="pct"/>
                  <w:vAlign w:val="center"/>
                </w:tcPr>
                <w:p w14:paraId="5CE24BF6">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12.8</w:t>
                  </w:r>
                </w:p>
              </w:tc>
              <w:tc>
                <w:tcPr>
                  <w:tcW w:w="421" w:type="pct"/>
                  <w:vAlign w:val="center"/>
                </w:tcPr>
                <w:p w14:paraId="6BA32C9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昼间</w:t>
                  </w:r>
                </w:p>
              </w:tc>
              <w:tc>
                <w:tcPr>
                  <w:tcW w:w="788" w:type="pct"/>
                  <w:shd w:val="clear" w:color="auto" w:fill="FFFFFF"/>
                  <w:vAlign w:val="center"/>
                </w:tcPr>
                <w:p w14:paraId="0286A728">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34.8</w:t>
                  </w:r>
                </w:p>
              </w:tc>
              <w:tc>
                <w:tcPr>
                  <w:tcW w:w="754" w:type="pct"/>
                  <w:shd w:val="clear" w:color="auto" w:fill="FFFFFF"/>
                  <w:vAlign w:val="center"/>
                </w:tcPr>
                <w:p w14:paraId="69834B79">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w:t>
                  </w:r>
                </w:p>
              </w:tc>
              <w:tc>
                <w:tcPr>
                  <w:tcW w:w="754" w:type="pct"/>
                  <w:shd w:val="clear" w:color="auto" w:fill="FFFFFF"/>
                  <w:vAlign w:val="center"/>
                </w:tcPr>
                <w:p w14:paraId="18061228">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52.1</w:t>
                  </w:r>
                </w:p>
              </w:tc>
              <w:tc>
                <w:tcPr>
                  <w:tcW w:w="754" w:type="pct"/>
                  <w:vAlign w:val="center"/>
                </w:tcPr>
                <w:p w14:paraId="1070DDBF">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60</w:t>
                  </w:r>
                </w:p>
              </w:tc>
            </w:tr>
            <w:tr w14:paraId="3A8A0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shd w:val="clear" w:color="auto" w:fill="auto"/>
                  <w:vAlign w:val="center"/>
                </w:tcPr>
                <w:p w14:paraId="45F0CED9">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Cs/>
                      <w:color w:val="000000" w:themeColor="text1"/>
                      <w:kern w:val="0"/>
                      <w:sz w:val="21"/>
                      <w:szCs w:val="21"/>
                      <w:highlight w:val="none"/>
                      <w:lang w:val="en-US" w:eastAsia="zh-CN"/>
                      <w14:textFill>
                        <w14:solidFill>
                          <w14:schemeClr w14:val="tx1"/>
                        </w14:solidFill>
                      </w14:textFill>
                    </w:rPr>
                  </w:pPr>
                </w:p>
              </w:tc>
              <w:tc>
                <w:tcPr>
                  <w:tcW w:w="388" w:type="pct"/>
                  <w:shd w:val="clear" w:color="auto" w:fill="auto"/>
                  <w:vAlign w:val="center"/>
                </w:tcPr>
                <w:p w14:paraId="2AF5ABF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-154</w:t>
                  </w:r>
                </w:p>
              </w:tc>
              <w:tc>
                <w:tcPr>
                  <w:tcW w:w="388" w:type="pct"/>
                  <w:shd w:val="clear" w:color="auto" w:fill="auto"/>
                  <w:vAlign w:val="center"/>
                </w:tcPr>
                <w:p w14:paraId="70F2056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-2.3</w:t>
                  </w:r>
                </w:p>
              </w:tc>
              <w:tc>
                <w:tcPr>
                  <w:tcW w:w="295" w:type="pct"/>
                  <w:shd w:val="clear" w:color="auto" w:fill="auto"/>
                  <w:vAlign w:val="center"/>
                </w:tcPr>
                <w:p w14:paraId="05E44A93">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12.8</w:t>
                  </w:r>
                </w:p>
              </w:tc>
              <w:tc>
                <w:tcPr>
                  <w:tcW w:w="421" w:type="pct"/>
                  <w:vAlign w:val="center"/>
                </w:tcPr>
                <w:p w14:paraId="3BD1224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夜间</w:t>
                  </w:r>
                </w:p>
              </w:tc>
              <w:tc>
                <w:tcPr>
                  <w:tcW w:w="788" w:type="pct"/>
                  <w:shd w:val="clear" w:color="auto" w:fill="FFFFFF"/>
                  <w:vAlign w:val="center"/>
                </w:tcPr>
                <w:p w14:paraId="4B344BDE">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34.8</w:t>
                  </w:r>
                </w:p>
              </w:tc>
              <w:tc>
                <w:tcPr>
                  <w:tcW w:w="754" w:type="pct"/>
                  <w:shd w:val="clear" w:color="auto" w:fill="FFFFFF"/>
                  <w:vAlign w:val="center"/>
                </w:tcPr>
                <w:p w14:paraId="1F277C39">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48</w:t>
                  </w:r>
                </w:p>
              </w:tc>
              <w:tc>
                <w:tcPr>
                  <w:tcW w:w="754" w:type="pct"/>
                  <w:shd w:val="clear" w:color="auto" w:fill="FFFFFF"/>
                  <w:vAlign w:val="center"/>
                </w:tcPr>
                <w:p w14:paraId="0A97AF29">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48.2</w:t>
                  </w:r>
                </w:p>
              </w:tc>
              <w:tc>
                <w:tcPr>
                  <w:tcW w:w="754" w:type="pct"/>
                  <w:vAlign w:val="center"/>
                </w:tcPr>
                <w:p w14:paraId="7C2C3C92">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50</w:t>
                  </w:r>
                </w:p>
              </w:tc>
            </w:tr>
            <w:tr w14:paraId="41C1F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455" w:type="pct"/>
                  <w:vMerge w:val="restart"/>
                  <w:shd w:val="clear" w:color="auto" w:fill="auto"/>
                  <w:vAlign w:val="center"/>
                </w:tcPr>
                <w:p w14:paraId="6B74A088">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Cs/>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兴泰人才公寓8F</w:t>
                  </w:r>
                </w:p>
              </w:tc>
              <w:tc>
                <w:tcPr>
                  <w:tcW w:w="388" w:type="pct"/>
                  <w:shd w:val="clear" w:color="auto" w:fill="auto"/>
                  <w:vAlign w:val="center"/>
                </w:tcPr>
                <w:p w14:paraId="44210C84">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-156.1</w:t>
                  </w:r>
                </w:p>
              </w:tc>
              <w:tc>
                <w:tcPr>
                  <w:tcW w:w="388" w:type="pct"/>
                  <w:shd w:val="clear" w:color="auto" w:fill="auto"/>
                  <w:vAlign w:val="center"/>
                </w:tcPr>
                <w:p w14:paraId="154FCAB2">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-11</w:t>
                  </w:r>
                </w:p>
              </w:tc>
              <w:tc>
                <w:tcPr>
                  <w:tcW w:w="295" w:type="pct"/>
                  <w:shd w:val="clear" w:color="auto" w:fill="auto"/>
                  <w:vAlign w:val="center"/>
                </w:tcPr>
                <w:p w14:paraId="094FD574">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12.9</w:t>
                  </w:r>
                </w:p>
              </w:tc>
              <w:tc>
                <w:tcPr>
                  <w:tcW w:w="421" w:type="pct"/>
                  <w:shd w:val="clear" w:color="auto" w:fill="auto"/>
                  <w:vAlign w:val="center"/>
                </w:tcPr>
                <w:p w14:paraId="6F4488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昼间</w:t>
                  </w:r>
                </w:p>
              </w:tc>
              <w:tc>
                <w:tcPr>
                  <w:tcW w:w="788" w:type="pct"/>
                  <w:shd w:val="clear" w:color="auto" w:fill="FFFFFF"/>
                  <w:vAlign w:val="center"/>
                </w:tcPr>
                <w:p w14:paraId="1DF53D46">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34.1</w:t>
                  </w:r>
                </w:p>
              </w:tc>
              <w:tc>
                <w:tcPr>
                  <w:tcW w:w="754" w:type="pct"/>
                  <w:shd w:val="clear" w:color="auto" w:fill="FFFFFF"/>
                  <w:vAlign w:val="center"/>
                </w:tcPr>
                <w:p w14:paraId="28980C23">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46</w:t>
                  </w:r>
                </w:p>
              </w:tc>
              <w:tc>
                <w:tcPr>
                  <w:tcW w:w="754" w:type="pct"/>
                  <w:shd w:val="clear" w:color="auto" w:fill="FFFFFF"/>
                  <w:vAlign w:val="center"/>
                </w:tcPr>
                <w:p w14:paraId="0086B834">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46.3</w:t>
                  </w:r>
                </w:p>
              </w:tc>
              <w:tc>
                <w:tcPr>
                  <w:tcW w:w="754" w:type="pct"/>
                  <w:vAlign w:val="center"/>
                </w:tcPr>
                <w:p w14:paraId="1EE831F9">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60</w:t>
                  </w:r>
                </w:p>
              </w:tc>
            </w:tr>
            <w:tr w14:paraId="19AB6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shd w:val="clear" w:color="auto" w:fill="auto"/>
                  <w:vAlign w:val="center"/>
                </w:tcPr>
                <w:p w14:paraId="70EEBCA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Cs/>
                      <w:color w:val="000000" w:themeColor="text1"/>
                      <w:kern w:val="0"/>
                      <w:sz w:val="21"/>
                      <w:szCs w:val="21"/>
                      <w:highlight w:val="none"/>
                      <w:lang w:val="en-US" w:eastAsia="zh-CN"/>
                      <w14:textFill>
                        <w14:solidFill>
                          <w14:schemeClr w14:val="tx1"/>
                        </w14:solidFill>
                      </w14:textFill>
                    </w:rPr>
                  </w:pPr>
                </w:p>
              </w:tc>
              <w:tc>
                <w:tcPr>
                  <w:tcW w:w="388" w:type="pct"/>
                  <w:shd w:val="clear" w:color="auto" w:fill="auto"/>
                  <w:vAlign w:val="center"/>
                </w:tcPr>
                <w:p w14:paraId="13106D39">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-156.1</w:t>
                  </w:r>
                </w:p>
              </w:tc>
              <w:tc>
                <w:tcPr>
                  <w:tcW w:w="388" w:type="pct"/>
                  <w:shd w:val="clear" w:color="auto" w:fill="auto"/>
                  <w:vAlign w:val="center"/>
                </w:tcPr>
                <w:p w14:paraId="518FC9F3">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-11</w:t>
                  </w:r>
                </w:p>
              </w:tc>
              <w:tc>
                <w:tcPr>
                  <w:tcW w:w="295" w:type="pct"/>
                  <w:shd w:val="clear" w:color="auto" w:fill="auto"/>
                  <w:vAlign w:val="center"/>
                </w:tcPr>
                <w:p w14:paraId="45B7141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12.9</w:t>
                  </w:r>
                </w:p>
              </w:tc>
              <w:tc>
                <w:tcPr>
                  <w:tcW w:w="421" w:type="pct"/>
                  <w:shd w:val="clear" w:color="auto" w:fill="auto"/>
                  <w:vAlign w:val="center"/>
                </w:tcPr>
                <w:p w14:paraId="435ADC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Arial" w:cs="Times New Roman"/>
                      <w:color w:val="000000" w:themeColor="text1"/>
                      <w:sz w:val="21"/>
                      <w:szCs w:val="21"/>
                      <w14:textFill>
                        <w14:solidFill>
                          <w14:schemeClr w14:val="tx1"/>
                        </w14:solidFill>
                      </w14:textFill>
                    </w:rPr>
                    <w:t>夜间</w:t>
                  </w:r>
                </w:p>
              </w:tc>
              <w:tc>
                <w:tcPr>
                  <w:tcW w:w="788" w:type="pct"/>
                  <w:shd w:val="clear" w:color="auto" w:fill="FFFFFF"/>
                  <w:vAlign w:val="center"/>
                </w:tcPr>
                <w:p w14:paraId="46A80FDB">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34.1</w:t>
                  </w:r>
                </w:p>
              </w:tc>
              <w:tc>
                <w:tcPr>
                  <w:tcW w:w="754" w:type="pct"/>
                  <w:shd w:val="clear" w:color="auto" w:fill="FFFFFF"/>
                  <w:vAlign w:val="center"/>
                </w:tcPr>
                <w:p w14:paraId="40C5FB00">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50</w:t>
                  </w:r>
                </w:p>
              </w:tc>
              <w:tc>
                <w:tcPr>
                  <w:tcW w:w="754" w:type="pct"/>
                  <w:shd w:val="clear" w:color="auto" w:fill="FFFFFF"/>
                  <w:vAlign w:val="center"/>
                </w:tcPr>
                <w:p w14:paraId="06059114">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50.1</w:t>
                  </w:r>
                </w:p>
              </w:tc>
              <w:tc>
                <w:tcPr>
                  <w:tcW w:w="754" w:type="pct"/>
                  <w:vAlign w:val="center"/>
                </w:tcPr>
                <w:p w14:paraId="62D3551D">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50</w:t>
                  </w:r>
                </w:p>
              </w:tc>
            </w:tr>
          </w:tbl>
          <w:p w14:paraId="4E58062E">
            <w:pPr>
              <w:keepNext w:val="0"/>
              <w:keepLines w:val="0"/>
              <w:suppressLineNumbers w:val="0"/>
              <w:spacing w:before="120" w:beforeLines="5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由上表可知，由于本项目大部分噪声源均布置在室内，根据预测结果，本项目运行后昼间厂界噪声</w:t>
            </w:r>
            <w:r>
              <w:rPr>
                <w:rFonts w:hint="eastAsia" w:cs="Times New Roman"/>
                <w:color w:val="auto"/>
                <w:kern w:val="0"/>
                <w:sz w:val="24"/>
                <w:highlight w:val="none"/>
                <w:lang w:val="en-US" w:eastAsia="zh-CN"/>
              </w:rPr>
              <w:t>均</w:t>
            </w:r>
            <w:r>
              <w:rPr>
                <w:rFonts w:hint="default" w:ascii="Times New Roman" w:hAnsi="Times New Roman" w:cs="Times New Roman"/>
                <w:color w:val="auto"/>
                <w:kern w:val="0"/>
                <w:sz w:val="24"/>
                <w:highlight w:val="none"/>
              </w:rPr>
              <w:t>可以达到《工业企业厂界环境噪声排放标准》（GB12348-2008）</w:t>
            </w:r>
            <w:r>
              <w:rPr>
                <w:rFonts w:hint="eastAsia" w:cs="Times New Roman"/>
                <w:color w:val="auto"/>
                <w:kern w:val="0"/>
                <w:sz w:val="24"/>
                <w:highlight w:val="none"/>
                <w:lang w:val="en-US" w:eastAsia="zh-CN"/>
              </w:rPr>
              <w:t>3</w:t>
            </w:r>
            <w:r>
              <w:rPr>
                <w:rFonts w:hint="default" w:ascii="Times New Roman" w:hAnsi="Times New Roman" w:cs="Times New Roman"/>
                <w:color w:val="auto"/>
                <w:kern w:val="0"/>
                <w:sz w:val="24"/>
                <w:highlight w:val="none"/>
              </w:rPr>
              <w:t>类标准限值要求</w:t>
            </w:r>
            <w:r>
              <w:rPr>
                <w:rFonts w:hint="eastAsia" w:cs="Times New Roman"/>
                <w:color w:val="auto"/>
                <w:kern w:val="0"/>
                <w:sz w:val="24"/>
                <w:highlight w:val="none"/>
                <w:lang w:eastAsia="zh-CN"/>
              </w:rPr>
              <w:t>；</w:t>
            </w:r>
            <w:r>
              <w:rPr>
                <w:rFonts w:hint="default" w:ascii="Times New Roman" w:hAnsi="Times New Roman" w:cs="Times New Roman"/>
                <w:color w:val="000000" w:themeColor="text1"/>
                <w:spacing w:val="7"/>
                <w:sz w:val="24"/>
                <w:highlight w:val="none"/>
                <w14:textFill>
                  <w14:solidFill>
                    <w14:schemeClr w14:val="tx1"/>
                  </w14:solidFill>
                </w14:textFill>
              </w:rPr>
              <w:t>敏感点</w:t>
            </w:r>
            <w:r>
              <w:rPr>
                <w:rFonts w:hint="default" w:ascii="Times New Roman" w:hAnsi="Times New Roman" w:cs="Times New Roman"/>
                <w:color w:val="000000" w:themeColor="text1"/>
                <w:sz w:val="24"/>
                <w:highlight w:val="none"/>
                <w:lang w:val="en-US" w:eastAsia="zh-CN"/>
                <w14:textFill>
                  <w14:solidFill>
                    <w14:schemeClr w14:val="tx1"/>
                  </w14:solidFill>
                </w14:textFill>
              </w:rPr>
              <w:t>噪声质量预测值可以满足</w:t>
            </w:r>
            <w:r>
              <w:rPr>
                <w:rFonts w:hint="default" w:ascii="Times New Roman" w:hAnsi="Times New Roman" w:cs="Times New Roman"/>
                <w:color w:val="000000" w:themeColor="text1"/>
                <w:spacing w:val="7"/>
                <w:sz w:val="24"/>
                <w:highlight w:val="none"/>
                <w14:textFill>
                  <w14:solidFill>
                    <w14:schemeClr w14:val="tx1"/>
                  </w14:solidFill>
                </w14:textFill>
              </w:rPr>
              <w:t>《声环境质量标准》（GB3096-2008）中2类声环境功能区标准</w:t>
            </w:r>
            <w:r>
              <w:rPr>
                <w:rFonts w:hint="default" w:ascii="Times New Roman" w:hAnsi="Times New Roman" w:cs="Times New Roman"/>
                <w:color w:val="auto"/>
                <w:kern w:val="0"/>
                <w:sz w:val="24"/>
                <w:highlight w:val="none"/>
              </w:rPr>
              <w:t>。</w:t>
            </w:r>
          </w:p>
          <w:p w14:paraId="6276D4BA">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4、噪声污染防治措施</w:t>
            </w:r>
          </w:p>
          <w:p w14:paraId="6A77281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本项目的噪声源来源于生产设备及</w:t>
            </w:r>
            <w:r>
              <w:rPr>
                <w:rFonts w:hint="default" w:ascii="Times New Roman" w:hAnsi="Times New Roman" w:cs="Times New Roman"/>
                <w:color w:val="auto"/>
                <w:kern w:val="0"/>
                <w:sz w:val="24"/>
                <w:highlight w:val="none"/>
              </w:rPr>
              <w:t>风机等</w:t>
            </w:r>
            <w:r>
              <w:rPr>
                <w:rFonts w:hint="default" w:ascii="Times New Roman" w:hAnsi="Times New Roman" w:cs="Times New Roman"/>
                <w:color w:val="auto"/>
                <w:sz w:val="24"/>
                <w:highlight w:val="none"/>
              </w:rPr>
              <w:t>设备运行时产生的噪声，这些噪声源经相应的降噪措施处理后通过建筑物门窗、墙壁的吸收、屏蔽及阻挡作用，将会大幅度地衰减。具体可采取的治理措施如下：</w:t>
            </w:r>
          </w:p>
          <w:p w14:paraId="6C37302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（1）合理布局：项目将高噪声设备尽量布置在厂区中部，通过距离衰减减轻噪声对外环境的影响。</w:t>
            </w:r>
          </w:p>
          <w:p w14:paraId="397A405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（2）选择低噪声设备：项目在满足工艺设计的前提下，尽量选用满足国际标准的低噪声、低振动型号的设备，降低噪声源强。</w:t>
            </w:r>
          </w:p>
          <w:p w14:paraId="54AC8A2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（3）隔声、减震：建设单位根据噪声产生的性质可分为机械运动噪声，根据其产生的性质和机理不同分别采用了隔声、减振等方式进行了降噪处理。通过安装减震垫或者隔声门窗来达到降低噪声的目的。</w:t>
            </w:r>
          </w:p>
          <w:p w14:paraId="223D320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（4）强化生产管理：确保降噪设施的有效运行，并加强对生产设备的保养、检修与润滑，保证设备处于良好的运转状态。</w:t>
            </w:r>
          </w:p>
          <w:p w14:paraId="7A4624A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经上述治理措施后，可满足保护操作工人的身心健康需要，加上围墙隔音及距离衰减，能够做到厂界达标。</w:t>
            </w:r>
          </w:p>
          <w:p w14:paraId="2B0B94A5">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5、运营期噪声监控计划</w:t>
            </w:r>
            <w:r>
              <w:rPr>
                <w:rFonts w:hint="default"/>
              </w:rPr>
              <w:commentReference w:id="36"/>
            </w:r>
          </w:p>
          <w:p w14:paraId="0CD84010">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根据</w:t>
            </w:r>
            <w:r>
              <w:rPr>
                <w:rFonts w:hint="default" w:ascii="Times New Roman" w:hAnsi="Times New Roman" w:cs="Times New Roman"/>
                <w:color w:val="auto"/>
                <w:sz w:val="24"/>
                <w:highlight w:val="none"/>
              </w:rPr>
              <w:t>《排污单位自行监测技术指南 总则》（HJ 819-2017）</w:t>
            </w:r>
            <w:r>
              <w:rPr>
                <w:rFonts w:hint="default" w:ascii="Times New Roman" w:hAnsi="Times New Roman" w:cs="Times New Roman"/>
                <w:color w:val="auto"/>
                <w:kern w:val="0"/>
                <w:sz w:val="24"/>
                <w:highlight w:val="none"/>
                <w:lang w:bidi="ar"/>
              </w:rPr>
              <w:t>、</w:t>
            </w:r>
            <w:r>
              <w:rPr>
                <w:rFonts w:hint="eastAsia" w:cs="Times New Roman"/>
                <w:color w:val="auto"/>
                <w:sz w:val="24"/>
                <w:highlight w:val="none"/>
                <w:lang w:eastAsia="zh-CN"/>
              </w:rPr>
              <w:t>《排污单位自行监测技术指南 涂装》（HJ 1086—2020）</w:t>
            </w:r>
            <w:r>
              <w:rPr>
                <w:rFonts w:hint="default" w:ascii="Times New Roman" w:hAnsi="Times New Roman" w:cs="Times New Roman"/>
                <w:color w:val="auto"/>
                <w:sz w:val="24"/>
                <w:highlight w:val="none"/>
                <w:lang w:eastAsia="zh-CN"/>
              </w:rPr>
              <w:t>、</w:t>
            </w:r>
            <w:r>
              <w:rPr>
                <w:rFonts w:hint="eastAsia" w:cs="Times New Roman"/>
                <w:color w:val="auto"/>
                <w:sz w:val="24"/>
                <w:szCs w:val="24"/>
                <w:highlight w:val="none"/>
                <w:lang w:eastAsia="zh-CN"/>
              </w:rPr>
              <w:t>《排污许可证申请与核发技术规范 铁路、船舶、航空航天和其他运输设备制造业》</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kern w:val="0"/>
                <w:sz w:val="24"/>
                <w:highlight w:val="none"/>
              </w:rPr>
              <w:t>，项目噪声监测计划见下表。</w:t>
            </w:r>
          </w:p>
          <w:p w14:paraId="19CECE5B">
            <w:pPr>
              <w:keepNext w:val="0"/>
              <w:keepLines w:val="0"/>
              <w:widowControl/>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表4-2</w:t>
            </w:r>
            <w:r>
              <w:rPr>
                <w:rFonts w:hint="eastAsia" w:cs="Times New Roman"/>
                <w:b/>
                <w:color w:val="auto"/>
                <w:kern w:val="0"/>
                <w:sz w:val="24"/>
                <w:highlight w:val="none"/>
                <w:lang w:val="en-US" w:eastAsia="zh-CN"/>
              </w:rPr>
              <w:t>8</w:t>
            </w:r>
            <w:r>
              <w:rPr>
                <w:rFonts w:hint="default" w:ascii="Times New Roman" w:hAnsi="Times New Roman" w:cs="Times New Roman"/>
                <w:b/>
                <w:color w:val="auto"/>
                <w:kern w:val="0"/>
                <w:sz w:val="24"/>
                <w:highlight w:val="none"/>
              </w:rPr>
              <w:t xml:space="preserve">  运营期噪声自行监测方案</w:t>
            </w:r>
          </w:p>
          <w:tbl>
            <w:tblPr>
              <w:tblStyle w:val="61"/>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39"/>
              <w:gridCol w:w="1859"/>
              <w:gridCol w:w="696"/>
              <w:gridCol w:w="832"/>
              <w:gridCol w:w="909"/>
              <w:gridCol w:w="3689"/>
            </w:tblGrid>
            <w:tr w14:paraId="132D78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77" w:hRule="atLeast"/>
                <w:jc w:val="center"/>
              </w:trPr>
              <w:tc>
                <w:tcPr>
                  <w:tcW w:w="316" w:type="pct"/>
                  <w:tcBorders>
                    <w:top w:val="single" w:color="auto" w:sz="6" w:space="0"/>
                    <w:left w:val="single" w:color="auto" w:sz="6" w:space="0"/>
                    <w:bottom w:val="single" w:color="auto" w:sz="6" w:space="0"/>
                    <w:right w:val="single" w:color="auto" w:sz="6" w:space="0"/>
                  </w:tcBorders>
                  <w:vAlign w:val="center"/>
                </w:tcPr>
                <w:p w14:paraId="7B59ADBB">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序号</w:t>
                  </w:r>
                </w:p>
              </w:tc>
              <w:tc>
                <w:tcPr>
                  <w:tcW w:w="1090" w:type="pct"/>
                  <w:tcBorders>
                    <w:top w:val="single" w:color="auto" w:sz="6" w:space="0"/>
                    <w:left w:val="single" w:color="auto" w:sz="6" w:space="0"/>
                    <w:bottom w:val="single" w:color="auto" w:sz="6" w:space="0"/>
                    <w:right w:val="single" w:color="auto" w:sz="6" w:space="0"/>
                  </w:tcBorders>
                  <w:vAlign w:val="center"/>
                </w:tcPr>
                <w:p w14:paraId="0D0CDA3E">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监测点位</w:t>
                  </w:r>
                </w:p>
              </w:tc>
              <w:tc>
                <w:tcPr>
                  <w:tcW w:w="408" w:type="pct"/>
                  <w:tcBorders>
                    <w:top w:val="single" w:color="auto" w:sz="6" w:space="0"/>
                    <w:left w:val="single" w:color="auto" w:sz="6" w:space="0"/>
                    <w:bottom w:val="single" w:color="auto" w:sz="6" w:space="0"/>
                    <w:right w:val="single" w:color="auto" w:sz="6" w:space="0"/>
                  </w:tcBorders>
                  <w:vAlign w:val="center"/>
                </w:tcPr>
                <w:p w14:paraId="5C34C1E4">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监测</w:t>
                  </w:r>
                </w:p>
                <w:p w14:paraId="19B964C8">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项目</w:t>
                  </w:r>
                </w:p>
              </w:tc>
              <w:tc>
                <w:tcPr>
                  <w:tcW w:w="488" w:type="pct"/>
                  <w:tcBorders>
                    <w:top w:val="single" w:color="auto" w:sz="6" w:space="0"/>
                    <w:left w:val="single" w:color="auto" w:sz="6" w:space="0"/>
                    <w:bottom w:val="single" w:color="auto" w:sz="6" w:space="0"/>
                    <w:right w:val="single" w:color="auto" w:sz="6" w:space="0"/>
                  </w:tcBorders>
                  <w:vAlign w:val="center"/>
                </w:tcPr>
                <w:p w14:paraId="41ACBDE4">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频率</w:t>
                  </w:r>
                </w:p>
              </w:tc>
              <w:tc>
                <w:tcPr>
                  <w:tcW w:w="533" w:type="pct"/>
                  <w:tcBorders>
                    <w:top w:val="single" w:color="auto" w:sz="6" w:space="0"/>
                    <w:left w:val="single" w:color="auto" w:sz="6" w:space="0"/>
                    <w:bottom w:val="single" w:color="auto" w:sz="4" w:space="0"/>
                    <w:right w:val="single" w:color="auto" w:sz="6" w:space="0"/>
                  </w:tcBorders>
                  <w:vAlign w:val="center"/>
                </w:tcPr>
                <w:p w14:paraId="00E487CE">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实施</w:t>
                  </w:r>
                </w:p>
                <w:p w14:paraId="74604496">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单位</w:t>
                  </w:r>
                </w:p>
              </w:tc>
              <w:tc>
                <w:tcPr>
                  <w:tcW w:w="2162" w:type="pct"/>
                  <w:tcBorders>
                    <w:top w:val="single" w:color="auto" w:sz="6" w:space="0"/>
                    <w:left w:val="single" w:color="auto" w:sz="6" w:space="0"/>
                    <w:bottom w:val="single" w:color="auto" w:sz="4" w:space="0"/>
                    <w:right w:val="single" w:color="auto" w:sz="6" w:space="0"/>
                  </w:tcBorders>
                  <w:vAlign w:val="center"/>
                </w:tcPr>
                <w:p w14:paraId="6474E434">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执行标准（mg/m</w:t>
                  </w:r>
                  <w:r>
                    <w:rPr>
                      <w:rFonts w:hint="default" w:ascii="Times New Roman" w:hAnsi="Times New Roman" w:cs="Times New Roman"/>
                      <w:b/>
                      <w:color w:val="auto"/>
                      <w:szCs w:val="21"/>
                      <w:highlight w:val="none"/>
                      <w:vertAlign w:val="superscript"/>
                    </w:rPr>
                    <w:t>3</w:t>
                  </w:r>
                  <w:r>
                    <w:rPr>
                      <w:rFonts w:hint="default" w:ascii="Times New Roman" w:hAnsi="Times New Roman" w:cs="Times New Roman"/>
                      <w:b/>
                      <w:color w:val="auto"/>
                      <w:szCs w:val="21"/>
                      <w:highlight w:val="none"/>
                    </w:rPr>
                    <w:t>）</w:t>
                  </w:r>
                </w:p>
              </w:tc>
            </w:tr>
            <w:tr w14:paraId="0466DC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5" w:hRule="atLeast"/>
                <w:jc w:val="center"/>
              </w:trPr>
              <w:tc>
                <w:tcPr>
                  <w:tcW w:w="316" w:type="pct"/>
                  <w:tcBorders>
                    <w:top w:val="single" w:color="auto" w:sz="6" w:space="0"/>
                    <w:left w:val="single" w:color="auto" w:sz="6" w:space="0"/>
                    <w:bottom w:val="single" w:color="auto" w:sz="6" w:space="0"/>
                    <w:right w:val="single" w:color="auto" w:sz="6" w:space="0"/>
                  </w:tcBorders>
                  <w:vAlign w:val="center"/>
                </w:tcPr>
                <w:p w14:paraId="11EA0F58">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1</w:t>
                  </w:r>
                </w:p>
              </w:tc>
              <w:tc>
                <w:tcPr>
                  <w:tcW w:w="1090" w:type="pct"/>
                  <w:tcBorders>
                    <w:top w:val="single" w:color="auto" w:sz="6" w:space="0"/>
                    <w:left w:val="single" w:color="auto" w:sz="6" w:space="0"/>
                    <w:bottom w:val="single" w:color="auto" w:sz="6" w:space="0"/>
                    <w:right w:val="single" w:color="auto" w:sz="6" w:space="0"/>
                  </w:tcBorders>
                  <w:vAlign w:val="center"/>
                </w:tcPr>
                <w:p w14:paraId="1EC92F92">
                  <w:pPr>
                    <w:keepNext w:val="0"/>
                    <w:keepLines w:val="0"/>
                    <w:suppressLineNumbers w:val="0"/>
                    <w:snapToGrid w:val="0"/>
                    <w:spacing w:before="0" w:beforeAutospacing="0" w:after="0" w:afterAutospacing="0" w:line="320" w:lineRule="exact"/>
                    <w:ind w:left="0" w:right="0"/>
                    <w:jc w:val="center"/>
                    <w:rPr>
                      <w:rStyle w:val="75"/>
                      <w:rFonts w:hint="default" w:ascii="Times New Roman" w:hAnsi="Times New Roman" w:cs="Times New Roman"/>
                      <w:color w:val="auto"/>
                      <w:highlight w:val="none"/>
                    </w:rPr>
                  </w:pPr>
                  <w:r>
                    <w:rPr>
                      <w:rStyle w:val="75"/>
                      <w:rFonts w:hint="default" w:ascii="Times New Roman" w:hAnsi="Times New Roman" w:cs="Times New Roman"/>
                      <w:color w:val="000000" w:themeColor="text1"/>
                      <w14:textFill>
                        <w14:solidFill>
                          <w14:schemeClr w14:val="tx1"/>
                        </w14:solidFill>
                      </w14:textFill>
                    </w:rPr>
                    <w:t>项目四周，东南西北各一个监测点</w:t>
                  </w:r>
                </w:p>
              </w:tc>
              <w:tc>
                <w:tcPr>
                  <w:tcW w:w="408" w:type="pct"/>
                  <w:tcBorders>
                    <w:top w:val="single" w:color="auto" w:sz="6" w:space="0"/>
                    <w:left w:val="single" w:color="auto" w:sz="6" w:space="0"/>
                    <w:right w:val="single" w:color="auto" w:sz="6" w:space="0"/>
                  </w:tcBorders>
                  <w:vAlign w:val="center"/>
                </w:tcPr>
                <w:p w14:paraId="316BCCCA">
                  <w:pPr>
                    <w:keepNext w:val="0"/>
                    <w:keepLines w:val="0"/>
                    <w:suppressLineNumbers w:val="0"/>
                    <w:adjustRightInd w:val="0"/>
                    <w:snapToGrid w:val="0"/>
                    <w:spacing w:before="0" w:beforeAutospacing="0" w:after="0" w:afterAutospacing="0" w:line="32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噪声</w:t>
                  </w:r>
                </w:p>
              </w:tc>
              <w:tc>
                <w:tcPr>
                  <w:tcW w:w="488" w:type="pct"/>
                  <w:tcBorders>
                    <w:top w:val="single" w:color="auto" w:sz="6" w:space="0"/>
                    <w:left w:val="single" w:color="auto" w:sz="6" w:space="0"/>
                    <w:right w:val="single" w:color="auto" w:sz="6" w:space="0"/>
                  </w:tcBorders>
                  <w:vAlign w:val="center"/>
                </w:tcPr>
                <w:p w14:paraId="67F30189">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每季度1次</w:t>
                  </w:r>
                </w:p>
              </w:tc>
              <w:tc>
                <w:tcPr>
                  <w:tcW w:w="533" w:type="pct"/>
                  <w:tcBorders>
                    <w:top w:val="single" w:color="auto" w:sz="6" w:space="0"/>
                    <w:left w:val="single" w:color="auto" w:sz="6" w:space="0"/>
                    <w:right w:val="single" w:color="auto" w:sz="6" w:space="0"/>
                  </w:tcBorders>
                  <w:vAlign w:val="center"/>
                </w:tcPr>
                <w:p w14:paraId="66E764FA">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有资质的监测单位</w:t>
                  </w:r>
                </w:p>
              </w:tc>
              <w:tc>
                <w:tcPr>
                  <w:tcW w:w="2162" w:type="pct"/>
                  <w:tcBorders>
                    <w:top w:val="single" w:color="auto" w:sz="6" w:space="0"/>
                    <w:left w:val="single" w:color="auto" w:sz="6" w:space="0"/>
                    <w:bottom w:val="single" w:color="auto" w:sz="6" w:space="0"/>
                    <w:right w:val="single" w:color="auto" w:sz="6" w:space="0"/>
                  </w:tcBorders>
                  <w:vAlign w:val="center"/>
                </w:tcPr>
                <w:p w14:paraId="541ADD4C">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《工业企业厂界环境噪声排放标准》（GB12348-2008）</w:t>
                  </w:r>
                  <w:r>
                    <w:rPr>
                      <w:rFonts w:hint="eastAsia" w:cs="Times New Roman"/>
                      <w:bCs/>
                      <w:color w:val="auto"/>
                      <w:szCs w:val="21"/>
                      <w:highlight w:val="none"/>
                      <w:lang w:val="en-US" w:eastAsia="zh-CN"/>
                    </w:rPr>
                    <w:t>3</w:t>
                  </w:r>
                  <w:r>
                    <w:rPr>
                      <w:rFonts w:hint="default" w:ascii="Times New Roman" w:hAnsi="Times New Roman" w:cs="Times New Roman"/>
                      <w:bCs/>
                      <w:color w:val="auto"/>
                      <w:szCs w:val="21"/>
                      <w:highlight w:val="none"/>
                    </w:rPr>
                    <w:t>类标准要求</w:t>
                  </w:r>
                </w:p>
              </w:tc>
            </w:tr>
          </w:tbl>
          <w:p w14:paraId="6D969D8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p>
        </w:tc>
      </w:tr>
      <w:tr w14:paraId="6E72C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6" w:hRule="atLeast"/>
        </w:trPr>
        <w:tc>
          <w:tcPr>
            <w:tcW w:w="452" w:type="dxa"/>
            <w:vMerge w:val="continue"/>
            <w:shd w:val="clear" w:color="auto" w:fill="auto"/>
          </w:tcPr>
          <w:p w14:paraId="5655EF14">
            <w:pPr>
              <w:keepNext w:val="0"/>
              <w:keepLines w:val="0"/>
              <w:suppressLineNumbers w:val="0"/>
              <w:tabs>
                <w:tab w:val="left" w:pos="1077"/>
              </w:tabs>
              <w:spacing w:before="0" w:beforeAutospacing="0" w:after="0" w:afterAutospacing="0"/>
              <w:ind w:left="0" w:right="0"/>
              <w:rPr>
                <w:rFonts w:hint="default" w:ascii="Times New Roman" w:hAnsi="Times New Roman" w:cs="Times New Roman"/>
                <w:color w:val="auto"/>
                <w:sz w:val="24"/>
                <w:highlight w:val="none"/>
              </w:rPr>
            </w:pPr>
          </w:p>
        </w:tc>
        <w:tc>
          <w:tcPr>
            <w:tcW w:w="8609" w:type="dxa"/>
            <w:shd w:val="clear" w:color="auto" w:fill="auto"/>
          </w:tcPr>
          <w:p w14:paraId="04E4EBE8">
            <w:pPr>
              <w:keepNext/>
              <w:keepLines/>
              <w:suppressLineNumbers w:val="0"/>
              <w:spacing w:before="0" w:beforeAutospacing="0" w:after="0" w:afterAutospacing="0" w:line="360" w:lineRule="auto"/>
              <w:ind w:left="0" w:right="0" w:firstLine="472" w:firstLineChars="196"/>
              <w:outlineLvl w:val="2"/>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四、固体废物环境影响和保护措施</w:t>
            </w:r>
          </w:p>
          <w:p w14:paraId="7BA13AFA">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1、固体废物产生情况</w:t>
            </w:r>
            <w:r>
              <w:rPr>
                <w:rFonts w:hint="default"/>
              </w:rPr>
              <w:commentReference w:id="37"/>
            </w:r>
          </w:p>
          <w:p w14:paraId="4B2732A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szCs w:val="20"/>
                <w:highlight w:val="none"/>
              </w:rPr>
            </w:pPr>
            <w:r>
              <w:rPr>
                <w:rFonts w:hint="default" w:ascii="Times New Roman" w:hAnsi="Times New Roman" w:cs="Times New Roman"/>
                <w:color w:val="auto"/>
                <w:kern w:val="0"/>
                <w:sz w:val="24"/>
                <w:szCs w:val="20"/>
                <w:highlight w:val="none"/>
              </w:rPr>
              <w:t>项目固体废物主要分为：一般工业固体废物、危险废物和生活垃圾。</w:t>
            </w:r>
          </w:p>
          <w:p w14:paraId="585B39D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szCs w:val="20"/>
                <w:highlight w:val="none"/>
              </w:rPr>
            </w:pPr>
            <w:r>
              <w:rPr>
                <w:rFonts w:hint="default" w:ascii="Times New Roman" w:hAnsi="Times New Roman" w:cs="Times New Roman"/>
                <w:color w:val="auto"/>
                <w:kern w:val="0"/>
                <w:sz w:val="24"/>
                <w:szCs w:val="20"/>
                <w:highlight w:val="none"/>
              </w:rPr>
              <w:t>（1）一般工业固废</w:t>
            </w:r>
          </w:p>
          <w:p w14:paraId="3F4D2E39">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①除尘装置收集的粉尘</w:t>
            </w:r>
          </w:p>
          <w:p w14:paraId="0EF312E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根据前述工程分析，除尘装置</w:t>
            </w:r>
            <w:r>
              <w:rPr>
                <w:rFonts w:hint="default" w:ascii="Times New Roman" w:hAnsi="Times New Roman" w:eastAsia="宋体" w:cs="Times New Roman"/>
                <w:color w:val="000000" w:themeColor="text1"/>
                <w:sz w:val="24"/>
                <w14:textFill>
                  <w14:solidFill>
                    <w14:schemeClr w14:val="tx1"/>
                  </w14:solidFill>
                </w14:textFill>
              </w:rPr>
              <w:t>收集的</w:t>
            </w:r>
            <w:r>
              <w:rPr>
                <w:rFonts w:hint="eastAsia" w:ascii="Times New Roman" w:hAnsi="Times New Roman" w:eastAsia="宋体" w:cs="Times New Roman"/>
                <w:color w:val="000000" w:themeColor="text1"/>
                <w:sz w:val="24"/>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打磨</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喷砂</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抛丸</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抛光</w:t>
            </w:r>
            <w:r>
              <w:rPr>
                <w:rFonts w:hint="default" w:ascii="Times New Roman" w:hAnsi="Times New Roman" w:eastAsia="宋体" w:cs="Times New Roman"/>
                <w:color w:val="000000" w:themeColor="text1"/>
                <w:sz w:val="24"/>
                <w14:textFill>
                  <w14:solidFill>
                    <w14:schemeClr w14:val="tx1"/>
                  </w14:solidFill>
                </w14:textFill>
              </w:rPr>
              <w:t>粉尘收集量为</w:t>
            </w:r>
            <w:r>
              <w:rPr>
                <w:rFonts w:hint="eastAsia" w:ascii="Times New Roman" w:hAnsi="Times New Roman" w:eastAsia="宋体" w:cs="Times New Roman"/>
                <w:color w:val="000000" w:themeColor="text1"/>
                <w:sz w:val="24"/>
                <w:lang w:val="en-US" w:eastAsia="zh-CN"/>
                <w14:textFill>
                  <w14:solidFill>
                    <w14:schemeClr w14:val="tx1"/>
                  </w14:solidFill>
                </w14:textFill>
              </w:rPr>
              <w:t>2.771</w:t>
            </w:r>
            <w:r>
              <w:rPr>
                <w:rFonts w:hint="default" w:ascii="Times New Roman" w:hAnsi="Times New Roman" w:eastAsia="宋体"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14:textFill>
                  <w14:solidFill>
                    <w14:schemeClr w14:val="tx1"/>
                  </w14:solidFill>
                </w14:textFill>
              </w:rPr>
              <w:t>根据《固体废物分类与代码目录》（公</w:t>
            </w:r>
            <w:r>
              <w:rPr>
                <w:rFonts w:hint="default" w:ascii="Times New Roman" w:hAnsi="Times New Roman" w:cs="Times New Roman"/>
                <w:color w:val="000000" w:themeColor="text1"/>
                <w:kern w:val="0"/>
                <w:sz w:val="24"/>
                <w14:textFill>
                  <w14:solidFill>
                    <w14:schemeClr w14:val="tx1"/>
                  </w14:solidFill>
                </w14:textFill>
              </w:rPr>
              <w:t>告2024年第4号）（废物类别为SW59—其他工业固体废物，废物代码为900-0</w:t>
            </w:r>
            <w:r>
              <w:rPr>
                <w:rFonts w:hint="default" w:ascii="Times New Roman" w:hAnsi="Times New Roman" w:cs="Times New Roman"/>
                <w:color w:val="000000" w:themeColor="text1"/>
                <w:sz w:val="24"/>
                <w14:textFill>
                  <w14:solidFill>
                    <w14:schemeClr w14:val="tx1"/>
                  </w14:solidFill>
                </w14:textFill>
              </w:rPr>
              <w:t>99-S59），收集后外售；</w:t>
            </w:r>
          </w:p>
          <w:p w14:paraId="1E290BB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喷粉粉尘收集量约为</w:t>
            </w:r>
            <w:r>
              <w:rPr>
                <w:rFonts w:hint="eastAsia" w:ascii="Times New Roman" w:hAnsi="Times New Roman" w:cs="Times New Roman"/>
                <w:color w:val="000000" w:themeColor="text1"/>
                <w:sz w:val="24"/>
                <w:lang w:val="en-US" w:eastAsia="zh-CN"/>
                <w14:textFill>
                  <w14:solidFill>
                    <w14:schemeClr w14:val="tx1"/>
                  </w14:solidFill>
                </w14:textFill>
              </w:rPr>
              <w:t>51.118</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kern w:val="0"/>
                <w:sz w:val="24"/>
                <w14:textFill>
                  <w14:solidFill>
                    <w14:schemeClr w14:val="tx1"/>
                  </w14:solidFill>
                </w14:textFill>
              </w:rPr>
              <w:t>废物类别为SW17—可再生类废物，废物代码为900-0</w:t>
            </w:r>
            <w:r>
              <w:rPr>
                <w:rFonts w:hint="default" w:ascii="Times New Roman" w:hAnsi="Times New Roman" w:cs="Times New Roman"/>
                <w:color w:val="000000" w:themeColor="text1"/>
                <w:sz w:val="24"/>
                <w14:textFill>
                  <w14:solidFill>
                    <w14:schemeClr w14:val="tx1"/>
                  </w14:solidFill>
                </w14:textFill>
              </w:rPr>
              <w:t>99-S17，收集后回用于生产。</w:t>
            </w:r>
          </w:p>
          <w:p w14:paraId="27B38FF3">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②废包装材料</w:t>
            </w:r>
          </w:p>
          <w:p w14:paraId="2EA62BA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建设单位提供的资料以及同类项目类比分析可知，在生产运行中会产生废包装材料，年产生量约为0.05t/a，根据《固体废物分类与代码目录》（公告2024年第4号）（废物类别为SW17—可再生类废物，废物代码为900-005-S17），此类固废主要为纸质包装箱、塑料薄膜和编织袋，</w:t>
            </w:r>
            <w:r>
              <w:rPr>
                <w:rFonts w:hint="default" w:ascii="Times New Roman" w:hAnsi="Times New Roman" w:cs="Times New Roman"/>
                <w:color w:val="000000" w:themeColor="text1"/>
                <w:kern w:val="0"/>
                <w:sz w:val="24"/>
                <w14:textFill>
                  <w14:solidFill>
                    <w14:schemeClr w14:val="tx1"/>
                  </w14:solidFill>
                </w14:textFill>
              </w:rPr>
              <w:t>收集后外售</w:t>
            </w:r>
            <w:r>
              <w:rPr>
                <w:rFonts w:hint="default" w:ascii="Times New Roman" w:hAnsi="Times New Roman" w:cs="Times New Roman"/>
                <w:color w:val="000000" w:themeColor="text1"/>
                <w:sz w:val="24"/>
                <w14:textFill>
                  <w14:solidFill>
                    <w14:schemeClr w14:val="tx1"/>
                  </w14:solidFill>
                </w14:textFill>
              </w:rPr>
              <w:t>。</w:t>
            </w:r>
          </w:p>
          <w:p w14:paraId="37E57F5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③废布袋、滤筒</w:t>
            </w:r>
          </w:p>
          <w:p w14:paraId="7A53B02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项目粉尘</w:t>
            </w:r>
            <w:r>
              <w:rPr>
                <w:rFonts w:hint="default" w:ascii="Times New Roman" w:hAnsi="Times New Roman" w:cs="Times New Roman"/>
                <w:color w:val="000000" w:themeColor="text1"/>
                <w:sz w:val="24"/>
                <w14:textFill>
                  <w14:solidFill>
                    <w14:schemeClr w14:val="tx1"/>
                  </w14:solidFill>
                </w14:textFill>
              </w:rPr>
              <w:t>治理设施会产生废布袋、滤筒，</w:t>
            </w: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建设单位提供的资料以及同类项目类比分析可知，废布袋、滤筒</w:t>
            </w:r>
            <w:r>
              <w:rPr>
                <w:rFonts w:hint="default" w:ascii="Times New Roman" w:hAnsi="Times New Roman" w:cs="Times New Roman"/>
                <w:color w:val="000000" w:themeColor="text1"/>
                <w:kern w:val="0"/>
                <w:sz w:val="24"/>
                <w:szCs w:val="20"/>
                <w14:textFill>
                  <w14:solidFill>
                    <w14:schemeClr w14:val="tx1"/>
                  </w14:solidFill>
                </w14:textFill>
              </w:rPr>
              <w:t>产生量约为0.2t/a，</w:t>
            </w:r>
            <w:r>
              <w:rPr>
                <w:rFonts w:hint="default" w:ascii="Times New Roman" w:hAnsi="Times New Roman" w:cs="Times New Roman"/>
                <w:color w:val="000000" w:themeColor="text1"/>
                <w:sz w:val="24"/>
                <w14:textFill>
                  <w14:solidFill>
                    <w14:schemeClr w14:val="tx1"/>
                  </w14:solidFill>
                </w14:textFill>
              </w:rPr>
              <w:t>根据《固体废物分类与代码目录》（公</w:t>
            </w:r>
            <w:r>
              <w:rPr>
                <w:rFonts w:hint="default" w:ascii="Times New Roman" w:hAnsi="Times New Roman" w:cs="Times New Roman"/>
                <w:color w:val="000000" w:themeColor="text1"/>
                <w:kern w:val="0"/>
                <w:sz w:val="24"/>
                <w14:textFill>
                  <w14:solidFill>
                    <w14:schemeClr w14:val="tx1"/>
                  </w14:solidFill>
                </w14:textFill>
              </w:rPr>
              <w:t>告2024年第4号）（废物类别为SW59—其他工业固体废物，废物代码为900-0</w:t>
            </w:r>
            <w:r>
              <w:rPr>
                <w:rFonts w:hint="default" w:ascii="Times New Roman" w:hAnsi="Times New Roman" w:cs="Times New Roman"/>
                <w:color w:val="000000" w:themeColor="text1"/>
                <w:sz w:val="24"/>
                <w14:textFill>
                  <w14:solidFill>
                    <w14:schemeClr w14:val="tx1"/>
                  </w14:solidFill>
                </w14:textFill>
              </w:rPr>
              <w:t>09-S59）。收集后外售。</w:t>
            </w:r>
          </w:p>
          <w:p w14:paraId="7799D02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w:t>
            </w:r>
            <w:r>
              <w:rPr>
                <w:rFonts w:hint="default" w:ascii="Times New Roman" w:hAnsi="Times New Roman" w:cs="Times New Roman"/>
                <w:color w:val="000000" w:themeColor="text1"/>
                <w:sz w:val="24"/>
                <w14:textFill>
                  <w14:solidFill>
                    <w14:schemeClr w14:val="tx1"/>
                  </w14:solidFill>
                </w14:textFill>
              </w:rPr>
              <w:t>废金属屑及边角料</w:t>
            </w:r>
          </w:p>
          <w:p w14:paraId="62D3A8C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w:t>
            </w:r>
            <w:r>
              <w:rPr>
                <w:rFonts w:hint="eastAsia" w:ascii="Times New Roman" w:hAnsi="Times New Roman" w:cs="Times New Roman"/>
                <w:color w:val="000000" w:themeColor="text1"/>
                <w:kern w:val="0"/>
                <w:sz w:val="24"/>
                <w:lang w:val="en-US" w:eastAsia="zh-CN"/>
                <w14:textFill>
                  <w14:solidFill>
                    <w14:schemeClr w14:val="tx1"/>
                  </w14:solidFill>
                </w14:textFill>
              </w:rPr>
              <w:t>铝材</w:t>
            </w:r>
            <w:r>
              <w:rPr>
                <w:rFonts w:hint="default" w:ascii="Times New Roman" w:hAnsi="Times New Roman" w:cs="Times New Roman"/>
                <w:color w:val="000000" w:themeColor="text1"/>
                <w:kern w:val="0"/>
                <w:sz w:val="24"/>
                <w14:textFill>
                  <w14:solidFill>
                    <w14:schemeClr w14:val="tx1"/>
                  </w14:solidFill>
                </w14:textFill>
              </w:rPr>
              <w:t>年用量为</w:t>
            </w:r>
            <w:r>
              <w:rPr>
                <w:rFonts w:hint="eastAsia" w:ascii="Times New Roman" w:hAnsi="Times New Roman" w:cs="Times New Roman"/>
                <w:color w:val="000000" w:themeColor="text1"/>
                <w:kern w:val="0"/>
                <w:sz w:val="24"/>
                <w:lang w:val="en-US" w:eastAsia="zh-CN"/>
                <w14:textFill>
                  <w14:solidFill>
                    <w14:schemeClr w14:val="tx1"/>
                  </w14:solidFill>
                </w14:textFill>
              </w:rPr>
              <w:t>800</w:t>
            </w:r>
            <w:r>
              <w:rPr>
                <w:rFonts w:hint="default" w:ascii="Times New Roman" w:hAnsi="Times New Roman" w:cs="Times New Roman"/>
                <w:color w:val="000000" w:themeColor="text1"/>
                <w:kern w:val="0"/>
                <w:sz w:val="24"/>
                <w14:textFill>
                  <w14:solidFill>
                    <w14:schemeClr w14:val="tx1"/>
                  </w14:solidFill>
                </w14:textFill>
              </w:rPr>
              <w:t>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钢材年用量为500t，不锈钢年用量为100t，钛合金年用量为20t</w:t>
            </w:r>
            <w:r>
              <w:rPr>
                <w:rFonts w:hint="default" w:ascii="Times New Roman" w:hAnsi="Times New Roman" w:cs="Times New Roman" w:eastAsiaTheme="minorEastAsia"/>
                <w:bCs/>
                <w:color w:val="000000" w:themeColor="text1"/>
                <w:sz w:val="24"/>
                <w:szCs w:val="21"/>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在机加工过程中废金属边角料产生率约0.1%，则废钢材产生量为0.</w:t>
            </w:r>
            <w:r>
              <w:rPr>
                <w:rFonts w:hint="eastAsia" w:ascii="Times New Roman" w:hAnsi="Times New Roman" w:cs="Times New Roman"/>
                <w:color w:val="000000" w:themeColor="text1"/>
                <w:sz w:val="24"/>
                <w:lang w:val="en-US" w:eastAsia="zh-CN"/>
                <w14:textFill>
                  <w14:solidFill>
                    <w14:schemeClr w14:val="tx1"/>
                  </w14:solidFill>
                </w14:textFill>
              </w:rPr>
              <w:t>62</w:t>
            </w:r>
            <w:r>
              <w:rPr>
                <w:rFonts w:hint="default" w:ascii="Times New Roman" w:hAnsi="Times New Roman" w:cs="Times New Roman"/>
                <w:color w:val="000000" w:themeColor="text1"/>
                <w:sz w:val="24"/>
                <w14:textFill>
                  <w14:solidFill>
                    <w14:schemeClr w14:val="tx1"/>
                  </w14:solidFill>
                </w14:textFill>
              </w:rPr>
              <w:t>t/a，废铝材产生量为0.</w:t>
            </w:r>
            <w:r>
              <w:rPr>
                <w:rFonts w:hint="eastAsia" w:ascii="Times New Roman" w:hAnsi="Times New Roman"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 xml:space="preserve">t/a。根据《固体废物分类与代码目录》（公告2024年第4号）（废钢材废物类别为SW17—可再生类废物，废物代码为900-001-S17；废铝材废物类别为SW17—可再生类废物，废物代码为900-002-S17），收集后外售。  </w:t>
            </w:r>
          </w:p>
          <w:p w14:paraId="6CFFE70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⑤含油金属屑</w:t>
            </w:r>
          </w:p>
          <w:p w14:paraId="304F3C4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本项目切割、机加工过程中会产生沾有废切削液的含油金属屑。根据建设单位提供的资料，含油金属屑产生量约为废金属屑及边角料的1%，经计算其产生量为0.01</w:t>
            </w:r>
            <w:r>
              <w:rPr>
                <w:rFonts w:hint="eastAsia"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国家危险废物名录》（2025年版）附录《危险废物豁免管理清单》，9金属制品机械加工行业珩磨、研磨、打磨过程，以及使用切削油或切削液进行机械加工过程中产生的属于危险废物的含油金属屑（废物代码900-200-08、900-006-09），在满足“经压榨、压滤、过滤除油达到静置无滴漏后打包压块用于金属冶炼”条件下，利用过程不按危险废物管理，可作为一般固废处理，暂存于一般固废库，收集后外售。</w:t>
            </w:r>
          </w:p>
          <w:p w14:paraId="6AC955D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根据《固体废物分类与代码目录》（公告2024年第4号）（废物类别为SW17—可再生类废物，废物代码为900-099-S17），</w:t>
            </w:r>
            <w:r>
              <w:rPr>
                <w:rFonts w:hint="default" w:ascii="Times New Roman" w:hAnsi="Times New Roman" w:cs="Times New Roman"/>
                <w:color w:val="000000" w:themeColor="text1"/>
                <w:kern w:val="0"/>
                <w:sz w:val="24"/>
                <w14:textFill>
                  <w14:solidFill>
                    <w14:schemeClr w14:val="tx1"/>
                  </w14:solidFill>
                </w14:textFill>
              </w:rPr>
              <w:t>收集后外售。</w:t>
            </w:r>
          </w:p>
          <w:p w14:paraId="4D5A9169">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⑥水性漆渣</w:t>
            </w:r>
          </w:p>
          <w:p w14:paraId="26893AB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项目水性漆喷漆过程未被收集部分漆雾掉落地面形成漆渣，根据前述物料平衡可知，漆渣产生量为</w:t>
            </w:r>
            <w:r>
              <w:rPr>
                <w:rFonts w:hint="eastAsia" w:ascii="Times New Roman" w:hAnsi="Times New Roman" w:cs="Times New Roman"/>
                <w:color w:val="000000" w:themeColor="text1"/>
                <w:sz w:val="24"/>
                <w:lang w:val="en-US" w:eastAsia="zh-CN"/>
                <w14:textFill>
                  <w14:solidFill>
                    <w14:schemeClr w14:val="tx1"/>
                  </w14:solidFill>
                </w14:textFill>
              </w:rPr>
              <w:t>1.5019</w:t>
            </w:r>
            <w:r>
              <w:rPr>
                <w:rFonts w:hint="default" w:ascii="Times New Roman" w:hAnsi="Times New Roman" w:cs="Times New Roman"/>
                <w:color w:val="000000" w:themeColor="text1"/>
                <w:sz w:val="24"/>
                <w14:textFill>
                  <w14:solidFill>
                    <w14:schemeClr w14:val="tx1"/>
                  </w14:solidFill>
                </w14:textFill>
              </w:rPr>
              <w:t>t/a。因本项目所使用的底漆为水性漆，故产生的漆渣按一般固废处理。根据《固体废物分类与代码目录》（公告2024年第4号）（废物类别为SW59—其他工业固体废物，废物代码为900-099-S59），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14:textFill>
                  <w14:solidFill>
                    <w14:schemeClr w14:val="tx1"/>
                  </w14:solidFill>
                </w14:textFill>
              </w:rPr>
              <w:t>收集后外售。</w:t>
            </w:r>
          </w:p>
          <w:p w14:paraId="799F5D7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⑦</w:t>
            </w:r>
            <w:r>
              <w:rPr>
                <w:rFonts w:hint="default" w:ascii="Times New Roman" w:hAnsi="Times New Roman" w:cs="Times New Roman"/>
                <w:color w:val="000000" w:themeColor="text1"/>
                <w:kern w:val="0"/>
                <w:sz w:val="24"/>
                <w:szCs w:val="20"/>
                <w14:textFill>
                  <w14:solidFill>
                    <w14:schemeClr w14:val="tx1"/>
                  </w14:solidFill>
                </w14:textFill>
              </w:rPr>
              <w:t>不合格品</w:t>
            </w:r>
          </w:p>
          <w:p w14:paraId="71D0B0C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项目生产过程中会产生不合格品，根据业主提供的资料以及同类项目类比分析，不合格品产生量约为原料用量的</w:t>
            </w:r>
            <w:r>
              <w:rPr>
                <w:rFonts w:hint="eastAsia" w:ascii="Times New Roman" w:hAnsi="Times New Roman" w:cs="Times New Roman"/>
                <w:color w:val="000000" w:themeColor="text1"/>
                <w:sz w:val="24"/>
                <w:lang w:val="en-US" w:eastAsia="zh-CN"/>
                <w14:textFill>
                  <w14:solidFill>
                    <w14:schemeClr w14:val="tx1"/>
                  </w14:solidFill>
                </w14:textFill>
              </w:rPr>
              <w:t>0.1</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铝材</w:t>
            </w:r>
            <w:r>
              <w:rPr>
                <w:rFonts w:hint="default" w:ascii="Times New Roman" w:hAnsi="Times New Roman" w:cs="Times New Roman"/>
                <w:color w:val="000000" w:themeColor="text1"/>
                <w:kern w:val="0"/>
                <w:sz w:val="24"/>
                <w14:textFill>
                  <w14:solidFill>
                    <w14:schemeClr w14:val="tx1"/>
                  </w14:solidFill>
                </w14:textFill>
              </w:rPr>
              <w:t>年用量为</w:t>
            </w:r>
            <w:r>
              <w:rPr>
                <w:rFonts w:hint="eastAsia" w:ascii="Times New Roman" w:hAnsi="Times New Roman" w:cs="Times New Roman"/>
                <w:color w:val="000000" w:themeColor="text1"/>
                <w:kern w:val="0"/>
                <w:sz w:val="24"/>
                <w:lang w:val="en-US" w:eastAsia="zh-CN"/>
                <w14:textFill>
                  <w14:solidFill>
                    <w14:schemeClr w14:val="tx1"/>
                  </w14:solidFill>
                </w14:textFill>
              </w:rPr>
              <w:t>800</w:t>
            </w:r>
            <w:r>
              <w:rPr>
                <w:rFonts w:hint="default" w:ascii="Times New Roman" w:hAnsi="Times New Roman" w:cs="Times New Roman"/>
                <w:color w:val="000000" w:themeColor="text1"/>
                <w:kern w:val="0"/>
                <w:sz w:val="24"/>
                <w14:textFill>
                  <w14:solidFill>
                    <w14:schemeClr w14:val="tx1"/>
                  </w14:solidFill>
                </w14:textFill>
              </w:rPr>
              <w:t>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钢材年用量为500t，不锈钢年用量为100t，钛合金年用量为20t</w:t>
            </w:r>
            <w:r>
              <w:rPr>
                <w:rFonts w:hint="default" w:ascii="Times New Roman" w:hAnsi="Times New Roman" w:cs="Times New Roman"/>
                <w:color w:val="000000" w:themeColor="text1"/>
                <w:sz w:val="24"/>
                <w14:textFill>
                  <w14:solidFill>
                    <w14:schemeClr w14:val="tx1"/>
                  </w14:solidFill>
                </w14:textFill>
              </w:rPr>
              <w:t>，则不合格品产生量约</w:t>
            </w:r>
            <w:r>
              <w:rPr>
                <w:rFonts w:hint="eastAsia" w:ascii="Times New Roman" w:hAnsi="Times New Roman" w:cs="Times New Roman"/>
                <w:color w:val="000000" w:themeColor="text1"/>
                <w:sz w:val="24"/>
                <w:lang w:val="en-US" w:eastAsia="zh-CN"/>
                <w14:textFill>
                  <w14:solidFill>
                    <w14:schemeClr w14:val="tx1"/>
                  </w14:solidFill>
                </w14:textFill>
              </w:rPr>
              <w:t>1.42</w:t>
            </w:r>
            <w:r>
              <w:rPr>
                <w:rFonts w:hint="default" w:ascii="Times New Roman" w:hAnsi="Times New Roman" w:cs="Times New Roman"/>
                <w:color w:val="000000" w:themeColor="text1"/>
                <w:sz w:val="24"/>
                <w14:textFill>
                  <w14:solidFill>
                    <w14:schemeClr w14:val="tx1"/>
                  </w14:solidFill>
                </w14:textFill>
              </w:rPr>
              <w:t>t/a，收集后外售。根据《固体废物分类与代码目录》（公告2024年第4号）（废物类别为SW59—其他工业固体废物，废物代码为900-099-S59），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14:textFill>
                  <w14:solidFill>
                    <w14:schemeClr w14:val="tx1"/>
                  </w14:solidFill>
                </w14:textFill>
              </w:rPr>
              <w:t>收集后外售。</w:t>
            </w:r>
          </w:p>
          <w:p w14:paraId="4A101B0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⑧</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废</w:t>
            </w:r>
            <w:r>
              <w:rPr>
                <w:rFonts w:hint="default" w:ascii="Times New Roman" w:hAnsi="Times New Roman" w:cs="Times New Roman"/>
                <w:color w:val="000000" w:themeColor="text1"/>
                <w:kern w:val="0"/>
                <w:sz w:val="24"/>
                <w:szCs w:val="24"/>
                <w:lang w:val="en-US" w:eastAsia="zh-CN"/>
                <w14:textFill>
                  <w14:solidFill>
                    <w14:schemeClr w14:val="tx1"/>
                  </w14:solidFill>
                </w14:textFill>
              </w:rPr>
              <w:t>钢丸</w:t>
            </w:r>
          </w:p>
          <w:p w14:paraId="2530E416">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项目</w:t>
            </w:r>
            <w:r>
              <w:rPr>
                <w:rFonts w:hint="default" w:ascii="Times New Roman" w:hAnsi="Times New Roman" w:cs="Times New Roman"/>
                <w:color w:val="000000" w:themeColor="text1"/>
                <w:kern w:val="0"/>
                <w:sz w:val="24"/>
                <w:szCs w:val="24"/>
                <w:lang w:val="en-US" w:eastAsia="zh-CN"/>
                <w14:textFill>
                  <w14:solidFill>
                    <w14:schemeClr w14:val="tx1"/>
                  </w14:solidFill>
                </w14:textFill>
              </w:rPr>
              <w:t>抛丸</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工序会产生废</w:t>
            </w:r>
            <w:r>
              <w:rPr>
                <w:rFonts w:hint="default" w:ascii="Times New Roman" w:hAnsi="Times New Roman" w:cs="Times New Roman"/>
                <w:color w:val="000000" w:themeColor="text1"/>
                <w:kern w:val="0"/>
                <w:sz w:val="24"/>
                <w:szCs w:val="24"/>
                <w:lang w:val="en-US" w:eastAsia="zh-CN"/>
                <w14:textFill>
                  <w14:solidFill>
                    <w14:schemeClr w14:val="tx1"/>
                  </w14:solidFill>
                </w14:textFill>
              </w:rPr>
              <w:t>钢丸</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w:t>
            </w: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lang w:eastAsia="zh-CN"/>
                <w14:textFill>
                  <w14:solidFill>
                    <w14:schemeClr w14:val="tx1"/>
                  </w14:solidFill>
                </w14:textFill>
              </w:rPr>
              <w:t>建设单位</w:t>
            </w:r>
            <w:r>
              <w:rPr>
                <w:rFonts w:hint="default" w:ascii="Times New Roman" w:hAnsi="Times New Roman" w:cs="Times New Roman"/>
                <w:color w:val="000000" w:themeColor="text1"/>
                <w:sz w:val="24"/>
                <w14:textFill>
                  <w14:solidFill>
                    <w14:schemeClr w14:val="tx1"/>
                  </w14:solidFill>
                </w14:textFill>
              </w:rPr>
              <w:t>提供的资料以及同类项</w:t>
            </w:r>
            <w:r>
              <w:rPr>
                <w:rFonts w:hint="default" w:ascii="Times New Roman" w:hAnsi="Times New Roman" w:eastAsia="宋体" w:cs="Times New Roman"/>
                <w:color w:val="000000" w:themeColor="text1"/>
                <w:sz w:val="24"/>
                <w14:textFill>
                  <w14:solidFill>
                    <w14:schemeClr w14:val="tx1"/>
                  </w14:solidFill>
                </w14:textFill>
              </w:rPr>
              <w:t>目类比分析</w:t>
            </w:r>
            <w:r>
              <w:rPr>
                <w:rFonts w:hint="default" w:ascii="Times New Roman" w:hAnsi="Times New Roman" w:eastAsia="宋体" w:cs="Times New Roman"/>
                <w:color w:val="000000" w:themeColor="text1"/>
                <w:sz w:val="24"/>
                <w:lang w:eastAsia="zh-CN"/>
                <w14:textFill>
                  <w14:solidFill>
                    <w14:schemeClr w14:val="tx1"/>
                  </w14:solidFill>
                </w14:textFill>
              </w:rPr>
              <w:t>可知，</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产生量约0.01t/a。</w:t>
            </w:r>
            <w:r>
              <w:rPr>
                <w:rFonts w:hint="default" w:ascii="Times New Roman" w:hAnsi="Times New Roman" w:eastAsia="宋体" w:cs="Times New Roman"/>
                <w:color w:val="000000" w:themeColor="text1"/>
                <w:sz w:val="24"/>
                <w:szCs w:val="24"/>
                <w14:textFill>
                  <w14:solidFill>
                    <w14:schemeClr w14:val="tx1"/>
                  </w14:solidFill>
                </w14:textFill>
              </w:rPr>
              <w:t>根据《固体废物分类与代码</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目录</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公</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告2024年第4号）（废物类别为SW59—其他工业固体废物，废物代码为900-099-S59）。收集后外售。</w:t>
            </w:r>
          </w:p>
          <w:p w14:paraId="340C23C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⑨</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废钢</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砂</w:t>
            </w:r>
          </w:p>
          <w:p w14:paraId="1FF150A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项目</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喷砂</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工序会产生废钢</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砂</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w:t>
            </w: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lang w:eastAsia="zh-CN"/>
                <w14:textFill>
                  <w14:solidFill>
                    <w14:schemeClr w14:val="tx1"/>
                  </w14:solidFill>
                </w14:textFill>
              </w:rPr>
              <w:t>建设单位</w:t>
            </w:r>
            <w:r>
              <w:rPr>
                <w:rFonts w:hint="default" w:ascii="Times New Roman" w:hAnsi="Times New Roman" w:cs="Times New Roman"/>
                <w:color w:val="000000" w:themeColor="text1"/>
                <w:sz w:val="24"/>
                <w14:textFill>
                  <w14:solidFill>
                    <w14:schemeClr w14:val="tx1"/>
                  </w14:solidFill>
                </w14:textFill>
              </w:rPr>
              <w:t>提供的资料以及同类项</w:t>
            </w:r>
            <w:r>
              <w:rPr>
                <w:rFonts w:hint="default" w:ascii="Times New Roman" w:hAnsi="Times New Roman" w:eastAsia="宋体" w:cs="Times New Roman"/>
                <w:color w:val="000000" w:themeColor="text1"/>
                <w:sz w:val="24"/>
                <w14:textFill>
                  <w14:solidFill>
                    <w14:schemeClr w14:val="tx1"/>
                  </w14:solidFill>
                </w14:textFill>
              </w:rPr>
              <w:t>目类比分析</w:t>
            </w:r>
            <w:r>
              <w:rPr>
                <w:rFonts w:hint="default" w:ascii="Times New Roman" w:hAnsi="Times New Roman" w:eastAsia="宋体" w:cs="Times New Roman"/>
                <w:color w:val="000000" w:themeColor="text1"/>
                <w:sz w:val="24"/>
                <w:lang w:eastAsia="zh-CN"/>
                <w14:textFill>
                  <w14:solidFill>
                    <w14:schemeClr w14:val="tx1"/>
                  </w14:solidFill>
                </w14:textFill>
              </w:rPr>
              <w:t>可知，</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产生量约0.01t/a。</w:t>
            </w:r>
            <w:r>
              <w:rPr>
                <w:rFonts w:hint="default" w:ascii="Times New Roman" w:hAnsi="Times New Roman" w:eastAsia="宋体" w:cs="Times New Roman"/>
                <w:color w:val="000000" w:themeColor="text1"/>
                <w:sz w:val="24"/>
                <w:szCs w:val="24"/>
                <w14:textFill>
                  <w14:solidFill>
                    <w14:schemeClr w14:val="tx1"/>
                  </w14:solidFill>
                </w14:textFill>
              </w:rPr>
              <w:t>根据《固体废物分类与代码</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目录</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公</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告2024年第4号）（废物类别为SW59—其他工业固体废物，废物代码为900-099-S59）。收集后外售。</w:t>
            </w:r>
          </w:p>
          <w:p w14:paraId="07450EF2">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⑩</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废</w:t>
            </w:r>
            <w:r>
              <w:rPr>
                <w:rFonts w:hint="eastAsia" w:ascii="Times New Roman" w:hAnsi="Times New Roman" w:cs="Times New Roman"/>
                <w:color w:val="000000" w:themeColor="text1"/>
                <w:kern w:val="0"/>
                <w:sz w:val="24"/>
                <w:szCs w:val="24"/>
                <w:lang w:val="en-US" w:eastAsia="zh-CN"/>
                <w14:textFill>
                  <w14:solidFill>
                    <w14:schemeClr w14:val="tx1"/>
                  </w14:solidFill>
                </w14:textFill>
              </w:rPr>
              <w:t>砂带</w:t>
            </w:r>
          </w:p>
          <w:p w14:paraId="2678F61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项目</w:t>
            </w:r>
            <w:r>
              <w:rPr>
                <w:rFonts w:hint="eastAsia" w:ascii="Times New Roman" w:hAnsi="Times New Roman" w:cs="Times New Roman"/>
                <w:color w:val="000000" w:themeColor="text1"/>
                <w:kern w:val="0"/>
                <w:sz w:val="24"/>
                <w:szCs w:val="24"/>
                <w:lang w:val="en-US" w:eastAsia="zh-CN"/>
                <w14:textFill>
                  <w14:solidFill>
                    <w14:schemeClr w14:val="tx1"/>
                  </w14:solidFill>
                </w14:textFill>
              </w:rPr>
              <w:t>抛光</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工序会产生废</w:t>
            </w:r>
            <w:r>
              <w:rPr>
                <w:rFonts w:hint="eastAsia" w:ascii="Times New Roman" w:hAnsi="Times New Roman" w:cs="Times New Roman"/>
                <w:color w:val="000000" w:themeColor="text1"/>
                <w:kern w:val="0"/>
                <w:sz w:val="24"/>
                <w:szCs w:val="24"/>
                <w:lang w:val="en-US" w:eastAsia="zh-CN"/>
                <w14:textFill>
                  <w14:solidFill>
                    <w14:schemeClr w14:val="tx1"/>
                  </w14:solidFill>
                </w14:textFill>
              </w:rPr>
              <w:t>砂带</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w:t>
            </w: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lang w:eastAsia="zh-CN"/>
                <w14:textFill>
                  <w14:solidFill>
                    <w14:schemeClr w14:val="tx1"/>
                  </w14:solidFill>
                </w14:textFill>
              </w:rPr>
              <w:t>建设单位</w:t>
            </w:r>
            <w:r>
              <w:rPr>
                <w:rFonts w:hint="default" w:ascii="Times New Roman" w:hAnsi="Times New Roman" w:cs="Times New Roman"/>
                <w:color w:val="000000" w:themeColor="text1"/>
                <w:sz w:val="24"/>
                <w14:textFill>
                  <w14:solidFill>
                    <w14:schemeClr w14:val="tx1"/>
                  </w14:solidFill>
                </w14:textFill>
              </w:rPr>
              <w:t>提供的资料以及同类项</w:t>
            </w:r>
            <w:r>
              <w:rPr>
                <w:rFonts w:hint="default" w:ascii="Times New Roman" w:hAnsi="Times New Roman" w:eastAsia="宋体" w:cs="Times New Roman"/>
                <w:color w:val="000000" w:themeColor="text1"/>
                <w:sz w:val="24"/>
                <w14:textFill>
                  <w14:solidFill>
                    <w14:schemeClr w14:val="tx1"/>
                  </w14:solidFill>
                </w14:textFill>
              </w:rPr>
              <w:t>目类比分析</w:t>
            </w:r>
            <w:r>
              <w:rPr>
                <w:rFonts w:hint="default" w:ascii="Times New Roman" w:hAnsi="Times New Roman" w:eastAsia="宋体" w:cs="Times New Roman"/>
                <w:color w:val="000000" w:themeColor="text1"/>
                <w:sz w:val="24"/>
                <w:lang w:eastAsia="zh-CN"/>
                <w14:textFill>
                  <w14:solidFill>
                    <w14:schemeClr w14:val="tx1"/>
                  </w14:solidFill>
                </w14:textFill>
              </w:rPr>
              <w:t>可知，</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产生量约0.0</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01</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根据《固体废物分类与代码</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目录</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公</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告2024年第4号）（废物类别为SW59—其他工业固体废物，废物代码为900-099-S59）。收集后外售。</w:t>
            </w:r>
          </w:p>
          <w:p w14:paraId="7D5B728E">
            <w:pPr>
              <w:keepNext w:val="0"/>
              <w:keepLines w:val="0"/>
              <w:suppressLineNumbers w:val="0"/>
              <w:spacing w:before="0" w:beforeAutospacing="0" w:after="0" w:afterAutospacing="0" w:line="360" w:lineRule="auto"/>
              <w:ind w:left="0" w:right="0" w:firstLine="480" w:firstLineChars="200"/>
              <w:rPr>
                <w:rFonts w:hint="default"/>
                <w:color w:val="000000" w:themeColor="text1"/>
                <w:sz w:val="24"/>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⑪</w:t>
            </w:r>
            <w:r>
              <w:rPr>
                <w:rFonts w:hint="default"/>
                <w:color w:val="000000" w:themeColor="text1"/>
                <w:sz w:val="24"/>
                <w14:textFill>
                  <w14:solidFill>
                    <w14:schemeClr w14:val="tx1"/>
                  </w14:solidFill>
                </w14:textFill>
              </w:rPr>
              <w:t>废反渗透膜</w:t>
            </w:r>
          </w:p>
          <w:p w14:paraId="4E0BBC3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color w:val="000000" w:themeColor="text1"/>
                <w:sz w:val="24"/>
                <w14:textFill>
                  <w14:solidFill>
                    <w14:schemeClr w14:val="tx1"/>
                  </w14:solidFill>
                </w14:textFill>
              </w:rPr>
              <w:t>本项目纯水机滤芯两年更换一次，属于一般固废，折合年产生量为0.5t/a。根据《固体废物分类与代码目录》（公</w:t>
            </w:r>
            <w:r>
              <w:rPr>
                <w:rFonts w:hint="default"/>
                <w:color w:val="000000" w:themeColor="text1"/>
                <w:kern w:val="0"/>
                <w:sz w:val="24"/>
                <w14:textFill>
                  <w14:solidFill>
                    <w14:schemeClr w14:val="tx1"/>
                  </w14:solidFill>
                </w14:textFill>
              </w:rPr>
              <w:t>告2024年第4号）（废物类别为SW59—其他工业固体废物，废物代码为900-009-S59）。收集后外售。</w:t>
            </w:r>
            <w:r>
              <w:rPr>
                <w:rFonts w:hint="default"/>
                <w:color w:val="000000" w:themeColor="text1"/>
                <w:sz w:val="24"/>
                <w14:textFill>
                  <w14:solidFill>
                    <w14:schemeClr w14:val="tx1"/>
                  </w14:solidFill>
                </w14:textFill>
              </w:rPr>
              <w:t xml:space="preserve"> </w:t>
            </w:r>
          </w:p>
          <w:p w14:paraId="6E19F44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（2）危险废物</w:t>
            </w:r>
          </w:p>
          <w:p w14:paraId="74BDB7C9">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fldChar w:fldCharType="begin"/>
            </w:r>
            <w:r>
              <w:rPr>
                <w:rFonts w:hint="default" w:ascii="Times New Roman" w:hAnsi="Times New Roman" w:cs="Times New Roman"/>
                <w:bCs/>
                <w:color w:val="000000" w:themeColor="text1"/>
                <w:sz w:val="24"/>
                <w14:textFill>
                  <w14:solidFill>
                    <w14:schemeClr w14:val="tx1"/>
                  </w14:solidFill>
                </w14:textFill>
              </w:rPr>
              <w:instrText xml:space="preserve"> = 1 \* GB3 </w:instrText>
            </w:r>
            <w:r>
              <w:rPr>
                <w:rFonts w:hint="default" w:ascii="Times New Roman" w:hAnsi="Times New Roman" w:cs="Times New Roman"/>
                <w:bCs/>
                <w:color w:val="000000" w:themeColor="text1"/>
                <w:sz w:val="24"/>
                <w14:textFill>
                  <w14:solidFill>
                    <w14:schemeClr w14:val="tx1"/>
                  </w14:solidFill>
                </w14:textFill>
              </w:rPr>
              <w:fldChar w:fldCharType="separate"/>
            </w:r>
            <w:r>
              <w:rPr>
                <w:rFonts w:hint="default" w:ascii="Times New Roman" w:hAnsi="Times New Roman" w:cs="Times New Roman"/>
                <w:bCs/>
                <w:color w:val="000000" w:themeColor="text1"/>
                <w:sz w:val="24"/>
                <w14:textFill>
                  <w14:solidFill>
                    <w14:schemeClr w14:val="tx1"/>
                  </w14:solidFill>
                </w14:textFill>
              </w:rPr>
              <w:t>①</w:t>
            </w:r>
            <w:r>
              <w:rPr>
                <w:rFonts w:hint="default" w:ascii="Times New Roman" w:hAnsi="Times New Roman" w:cs="Times New Roman"/>
                <w:bCs/>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废活性炭</w:t>
            </w:r>
          </w:p>
          <w:p w14:paraId="2D40926E">
            <w:pPr>
              <w:keepNext w:val="0"/>
              <w:keepLines w:val="0"/>
              <w:widowControl/>
              <w:numPr>
                <w:ilvl w:val="0"/>
                <w:numId w:val="19"/>
              </w:numPr>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Cs/>
                <w:color w:val="000000" w:themeColor="text1"/>
                <w:sz w:val="24"/>
                <w:lang w:val="en-US" w:eastAsia="zh-CN"/>
                <w14:textFill>
                  <w14:solidFill>
                    <w14:schemeClr w14:val="tx1"/>
                  </w14:solidFill>
                </w14:textFill>
              </w:rPr>
              <w:t>喷漆烘干</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喷粉固化</w:t>
            </w:r>
            <w:r>
              <w:rPr>
                <w:rFonts w:hint="default" w:ascii="Times New Roman" w:hAnsi="Times New Roman" w:cs="Times New Roman"/>
                <w:bCs/>
                <w:color w:val="000000" w:themeColor="text1"/>
                <w:sz w:val="24"/>
                <w14:textFill>
                  <w14:solidFill>
                    <w14:schemeClr w14:val="tx1"/>
                  </w14:solidFill>
                </w14:textFill>
              </w:rPr>
              <w:t>废气两级活性炭更换频次：本项目使用的活性炭碘值</w:t>
            </w:r>
            <w:r>
              <w:rPr>
                <w:rFonts w:hint="default" w:ascii="Times New Roman" w:hAnsi="Times New Roman" w:cs="Times New Roman"/>
                <w:color w:val="000000" w:themeColor="text1"/>
                <w:kern w:val="0"/>
                <w:sz w:val="24"/>
                <w:lang w:bidi="ar"/>
                <w14:textFill>
                  <w14:solidFill>
                    <w14:schemeClr w14:val="tx1"/>
                  </w14:solidFill>
                </w14:textFill>
              </w:rPr>
              <w:t>值＞800mg/g，该两级活性炭年吸附处理有机废气约</w:t>
            </w:r>
            <w:r>
              <w:rPr>
                <w:rFonts w:hint="eastAsia" w:ascii="Times New Roman" w:hAnsi="Times New Roman" w:cs="Times New Roman"/>
                <w:color w:val="000000" w:themeColor="text1"/>
                <w:kern w:val="0"/>
                <w:sz w:val="24"/>
                <w:lang w:val="en-US" w:eastAsia="zh-CN" w:bidi="ar"/>
                <w14:textFill>
                  <w14:solidFill>
                    <w14:schemeClr w14:val="tx1"/>
                  </w14:solidFill>
                </w14:textFill>
              </w:rPr>
              <w:t>0.238</w:t>
            </w:r>
            <w:r>
              <w:rPr>
                <w:rFonts w:hint="default" w:ascii="Times New Roman" w:hAnsi="Times New Roman" w:cs="Times New Roman"/>
                <w:color w:val="000000" w:themeColor="text1"/>
                <w:kern w:val="0"/>
                <w:sz w:val="24"/>
                <w:lang w:bidi="ar"/>
                <w14:textFill>
                  <w14:solidFill>
                    <w14:schemeClr w14:val="tx1"/>
                  </w14:solidFill>
                </w14:textFill>
              </w:rPr>
              <w:t>t，</w:t>
            </w:r>
            <w:r>
              <w:rPr>
                <w:rFonts w:hint="default" w:ascii="Times New Roman" w:hAnsi="Times New Roman" w:cs="Times New Roman"/>
                <w:bCs/>
                <w:color w:val="000000" w:themeColor="text1"/>
                <w:sz w:val="24"/>
                <w14:textFill>
                  <w14:solidFill>
                    <w14:schemeClr w14:val="tx1"/>
                  </w14:solidFill>
                </w14:textFill>
              </w:rPr>
              <w:t>每吨活性炭可净化有机废气0.3t，则活性炭年用量</w:t>
            </w:r>
            <w:r>
              <w:rPr>
                <w:rFonts w:hint="eastAsia" w:ascii="Times New Roman" w:hAnsi="Times New Roman" w:cs="Times New Roman"/>
                <w:bCs/>
                <w:color w:val="000000" w:themeColor="text1"/>
                <w:sz w:val="24"/>
                <w:lang w:val="en-US" w:eastAsia="zh-CN"/>
                <w14:textFill>
                  <w14:solidFill>
                    <w14:schemeClr w14:val="tx1"/>
                  </w14:solidFill>
                </w14:textFill>
              </w:rPr>
              <w:t>0.793</w:t>
            </w:r>
            <w:r>
              <w:rPr>
                <w:rFonts w:hint="default" w:ascii="Times New Roman" w:hAnsi="Times New Roman" w:cs="Times New Roman"/>
                <w:bCs/>
                <w:color w:val="000000" w:themeColor="text1"/>
                <w:sz w:val="24"/>
                <w14:textFill>
                  <w14:solidFill>
                    <w14:schemeClr w14:val="tx1"/>
                  </w14:solidFill>
                </w14:textFill>
              </w:rPr>
              <w:t>t，废活性炭量包括新活性炭及其吸附的有机废气，则废活性炭量理论产生量约</w:t>
            </w:r>
            <w:r>
              <w:rPr>
                <w:rFonts w:hint="eastAsia" w:ascii="Times New Roman" w:hAnsi="Times New Roman" w:cs="Times New Roman"/>
                <w:bCs/>
                <w:color w:val="000000" w:themeColor="text1"/>
                <w:sz w:val="24"/>
                <w:lang w:val="en-US" w:eastAsia="zh-CN"/>
                <w14:textFill>
                  <w14:solidFill>
                    <w14:schemeClr w14:val="tx1"/>
                  </w14:solidFill>
                </w14:textFill>
              </w:rPr>
              <w:t>1.031</w:t>
            </w:r>
            <w:r>
              <w:rPr>
                <w:rFonts w:hint="default" w:ascii="Times New Roman" w:hAnsi="Times New Roman" w:cs="Times New Roman"/>
                <w:bCs/>
                <w:color w:val="000000" w:themeColor="text1"/>
                <w:sz w:val="24"/>
                <w14:textFill>
                  <w14:solidFill>
                    <w14:schemeClr w14:val="tx1"/>
                  </w14:solidFill>
                </w14:textFill>
              </w:rPr>
              <w:t>t/a。</w:t>
            </w:r>
            <w:r>
              <w:rPr>
                <w:rFonts w:hint="default" w:ascii="Times New Roman" w:hAnsi="Times New Roman" w:cs="Times New Roman"/>
                <w:bCs/>
                <w:color w:val="000000" w:themeColor="text1"/>
                <w:sz w:val="24"/>
                <w:lang w:val="en-US" w:eastAsia="zh-CN"/>
                <w14:textFill>
                  <w14:solidFill>
                    <w14:schemeClr w14:val="tx1"/>
                  </w14:solidFill>
                </w14:textFill>
              </w:rPr>
              <w:t>蜂窝</w:t>
            </w:r>
            <w:r>
              <w:rPr>
                <w:rFonts w:hint="default" w:ascii="Times New Roman" w:hAnsi="Times New Roman" w:cs="Times New Roman"/>
                <w:bCs/>
                <w:color w:val="000000" w:themeColor="text1"/>
                <w:sz w:val="24"/>
                <w14:textFill>
                  <w14:solidFill>
                    <w14:schemeClr w14:val="tx1"/>
                  </w14:solidFill>
                </w14:textFill>
              </w:rPr>
              <w:t>状活性炭的堆积密度约0.</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5～0.65g/cm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，本环评取0.5g/cm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。根据设计方案，活性炭吸附装置过滤面积</w:t>
            </w:r>
            <w:r>
              <w:rPr>
                <w:rFonts w:hint="default" w:ascii="Times New Roman" w:hAnsi="Times New Roman" w:cs="Times New Roman"/>
                <w:color w:val="000000" w:themeColor="text1"/>
                <w:kern w:val="0"/>
                <w:sz w:val="24"/>
                <w14:textFill>
                  <w14:solidFill>
                    <w14:schemeClr w14:val="tx1"/>
                  </w14:solidFill>
                </w14:textFill>
              </w:rPr>
              <w:t>不低于</w:t>
            </w:r>
            <w:r>
              <w:rPr>
                <w:rFonts w:hint="eastAsia" w:ascii="Times New Roman" w:hAnsi="Times New Roman" w:cs="Times New Roman"/>
                <w:color w:val="000000" w:themeColor="text1"/>
                <w:kern w:val="0"/>
                <w:sz w:val="24"/>
                <w:lang w:val="en-US" w:eastAsia="zh-CN"/>
                <w14:textFill>
                  <w14:solidFill>
                    <w14:schemeClr w14:val="tx1"/>
                  </w14:solidFill>
                </w14:textFill>
              </w:rPr>
              <w:t>10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，活性炭层厚</w:t>
            </w:r>
            <w:r>
              <w:rPr>
                <w:rFonts w:hint="eastAsia"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00mm，则一次填充量=</w:t>
            </w:r>
            <w:r>
              <w:rPr>
                <w:rFonts w:hint="eastAsia" w:ascii="Times New Roman" w:hAnsi="Times New Roman" w:cs="Times New Roman"/>
                <w:bCs/>
                <w:color w:val="000000" w:themeColor="text1"/>
                <w:sz w:val="24"/>
                <w:lang w:val="en-US" w:eastAsia="zh-CN"/>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×0.5×0.</w:t>
            </w:r>
            <w:r>
              <w:rPr>
                <w:rFonts w:hint="eastAsia"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1.5</w:t>
            </w:r>
            <w:r>
              <w:rPr>
                <w:rFonts w:hint="default" w:ascii="Times New Roman" w:hAnsi="Times New Roman" w:cs="Times New Roman"/>
                <w:color w:val="000000" w:themeColor="text1"/>
                <w:sz w:val="24"/>
                <w14:textFill>
                  <w14:solidFill>
                    <w14:schemeClr w14:val="tx1"/>
                  </w14:solidFill>
                </w14:textFill>
              </w:rPr>
              <w:t>t，根据前述工程，处理有机废气所更换活性炭约为</w:t>
            </w:r>
            <w:r>
              <w:rPr>
                <w:rFonts w:hint="eastAsia"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次/年。</w:t>
            </w:r>
          </w:p>
          <w:p w14:paraId="649F9045">
            <w:pPr>
              <w:keepNext w:val="0"/>
              <w:keepLines w:val="0"/>
              <w:widowControl/>
              <w:numPr>
                <w:ilvl w:val="0"/>
                <w:numId w:val="19"/>
              </w:numPr>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bCs/>
                <w:color w:val="000000" w:themeColor="text1"/>
                <w:sz w:val="24"/>
                <w14:textFill>
                  <w14:solidFill>
                    <w14:schemeClr w14:val="tx1"/>
                  </w14:solidFill>
                </w14:textFill>
              </w:rPr>
              <w:t>调漆、喷漆、喷枪清洗废</w:t>
            </w:r>
            <w:r>
              <w:rPr>
                <w:rFonts w:hint="default" w:ascii="Times New Roman" w:hAnsi="Times New Roman" w:cs="Times New Roman"/>
                <w:bCs/>
                <w:color w:val="000000" w:themeColor="text1"/>
                <w:sz w:val="24"/>
                <w14:textFill>
                  <w14:solidFill>
                    <w14:schemeClr w14:val="tx1"/>
                  </w14:solidFill>
                </w14:textFill>
              </w:rPr>
              <w:t>气两级活性炭更换频次：本项目使用的活性炭碘值</w:t>
            </w:r>
            <w:r>
              <w:rPr>
                <w:rFonts w:hint="default" w:ascii="Times New Roman" w:hAnsi="Times New Roman" w:cs="Times New Roman"/>
                <w:color w:val="000000" w:themeColor="text1"/>
                <w:kern w:val="0"/>
                <w:sz w:val="24"/>
                <w:lang w:bidi="ar"/>
                <w14:textFill>
                  <w14:solidFill>
                    <w14:schemeClr w14:val="tx1"/>
                  </w14:solidFill>
                </w14:textFill>
              </w:rPr>
              <w:t>值＞800mg/g，该两级活性炭年吸附处理有机废气约</w:t>
            </w:r>
            <w:r>
              <w:rPr>
                <w:rFonts w:hint="eastAsia" w:ascii="Times New Roman" w:hAnsi="Times New Roman" w:cs="Times New Roman"/>
                <w:color w:val="000000" w:themeColor="text1"/>
                <w:kern w:val="0"/>
                <w:sz w:val="24"/>
                <w:lang w:val="en-US" w:eastAsia="zh-CN" w:bidi="ar"/>
                <w14:textFill>
                  <w14:solidFill>
                    <w14:schemeClr w14:val="tx1"/>
                  </w14:solidFill>
                </w14:textFill>
              </w:rPr>
              <w:t>0.2205</w:t>
            </w:r>
            <w:r>
              <w:rPr>
                <w:rFonts w:hint="default" w:ascii="Times New Roman" w:hAnsi="Times New Roman" w:cs="Times New Roman"/>
                <w:color w:val="000000" w:themeColor="text1"/>
                <w:kern w:val="0"/>
                <w:sz w:val="24"/>
                <w:lang w:bidi="ar"/>
                <w14:textFill>
                  <w14:solidFill>
                    <w14:schemeClr w14:val="tx1"/>
                  </w14:solidFill>
                </w14:textFill>
              </w:rPr>
              <w:t>t，</w:t>
            </w:r>
            <w:r>
              <w:rPr>
                <w:rFonts w:hint="default" w:ascii="Times New Roman" w:hAnsi="Times New Roman" w:cs="Times New Roman"/>
                <w:bCs/>
                <w:color w:val="000000" w:themeColor="text1"/>
                <w:sz w:val="24"/>
                <w14:textFill>
                  <w14:solidFill>
                    <w14:schemeClr w14:val="tx1"/>
                  </w14:solidFill>
                </w14:textFill>
              </w:rPr>
              <w:t>每吨活性炭可净化有机废气0.3t，则活性炭年用量</w:t>
            </w:r>
            <w:r>
              <w:rPr>
                <w:rFonts w:hint="eastAsia" w:ascii="Times New Roman" w:hAnsi="Times New Roman" w:cs="Times New Roman"/>
                <w:bCs/>
                <w:color w:val="000000" w:themeColor="text1"/>
                <w:sz w:val="24"/>
                <w:lang w:val="en-US" w:eastAsia="zh-CN"/>
                <w14:textFill>
                  <w14:solidFill>
                    <w14:schemeClr w14:val="tx1"/>
                  </w14:solidFill>
                </w14:textFill>
              </w:rPr>
              <w:t>0.735</w:t>
            </w:r>
            <w:r>
              <w:rPr>
                <w:rFonts w:hint="default" w:ascii="Times New Roman" w:hAnsi="Times New Roman" w:cs="Times New Roman"/>
                <w:bCs/>
                <w:color w:val="000000" w:themeColor="text1"/>
                <w:sz w:val="24"/>
                <w14:textFill>
                  <w14:solidFill>
                    <w14:schemeClr w14:val="tx1"/>
                  </w14:solidFill>
                </w14:textFill>
              </w:rPr>
              <w:t>t，废活性炭量包括新活性炭及其吸附的有机废气，则废活性炭量理论产生量约</w:t>
            </w:r>
            <w:r>
              <w:rPr>
                <w:rFonts w:hint="eastAsia" w:ascii="Times New Roman" w:hAnsi="Times New Roman" w:cs="Times New Roman"/>
                <w:bCs/>
                <w:color w:val="000000" w:themeColor="text1"/>
                <w:sz w:val="24"/>
                <w:lang w:val="en-US" w:eastAsia="zh-CN"/>
                <w14:textFill>
                  <w14:solidFill>
                    <w14:schemeClr w14:val="tx1"/>
                  </w14:solidFill>
                </w14:textFill>
              </w:rPr>
              <w:t>0.965</w:t>
            </w:r>
            <w:r>
              <w:rPr>
                <w:rFonts w:hint="default" w:ascii="Times New Roman" w:hAnsi="Times New Roman" w:cs="Times New Roman"/>
                <w:bCs/>
                <w:color w:val="000000" w:themeColor="text1"/>
                <w:sz w:val="24"/>
                <w14:textFill>
                  <w14:solidFill>
                    <w14:schemeClr w14:val="tx1"/>
                  </w14:solidFill>
                </w14:textFill>
              </w:rPr>
              <w:t>t/a。</w:t>
            </w:r>
            <w:r>
              <w:rPr>
                <w:rFonts w:hint="default" w:ascii="Times New Roman" w:hAnsi="Times New Roman" w:cs="Times New Roman"/>
                <w:bCs/>
                <w:color w:val="000000" w:themeColor="text1"/>
                <w:sz w:val="24"/>
                <w:lang w:val="en-US" w:eastAsia="zh-CN"/>
                <w14:textFill>
                  <w14:solidFill>
                    <w14:schemeClr w14:val="tx1"/>
                  </w14:solidFill>
                </w14:textFill>
              </w:rPr>
              <w:t>蜂窝</w:t>
            </w:r>
            <w:r>
              <w:rPr>
                <w:rFonts w:hint="default" w:ascii="Times New Roman" w:hAnsi="Times New Roman" w:cs="Times New Roman"/>
                <w:bCs/>
                <w:color w:val="000000" w:themeColor="text1"/>
                <w:sz w:val="24"/>
                <w14:textFill>
                  <w14:solidFill>
                    <w14:schemeClr w14:val="tx1"/>
                  </w14:solidFill>
                </w14:textFill>
              </w:rPr>
              <w:t>状活性炭的堆积密度约0.</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5～0.65g/cm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，本环评取0.5g/cm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。根据设计方案，活性炭吸附装置过滤面积</w:t>
            </w:r>
            <w:r>
              <w:rPr>
                <w:rFonts w:hint="default" w:ascii="Times New Roman" w:hAnsi="Times New Roman" w:cs="Times New Roman"/>
                <w:color w:val="000000" w:themeColor="text1"/>
                <w:kern w:val="0"/>
                <w:sz w:val="24"/>
                <w14:textFill>
                  <w14:solidFill>
                    <w14:schemeClr w14:val="tx1"/>
                  </w14:solidFill>
                </w14:textFill>
              </w:rPr>
              <w:t>不低于</w:t>
            </w:r>
            <w:r>
              <w:rPr>
                <w:rFonts w:hint="eastAsia" w:ascii="Times New Roman" w:hAnsi="Times New Roman" w:cs="Times New Roman"/>
                <w:color w:val="000000" w:themeColor="text1"/>
                <w:kern w:val="0"/>
                <w:sz w:val="24"/>
                <w:lang w:val="en-US" w:eastAsia="zh-CN"/>
                <w14:textFill>
                  <w14:solidFill>
                    <w14:schemeClr w14:val="tx1"/>
                  </w14:solidFill>
                </w14:textFill>
              </w:rPr>
              <w:t>10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，活性炭层厚</w:t>
            </w:r>
            <w:r>
              <w:rPr>
                <w:rFonts w:hint="eastAsia"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00mm，则一次填充量=</w:t>
            </w:r>
            <w:r>
              <w:rPr>
                <w:rFonts w:hint="eastAsia" w:ascii="Times New Roman" w:hAnsi="Times New Roman" w:cs="Times New Roman"/>
                <w:bCs/>
                <w:color w:val="000000" w:themeColor="text1"/>
                <w:sz w:val="24"/>
                <w:lang w:val="en-US" w:eastAsia="zh-CN"/>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×0.5×0.</w:t>
            </w:r>
            <w:r>
              <w:rPr>
                <w:rFonts w:hint="eastAsia"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1.5</w:t>
            </w:r>
            <w:r>
              <w:rPr>
                <w:rFonts w:hint="default" w:ascii="Times New Roman" w:hAnsi="Times New Roman" w:cs="Times New Roman"/>
                <w:color w:val="000000" w:themeColor="text1"/>
                <w:sz w:val="24"/>
                <w14:textFill>
                  <w14:solidFill>
                    <w14:schemeClr w14:val="tx1"/>
                  </w14:solidFill>
                </w14:textFill>
              </w:rPr>
              <w:t>t，根据前述工程，处理有机废气所更换活性炭约为</w:t>
            </w:r>
            <w:r>
              <w:rPr>
                <w:rFonts w:hint="eastAsia"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次/年。</w:t>
            </w:r>
          </w:p>
          <w:p w14:paraId="112D9B85">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综上，项目活性炭年吸附处理有机废气约</w:t>
            </w:r>
            <w:r>
              <w:rPr>
                <w:rFonts w:hint="default" w:ascii="Times New Roman" w:hAnsi="Times New Roman" w:cs="Times New Roman"/>
                <w:color w:val="000000" w:themeColor="text1"/>
                <w:kern w:val="0"/>
                <w:sz w:val="24"/>
                <w:lang w:val="en-US" w:eastAsia="zh-CN"/>
                <w14:textFill>
                  <w14:solidFill>
                    <w14:schemeClr w14:val="tx1"/>
                  </w14:solidFill>
                </w14:textFill>
              </w:rPr>
              <w:t>0</w:t>
            </w:r>
            <w:r>
              <w:rPr>
                <w:rFonts w:hint="eastAsia" w:ascii="Times New Roman" w:hAnsi="Times New Roman" w:cs="Times New Roman"/>
                <w:color w:val="000000" w:themeColor="text1"/>
                <w:kern w:val="0"/>
                <w:sz w:val="24"/>
                <w:lang w:val="en-US" w:eastAsia="zh-CN"/>
                <w14:textFill>
                  <w14:solidFill>
                    <w14:schemeClr w14:val="tx1"/>
                  </w14:solidFill>
                </w14:textFill>
              </w:rPr>
              <w:t>.6965</w:t>
            </w:r>
            <w:r>
              <w:rPr>
                <w:rFonts w:hint="default" w:ascii="Times New Roman" w:hAnsi="Times New Roman" w:cs="Times New Roman"/>
                <w:color w:val="000000" w:themeColor="text1"/>
                <w:kern w:val="0"/>
                <w:sz w:val="24"/>
                <w14:textFill>
                  <w14:solidFill>
                    <w14:schemeClr w14:val="tx1"/>
                  </w14:solidFill>
                </w14:textFill>
              </w:rPr>
              <w:t>t/a，活性炭年用量</w:t>
            </w:r>
            <w:r>
              <w:rPr>
                <w:rFonts w:hint="eastAsia" w:ascii="Times New Roman" w:hAnsi="Times New Roman" w:cs="Times New Roman"/>
                <w:color w:val="000000" w:themeColor="text1"/>
                <w:kern w:val="0"/>
                <w:sz w:val="24"/>
                <w:lang w:val="en-US" w:eastAsia="zh-CN"/>
                <w14:textFill>
                  <w14:solidFill>
                    <w14:schemeClr w14:val="tx1"/>
                  </w14:solidFill>
                </w14:textFill>
              </w:rPr>
              <w:t>2.321</w:t>
            </w:r>
            <w:r>
              <w:rPr>
                <w:rFonts w:hint="default" w:ascii="Times New Roman" w:hAnsi="Times New Roman" w:cs="Times New Roman"/>
                <w:color w:val="000000" w:themeColor="text1"/>
                <w:kern w:val="0"/>
                <w:sz w:val="24"/>
                <w14:textFill>
                  <w14:solidFill>
                    <w14:schemeClr w14:val="tx1"/>
                  </w14:solidFill>
                </w14:textFill>
              </w:rPr>
              <w:t>t/a，则废活性炭量为</w:t>
            </w:r>
            <w:r>
              <w:rPr>
                <w:rFonts w:hint="eastAsia" w:ascii="Times New Roman" w:hAnsi="Times New Roman" w:cs="Times New Roman"/>
                <w:color w:val="000000" w:themeColor="text1"/>
                <w:kern w:val="0"/>
                <w:sz w:val="24"/>
                <w:lang w:val="en-US" w:eastAsia="zh-CN"/>
                <w14:textFill>
                  <w14:solidFill>
                    <w14:schemeClr w14:val="tx1"/>
                  </w14:solidFill>
                </w14:textFill>
              </w:rPr>
              <w:t>1.987</w:t>
            </w:r>
            <w:r>
              <w:rPr>
                <w:rFonts w:hint="default" w:ascii="Times New Roman" w:hAnsi="Times New Roman" w:cs="Times New Roman"/>
                <w:color w:val="000000" w:themeColor="text1"/>
                <w:kern w:val="0"/>
                <w:sz w:val="24"/>
                <w14:textFill>
                  <w14:solidFill>
                    <w14:schemeClr w14:val="tx1"/>
                  </w14:solidFill>
                </w14:textFill>
              </w:rPr>
              <w:t>t/a。根据</w:t>
            </w:r>
            <w:r>
              <w:rPr>
                <w:rFonts w:hint="default" w:ascii="Times New Roman" w:hAnsi="Times New Roman" w:cs="Times New Roman"/>
                <w:color w:val="000000" w:themeColor="text1"/>
                <w:sz w:val="24"/>
                <w14:textFill>
                  <w14:solidFill>
                    <w14:schemeClr w14:val="tx1"/>
                  </w14:solidFill>
                </w14:textFill>
              </w:rPr>
              <w:t>《国家危险废物名录》（2025年版），</w:t>
            </w:r>
            <w:r>
              <w:rPr>
                <w:rFonts w:hint="default" w:ascii="Times New Roman" w:hAnsi="Times New Roman" w:cs="Times New Roman"/>
                <w:bCs/>
                <w:color w:val="000000" w:themeColor="text1"/>
                <w:sz w:val="24"/>
                <w14:textFill>
                  <w14:solidFill>
                    <w14:schemeClr w14:val="tx1"/>
                  </w14:solidFill>
                </w14:textFill>
              </w:rPr>
              <w:t>废活性炭属于危险废物，危废代码为HW49 900-039-49。收集后暂存于厂区危废暂存场所，定期交由有资质的单位接收处理。</w:t>
            </w:r>
          </w:p>
          <w:p w14:paraId="1DB3F82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②废过滤棉</w:t>
            </w:r>
          </w:p>
          <w:p w14:paraId="1C4320BF">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项目粉尘</w:t>
            </w:r>
            <w:r>
              <w:rPr>
                <w:rFonts w:hint="default" w:ascii="Times New Roman" w:hAnsi="Times New Roman" w:cs="Times New Roman"/>
                <w:color w:val="000000" w:themeColor="text1"/>
                <w:sz w:val="24"/>
                <w14:textFill>
                  <w14:solidFill>
                    <w14:schemeClr w14:val="tx1"/>
                  </w14:solidFill>
                </w14:textFill>
              </w:rPr>
              <w:t>治理设施会产生废过滤棉，</w:t>
            </w: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建设单位提供的资料以及同类项目类比分析可知，废过滤棉</w:t>
            </w:r>
            <w:r>
              <w:rPr>
                <w:rFonts w:hint="default" w:ascii="Times New Roman" w:hAnsi="Times New Roman" w:cs="Times New Roman"/>
                <w:color w:val="000000" w:themeColor="text1"/>
                <w:kern w:val="0"/>
                <w:sz w:val="24"/>
                <w:szCs w:val="20"/>
                <w14:textFill>
                  <w14:solidFill>
                    <w14:schemeClr w14:val="tx1"/>
                  </w14:solidFill>
                </w14:textFill>
              </w:rPr>
              <w:t>产生量约为0.02t/a，过滤棉上沾染了塑粉、漆料，</w:t>
            </w:r>
            <w:r>
              <w:rPr>
                <w:rFonts w:hint="default" w:ascii="Times New Roman" w:hAnsi="Times New Roman" w:cs="Times New Roman"/>
                <w:bCs/>
                <w:color w:val="000000" w:themeColor="text1"/>
                <w:sz w:val="24"/>
                <w14:textFill>
                  <w14:solidFill>
                    <w14:schemeClr w14:val="tx1"/>
                  </w14:solidFill>
                </w14:textFill>
              </w:rPr>
              <w:t>根据《国家危险废物名录》（2025年版），</w:t>
            </w:r>
            <w:r>
              <w:rPr>
                <w:rFonts w:hint="default" w:ascii="Times New Roman" w:hAnsi="Times New Roman" w:cs="Times New Roman"/>
                <w:color w:val="000000" w:themeColor="text1"/>
                <w:sz w:val="24"/>
                <w14:textFill>
                  <w14:solidFill>
                    <w14:schemeClr w14:val="tx1"/>
                  </w14:solidFill>
                </w14:textFill>
              </w:rPr>
              <w:t>废过滤棉属于危险废物，危废类别为HW49，危废代码为900-041-49。</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定期交有资质单位进行处理。</w:t>
            </w:r>
          </w:p>
          <w:p w14:paraId="564C048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③废切削液</w:t>
            </w:r>
          </w:p>
          <w:p w14:paraId="3D573B70">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本项目机加工等设备使用切削液，根据前述工程可知，废切削液产生量为</w:t>
            </w:r>
            <w:r>
              <w:rPr>
                <w:rFonts w:hint="eastAsia" w:ascii="Times New Roman" w:hAnsi="Times New Roman" w:cs="Times New Roman"/>
                <w:color w:val="000000" w:themeColor="text1"/>
                <w:sz w:val="24"/>
                <w:lang w:val="en-US" w:eastAsia="zh-CN"/>
                <w14:textFill>
                  <w14:solidFill>
                    <w14:schemeClr w14:val="tx1"/>
                  </w14:solidFill>
                </w14:textFill>
              </w:rPr>
              <w:t>1.26</w:t>
            </w:r>
            <w:r>
              <w:rPr>
                <w:rFonts w:hint="default" w:ascii="Times New Roman" w:hAnsi="Times New Roman" w:cs="Times New Roman"/>
                <w:color w:val="000000" w:themeColor="text1"/>
                <w:sz w:val="24"/>
                <w14:textFill>
                  <w14:solidFill>
                    <w14:schemeClr w14:val="tx1"/>
                  </w14:solidFill>
                </w14:textFill>
              </w:rPr>
              <w:t>t/a。根据《国家危险废物名录》（2025年版），</w:t>
            </w:r>
            <w:r>
              <w:rPr>
                <w:rFonts w:hint="default" w:ascii="Times New Roman" w:hAnsi="Times New Roman" w:cs="Times New Roman"/>
                <w:color w:val="000000" w:themeColor="text1"/>
                <w:kern w:val="0"/>
                <w:sz w:val="24"/>
                <w14:textFill>
                  <w14:solidFill>
                    <w14:schemeClr w14:val="tx1"/>
                  </w14:solidFill>
                </w14:textFill>
              </w:rPr>
              <w:t>废切削液</w:t>
            </w:r>
            <w:r>
              <w:rPr>
                <w:rFonts w:hint="default" w:ascii="Times New Roman" w:hAnsi="Times New Roman" w:cs="Times New Roman"/>
                <w:color w:val="000000" w:themeColor="text1"/>
                <w:sz w:val="24"/>
                <w14:textFill>
                  <w14:solidFill>
                    <w14:schemeClr w14:val="tx1"/>
                  </w14:solidFill>
                </w14:textFill>
              </w:rPr>
              <w:t>属于危险废物，危废类别为HW09油/水、烃 /水混合物或乳化液 ，危废代码为900-006-09。</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定期交有资质单位进行处理。</w:t>
            </w:r>
          </w:p>
          <w:p w14:paraId="56900397">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w:t>
            </w:r>
            <w:r>
              <w:rPr>
                <w:rFonts w:hint="default" w:ascii="Times New Roman" w:hAnsi="Times New Roman" w:cs="Times New Roman"/>
                <w:color w:val="000000" w:themeColor="text1"/>
                <w:sz w:val="24"/>
                <w14:textFill>
                  <w14:solidFill>
                    <w14:schemeClr w14:val="tx1"/>
                  </w14:solidFill>
                </w14:textFill>
              </w:rPr>
              <w:t>废润滑油</w:t>
            </w:r>
          </w:p>
          <w:p w14:paraId="6DE691C4">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项目机械设备在运行过程中会产生废润滑油，</w:t>
            </w:r>
            <w:r>
              <w:rPr>
                <w:rFonts w:hint="default" w:ascii="Times New Roman" w:hAnsi="Times New Roman" w:cs="Times New Roman" w:eastAsiaTheme="minorEastAsia"/>
                <w:color w:val="000000" w:themeColor="text1"/>
                <w:kern w:val="0"/>
                <w:sz w:val="24"/>
                <w:szCs w:val="20"/>
                <w14:textFill>
                  <w14:solidFill>
                    <w14:schemeClr w14:val="tx1"/>
                  </w14:solidFill>
                </w14:textFill>
              </w:rPr>
              <w:t>其产生量一般为年用量的5-10%，本环评以最大量10%计，项目年使用</w:t>
            </w:r>
            <w:r>
              <w:rPr>
                <w:rFonts w:hint="default" w:ascii="Times New Roman" w:hAnsi="Times New Roman" w:cs="Times New Roman"/>
                <w:color w:val="000000" w:themeColor="text1"/>
                <w:sz w:val="24"/>
                <w14:textFill>
                  <w14:solidFill>
                    <w14:schemeClr w14:val="tx1"/>
                  </w14:solidFill>
                </w14:textFill>
              </w:rPr>
              <w:t>润滑油</w:t>
            </w:r>
            <w:r>
              <w:rPr>
                <w:rFonts w:hint="default" w:ascii="Times New Roman" w:hAnsi="Times New Roman" w:cs="Times New Roman" w:eastAsiaTheme="minorEastAsia"/>
                <w:color w:val="000000" w:themeColor="text1"/>
                <w:kern w:val="0"/>
                <w:sz w:val="24"/>
                <w:szCs w:val="20"/>
                <w14:textFill>
                  <w14:solidFill>
                    <w14:schemeClr w14:val="tx1"/>
                  </w14:solidFill>
                </w14:textFill>
              </w:rPr>
              <w:t>约</w:t>
            </w:r>
            <w:r>
              <w:rPr>
                <w:rFonts w:hint="eastAsia" w:ascii="Times New Roman" w:hAnsi="Times New Roman" w:cs="Times New Roman" w:eastAsiaTheme="minorEastAsia"/>
                <w:color w:val="000000" w:themeColor="text1"/>
                <w:kern w:val="0"/>
                <w:sz w:val="24"/>
                <w:szCs w:val="20"/>
                <w:lang w:val="en-US" w:eastAsia="zh-CN"/>
                <w14:textFill>
                  <w14:solidFill>
                    <w14:schemeClr w14:val="tx1"/>
                  </w14:solidFill>
                </w14:textFill>
              </w:rPr>
              <w:t>2</w:t>
            </w:r>
            <w:r>
              <w:rPr>
                <w:rFonts w:hint="default" w:ascii="Times New Roman" w:hAnsi="Times New Roman" w:cs="Times New Roman" w:eastAsiaTheme="minorEastAsia"/>
                <w:color w:val="000000" w:themeColor="text1"/>
                <w:kern w:val="0"/>
                <w:sz w:val="24"/>
                <w:szCs w:val="20"/>
                <w14:textFill>
                  <w14:solidFill>
                    <w14:schemeClr w14:val="tx1"/>
                  </w14:solidFill>
                </w14:textFill>
              </w:rPr>
              <w:t>t</w:t>
            </w:r>
            <w:r>
              <w:rPr>
                <w:rFonts w:hint="default" w:ascii="Times New Roman" w:hAnsi="Times New Roman" w:cs="Times New Roman"/>
                <w:color w:val="000000" w:themeColor="text1"/>
                <w:sz w:val="24"/>
                <w14:textFill>
                  <w14:solidFill>
                    <w14:schemeClr w14:val="tx1"/>
                  </w14:solidFill>
                </w14:textFill>
              </w:rPr>
              <w:t>，则废润滑油产生量为0.</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/a。</w:t>
            </w: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《国家危险废物名录》（2025年版），废润滑油属于危险废物，危废类别HW08废矿物油与含矿物油废物，代码900-214-08。</w:t>
            </w:r>
            <w:r>
              <w:rPr>
                <w:rFonts w:hint="default" w:ascii="Times New Roman" w:hAnsi="Times New Roman" w:cs="Times New Roman"/>
                <w:bCs/>
                <w:color w:val="000000" w:themeColor="text1"/>
                <w:sz w:val="24"/>
                <w14:textFill>
                  <w14:solidFill>
                    <w14:schemeClr w14:val="tx1"/>
                  </w14:solidFill>
                </w14:textFill>
              </w:rPr>
              <w:t>收集后暂存于厂区危废暂存场所，定期交由有资质的单位接收处理。</w:t>
            </w:r>
          </w:p>
          <w:p w14:paraId="41730B35">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⑤废液压油</w:t>
            </w:r>
          </w:p>
          <w:p w14:paraId="7581C598">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项目机械设备在运行过程中会产生废液压油，</w:t>
            </w:r>
            <w:r>
              <w:rPr>
                <w:rFonts w:hint="default" w:ascii="Times New Roman" w:hAnsi="Times New Roman" w:cs="Times New Roman" w:eastAsiaTheme="minorEastAsia"/>
                <w:color w:val="000000" w:themeColor="text1"/>
                <w:kern w:val="0"/>
                <w:sz w:val="24"/>
                <w:szCs w:val="20"/>
                <w14:textFill>
                  <w14:solidFill>
                    <w14:schemeClr w14:val="tx1"/>
                  </w14:solidFill>
                </w14:textFill>
              </w:rPr>
              <w:t>其产生量一般为年用量的5-10%，本环评以最大量10%计，项目</w:t>
            </w:r>
            <w:r>
              <w:rPr>
                <w:rFonts w:hint="default" w:ascii="Times New Roman" w:hAnsi="Times New Roman" w:cs="Times New Roman"/>
                <w:color w:val="000000" w:themeColor="text1"/>
                <w:sz w:val="24"/>
                <w14:textFill>
                  <w14:solidFill>
                    <w14:schemeClr w14:val="tx1"/>
                  </w14:solidFill>
                </w14:textFill>
              </w:rPr>
              <w:t>年使用液压油约</w:t>
            </w:r>
            <w:r>
              <w:rPr>
                <w:rFonts w:hint="eastAsia"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t/a，则废液压油产生量为0.</w:t>
            </w:r>
            <w:r>
              <w:rPr>
                <w:rFonts w:hint="eastAsia"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《国家危险废物名录》（2025年版），废液压油属于危险废物，危废类别HW08废矿物油与含矿物油废物，代码900-218-08。</w:t>
            </w:r>
            <w:r>
              <w:rPr>
                <w:rFonts w:hint="default" w:ascii="Times New Roman" w:hAnsi="Times New Roman" w:cs="Times New Roman"/>
                <w:bCs/>
                <w:color w:val="000000" w:themeColor="text1"/>
                <w:sz w:val="24"/>
                <w14:textFill>
                  <w14:solidFill>
                    <w14:schemeClr w14:val="tx1"/>
                  </w14:solidFill>
                </w14:textFill>
              </w:rPr>
              <w:t>收集后暂存于厂区危废暂存场所，定期交由有资质的单位接收处理。</w:t>
            </w:r>
          </w:p>
          <w:p w14:paraId="0E865427">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⑥</w:t>
            </w:r>
            <w:r>
              <w:rPr>
                <w:rFonts w:hint="default" w:ascii="Times New Roman" w:hAnsi="Times New Roman" w:cs="Times New Roman"/>
                <w:color w:val="000000" w:themeColor="text1"/>
                <w:kern w:val="0"/>
                <w:sz w:val="24"/>
                <w14:textFill>
                  <w14:solidFill>
                    <w14:schemeClr w14:val="tx1"/>
                  </w14:solidFill>
                </w14:textFill>
              </w:rPr>
              <w:t>废化学品包装桶（废切削液桶、废</w:t>
            </w:r>
            <w:r>
              <w:rPr>
                <w:rFonts w:hint="eastAsia" w:ascii="Times New Roman" w:hAnsi="Times New Roman" w:cs="Times New Roman"/>
                <w:color w:val="000000" w:themeColor="text1"/>
                <w:kern w:val="0"/>
                <w:sz w:val="24"/>
                <w:lang w:val="en-US" w:eastAsia="zh-CN"/>
                <w14:textFill>
                  <w14:solidFill>
                    <w14:schemeClr w14:val="tx1"/>
                  </w14:solidFill>
                </w14:textFill>
              </w:rPr>
              <w:t>水性光亮剂</w:t>
            </w:r>
            <w:r>
              <w:rPr>
                <w:rFonts w:hint="default" w:ascii="Times New Roman" w:hAnsi="Times New Roman" w:cs="Times New Roman"/>
                <w:color w:val="000000" w:themeColor="text1"/>
                <w:kern w:val="0"/>
                <w:sz w:val="24"/>
                <w14:textFill>
                  <w14:solidFill>
                    <w14:schemeClr w14:val="tx1"/>
                  </w14:solidFill>
                </w14:textFill>
              </w:rPr>
              <w:t>桶、</w:t>
            </w:r>
            <w:r>
              <w:rPr>
                <w:rFonts w:hint="eastAsia" w:ascii="Times New Roman" w:hAnsi="Times New Roman" w:cs="Times New Roman"/>
                <w:color w:val="000000" w:themeColor="text1"/>
                <w:kern w:val="0"/>
                <w:sz w:val="24"/>
                <w:lang w:val="en-US" w:eastAsia="zh-CN"/>
                <w14:textFill>
                  <w14:solidFill>
                    <w14:schemeClr w14:val="tx1"/>
                  </w14:solidFill>
                </w14:textFill>
              </w:rPr>
              <w:t>废中性脱脂剂桶</w:t>
            </w:r>
            <w:r>
              <w:rPr>
                <w:rFonts w:hint="default" w:ascii="Times New Roman" w:hAnsi="Times New Roman" w:cs="Times New Roman"/>
                <w:color w:val="000000" w:themeColor="text1"/>
                <w:kern w:val="0"/>
                <w:sz w:val="24"/>
                <w14:textFill>
                  <w14:solidFill>
                    <w14:schemeClr w14:val="tx1"/>
                  </w14:solidFill>
                </w14:textFill>
              </w:rPr>
              <w:t>、废水性</w:t>
            </w:r>
            <w:r>
              <w:rPr>
                <w:rFonts w:hint="eastAsia" w:ascii="Times New Roman" w:hAnsi="Times New Roman" w:cs="Times New Roman"/>
                <w:color w:val="000000" w:themeColor="text1"/>
                <w:kern w:val="0"/>
                <w:sz w:val="24"/>
                <w:lang w:val="en-US" w:eastAsia="zh-CN"/>
                <w14:textFill>
                  <w14:solidFill>
                    <w14:schemeClr w14:val="tx1"/>
                  </w14:solidFill>
                </w14:textFill>
              </w:rPr>
              <w:t>底</w:t>
            </w:r>
            <w:r>
              <w:rPr>
                <w:rFonts w:hint="default" w:ascii="Times New Roman" w:hAnsi="Times New Roman" w:cs="Times New Roman"/>
                <w:color w:val="000000" w:themeColor="text1"/>
                <w:kern w:val="0"/>
                <w:sz w:val="24"/>
                <w14:textFill>
                  <w14:solidFill>
                    <w14:schemeClr w14:val="tx1"/>
                  </w14:solidFill>
                </w14:textFill>
              </w:rPr>
              <w:t>漆桶）</w:t>
            </w:r>
          </w:p>
          <w:p w14:paraId="5257206D">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项目生产过程中会产生废化学品包装桶，其产生量详见下表。</w:t>
            </w:r>
          </w:p>
          <w:p w14:paraId="7383E1A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w:t>
            </w:r>
            <w:r>
              <w:rPr>
                <w:rFonts w:hint="eastAsia" w:ascii="Times New Roman" w:hAnsi="Times New Roman" w:cs="Times New Roman"/>
                <w:b/>
                <w:color w:val="000000" w:themeColor="text1"/>
                <w:kern w:val="0"/>
                <w:sz w:val="24"/>
                <w:lang w:val="en-US" w:eastAsia="zh-CN"/>
                <w14:textFill>
                  <w14:solidFill>
                    <w14:schemeClr w14:val="tx1"/>
                  </w14:solidFill>
                </w14:textFill>
              </w:rPr>
              <w:t>9</w:t>
            </w:r>
            <w:r>
              <w:rPr>
                <w:rFonts w:hint="default" w:ascii="Times New Roman" w:hAnsi="Times New Roman" w:cs="Times New Roman"/>
                <w:b/>
                <w:color w:val="000000" w:themeColor="text1"/>
                <w:kern w:val="0"/>
                <w:sz w:val="24"/>
                <w14:textFill>
                  <w14:solidFill>
                    <w14:schemeClr w14:val="tx1"/>
                  </w14:solidFill>
                </w14:textFill>
              </w:rPr>
              <w:t xml:space="preserve">  废化学品包装桶产生量一览表</w:t>
            </w:r>
          </w:p>
          <w:tbl>
            <w:tblPr>
              <w:tblStyle w:val="6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1"/>
              <w:gridCol w:w="1723"/>
              <w:gridCol w:w="897"/>
              <w:gridCol w:w="1220"/>
              <w:gridCol w:w="1397"/>
              <w:gridCol w:w="1290"/>
              <w:gridCol w:w="1389"/>
            </w:tblGrid>
            <w:tr w14:paraId="1F519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5744DEF">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010" w:type="pct"/>
                  <w:vAlign w:val="center"/>
                </w:tcPr>
                <w:p w14:paraId="79DE9F50">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526" w:type="pct"/>
                  <w:vAlign w:val="center"/>
                </w:tcPr>
                <w:p w14:paraId="6C92C9E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年用量（t/a）</w:t>
                  </w:r>
                </w:p>
              </w:tc>
              <w:tc>
                <w:tcPr>
                  <w:tcW w:w="715" w:type="pct"/>
                  <w:vAlign w:val="center"/>
                </w:tcPr>
                <w:p w14:paraId="565991B1">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包装规格</w:t>
                  </w:r>
                </w:p>
              </w:tc>
              <w:tc>
                <w:tcPr>
                  <w:tcW w:w="819" w:type="pct"/>
                  <w:vAlign w:val="center"/>
                </w:tcPr>
                <w:p w14:paraId="4537123C">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桶重（kg/个）</w:t>
                  </w:r>
                </w:p>
              </w:tc>
              <w:tc>
                <w:tcPr>
                  <w:tcW w:w="753" w:type="pct"/>
                  <w:vAlign w:val="center"/>
                </w:tcPr>
                <w:p w14:paraId="283C452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桶个数</w:t>
                  </w:r>
                </w:p>
              </w:tc>
              <w:tc>
                <w:tcPr>
                  <w:tcW w:w="814" w:type="pct"/>
                  <w:vAlign w:val="center"/>
                </w:tcPr>
                <w:p w14:paraId="6CC366F4">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废化学品包装桶产生量（t/a）</w:t>
                  </w:r>
                </w:p>
              </w:tc>
            </w:tr>
            <w:tr w14:paraId="1AD0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shd w:val="clear" w:color="auto" w:fill="auto"/>
                  <w:vAlign w:val="center"/>
                </w:tcPr>
                <w:p w14:paraId="1775EB2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010" w:type="pct"/>
                  <w:shd w:val="clear" w:color="auto" w:fill="auto"/>
                  <w:vAlign w:val="center"/>
                </w:tcPr>
                <w:p w14:paraId="21CB9A0E">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切削液</w:t>
                  </w:r>
                </w:p>
              </w:tc>
              <w:tc>
                <w:tcPr>
                  <w:tcW w:w="526" w:type="pct"/>
                  <w:shd w:val="clear" w:color="auto" w:fill="auto"/>
                  <w:vAlign w:val="center"/>
                </w:tcPr>
                <w:p w14:paraId="1AE1BED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3</w:t>
                  </w:r>
                </w:p>
              </w:tc>
              <w:tc>
                <w:tcPr>
                  <w:tcW w:w="715" w:type="pct"/>
                  <w:vAlign w:val="center"/>
                </w:tcPr>
                <w:p w14:paraId="6163EB7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819" w:type="pct"/>
                  <w:vAlign w:val="center"/>
                </w:tcPr>
                <w:p w14:paraId="514D238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3" w:type="pct"/>
                  <w:vAlign w:val="center"/>
                </w:tcPr>
                <w:p w14:paraId="212BDE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120</w:t>
                  </w:r>
                </w:p>
              </w:tc>
              <w:tc>
                <w:tcPr>
                  <w:tcW w:w="814" w:type="pct"/>
                  <w:vAlign w:val="center"/>
                </w:tcPr>
                <w:p w14:paraId="1757B53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0.12</w:t>
                  </w:r>
                </w:p>
              </w:tc>
            </w:tr>
            <w:tr w14:paraId="5AED5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shd w:val="clear" w:color="auto" w:fill="auto"/>
                  <w:vAlign w:val="center"/>
                </w:tcPr>
                <w:p w14:paraId="3FC42BF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010" w:type="pct"/>
                  <w:shd w:val="clear" w:color="auto" w:fill="auto"/>
                  <w:vAlign w:val="center"/>
                </w:tcPr>
                <w:p w14:paraId="63D6A4E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水性光亮剂</w:t>
                  </w:r>
                </w:p>
              </w:tc>
              <w:tc>
                <w:tcPr>
                  <w:tcW w:w="526" w:type="pct"/>
                  <w:shd w:val="clear" w:color="auto" w:fill="auto"/>
                  <w:vAlign w:val="center"/>
                </w:tcPr>
                <w:p w14:paraId="3C81F2E9">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5</w:t>
                  </w:r>
                </w:p>
              </w:tc>
              <w:tc>
                <w:tcPr>
                  <w:tcW w:w="715" w:type="pct"/>
                  <w:vAlign w:val="center"/>
                </w:tcPr>
                <w:p w14:paraId="6050B42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819" w:type="pct"/>
                  <w:vAlign w:val="center"/>
                </w:tcPr>
                <w:p w14:paraId="131D12E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3" w:type="pct"/>
                  <w:vAlign w:val="center"/>
                </w:tcPr>
                <w:p w14:paraId="204647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200</w:t>
                  </w:r>
                </w:p>
              </w:tc>
              <w:tc>
                <w:tcPr>
                  <w:tcW w:w="814" w:type="pct"/>
                  <w:vAlign w:val="center"/>
                </w:tcPr>
                <w:p w14:paraId="5D6A87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0.2</w:t>
                  </w:r>
                </w:p>
              </w:tc>
            </w:tr>
            <w:tr w14:paraId="5438F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shd w:val="clear" w:color="auto" w:fill="auto"/>
                  <w:vAlign w:val="center"/>
                </w:tcPr>
                <w:p w14:paraId="5DA695F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1010" w:type="pct"/>
                  <w:shd w:val="clear" w:color="auto" w:fill="auto"/>
                  <w:vAlign w:val="center"/>
                </w:tcPr>
                <w:p w14:paraId="5AD46AB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000000"/>
                      <w:sz w:val="21"/>
                      <w:szCs w:val="21"/>
                      <w:lang w:val="en-US" w:eastAsia="zh-CN"/>
                    </w:rPr>
                    <w:t>中性脱脂剂</w:t>
                  </w:r>
                </w:p>
              </w:tc>
              <w:tc>
                <w:tcPr>
                  <w:tcW w:w="526" w:type="pct"/>
                  <w:shd w:val="clear" w:color="auto" w:fill="auto"/>
                  <w:vAlign w:val="center"/>
                </w:tcPr>
                <w:p w14:paraId="220DDE19">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0.5</w:t>
                  </w:r>
                </w:p>
              </w:tc>
              <w:tc>
                <w:tcPr>
                  <w:tcW w:w="715" w:type="pct"/>
                  <w:shd w:val="clear" w:color="auto" w:fill="auto"/>
                  <w:vAlign w:val="center"/>
                </w:tcPr>
                <w:p w14:paraId="090E17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20kg/桶</w:t>
                  </w:r>
                </w:p>
              </w:tc>
              <w:tc>
                <w:tcPr>
                  <w:tcW w:w="819" w:type="pct"/>
                  <w:vAlign w:val="center"/>
                </w:tcPr>
                <w:p w14:paraId="7CB159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w:t>
                  </w:r>
                </w:p>
              </w:tc>
              <w:tc>
                <w:tcPr>
                  <w:tcW w:w="753" w:type="pct"/>
                  <w:vAlign w:val="center"/>
                </w:tcPr>
                <w:p w14:paraId="44CFEB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25</w:t>
                  </w:r>
                </w:p>
              </w:tc>
              <w:tc>
                <w:tcPr>
                  <w:tcW w:w="814" w:type="pct"/>
                  <w:vAlign w:val="center"/>
                </w:tcPr>
                <w:p w14:paraId="3AB1DB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0.02</w:t>
                  </w:r>
                </w:p>
              </w:tc>
            </w:tr>
            <w:tr w14:paraId="17D6E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shd w:val="clear" w:color="auto" w:fill="auto"/>
                  <w:vAlign w:val="center"/>
                </w:tcPr>
                <w:p w14:paraId="2934632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1010" w:type="pct"/>
                  <w:shd w:val="clear" w:color="auto" w:fill="auto"/>
                  <w:vAlign w:val="center"/>
                </w:tcPr>
                <w:p w14:paraId="59CBA933">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000000"/>
                      <w:sz w:val="21"/>
                      <w:szCs w:val="21"/>
                      <w:lang w:val="en-US" w:eastAsia="zh-CN"/>
                    </w:rPr>
                    <w:t>硅烷处理剂</w:t>
                  </w:r>
                </w:p>
              </w:tc>
              <w:tc>
                <w:tcPr>
                  <w:tcW w:w="526" w:type="pct"/>
                  <w:shd w:val="clear" w:color="auto" w:fill="auto"/>
                  <w:vAlign w:val="center"/>
                </w:tcPr>
                <w:p w14:paraId="7526FCE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8</w:t>
                  </w:r>
                </w:p>
              </w:tc>
              <w:tc>
                <w:tcPr>
                  <w:tcW w:w="715" w:type="pct"/>
                  <w:shd w:val="clear" w:color="auto" w:fill="auto"/>
                  <w:vAlign w:val="center"/>
                </w:tcPr>
                <w:p w14:paraId="73C192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rPr>
                    <w:t>50kg/桶</w:t>
                  </w:r>
                </w:p>
              </w:tc>
              <w:tc>
                <w:tcPr>
                  <w:tcW w:w="819" w:type="pct"/>
                  <w:vAlign w:val="center"/>
                </w:tcPr>
                <w:p w14:paraId="6426847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c>
                <w:tcPr>
                  <w:tcW w:w="753" w:type="pct"/>
                  <w:vAlign w:val="center"/>
                </w:tcPr>
                <w:p w14:paraId="48FF4B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160</w:t>
                  </w:r>
                </w:p>
              </w:tc>
              <w:tc>
                <w:tcPr>
                  <w:tcW w:w="814" w:type="pct"/>
                  <w:vAlign w:val="center"/>
                </w:tcPr>
                <w:p w14:paraId="34B4D1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0.32</w:t>
                  </w:r>
                </w:p>
              </w:tc>
            </w:tr>
            <w:tr w14:paraId="3A07E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shd w:val="clear" w:color="auto" w:fill="auto"/>
                  <w:vAlign w:val="center"/>
                </w:tcPr>
                <w:p w14:paraId="2B0354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1010" w:type="pct"/>
                  <w:shd w:val="clear" w:color="auto" w:fill="auto"/>
                  <w:vAlign w:val="center"/>
                </w:tcPr>
                <w:p w14:paraId="39C2B8A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水性</w:t>
                  </w:r>
                  <w:r>
                    <w:rPr>
                      <w:rFonts w:hint="eastAsia" w:cs="Times New Roman"/>
                      <w:color w:val="000000"/>
                      <w:sz w:val="21"/>
                      <w:szCs w:val="21"/>
                      <w:lang w:val="en-US" w:eastAsia="zh-CN"/>
                    </w:rPr>
                    <w:t>底</w:t>
                  </w:r>
                  <w:r>
                    <w:rPr>
                      <w:rFonts w:hint="eastAsia" w:ascii="Times New Roman" w:hAnsi="Times New Roman" w:eastAsia="宋体" w:cs="Times New Roman"/>
                      <w:color w:val="000000"/>
                      <w:sz w:val="21"/>
                      <w:szCs w:val="21"/>
                      <w:lang w:val="en-US" w:eastAsia="zh-CN"/>
                    </w:rPr>
                    <w:t>漆</w:t>
                  </w:r>
                </w:p>
              </w:tc>
              <w:tc>
                <w:tcPr>
                  <w:tcW w:w="526" w:type="pct"/>
                  <w:shd w:val="clear" w:color="auto" w:fill="auto"/>
                  <w:vAlign w:val="center"/>
                </w:tcPr>
                <w:p w14:paraId="7E33472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5.368</w:t>
                  </w:r>
                </w:p>
              </w:tc>
              <w:tc>
                <w:tcPr>
                  <w:tcW w:w="715" w:type="pct"/>
                  <w:shd w:val="clear" w:color="auto" w:fill="auto"/>
                  <w:vAlign w:val="center"/>
                </w:tcPr>
                <w:p w14:paraId="103E2E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rPr>
                    <w:t>25kg/</w:t>
                  </w:r>
                  <w:r>
                    <w:rPr>
                      <w:rFonts w:hint="eastAsia" w:ascii="Times New Roman" w:hAnsi="Times New Roman" w:eastAsia="宋体" w:cs="Times New Roman"/>
                      <w:color w:val="000000"/>
                      <w:kern w:val="0"/>
                      <w:sz w:val="21"/>
                      <w:szCs w:val="21"/>
                      <w:lang w:val="en-US" w:eastAsia="zh-CN"/>
                    </w:rPr>
                    <w:t>桶</w:t>
                  </w:r>
                </w:p>
              </w:tc>
              <w:tc>
                <w:tcPr>
                  <w:tcW w:w="819" w:type="pct"/>
                  <w:vAlign w:val="center"/>
                </w:tcPr>
                <w:p w14:paraId="3C90F4E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3" w:type="pct"/>
                  <w:vAlign w:val="center"/>
                </w:tcPr>
                <w:p w14:paraId="6A3E4E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215</w:t>
                  </w:r>
                </w:p>
              </w:tc>
              <w:tc>
                <w:tcPr>
                  <w:tcW w:w="814" w:type="pct"/>
                  <w:vAlign w:val="center"/>
                </w:tcPr>
                <w:p w14:paraId="2010A7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0.215</w:t>
                  </w:r>
                </w:p>
              </w:tc>
            </w:tr>
            <w:tr w14:paraId="436C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5" w:type="pct"/>
                  <w:gridSpan w:val="6"/>
                  <w:shd w:val="clear" w:color="auto" w:fill="auto"/>
                  <w:vAlign w:val="center"/>
                </w:tcPr>
                <w:p w14:paraId="1EF9F9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合计</w:t>
                  </w:r>
                </w:p>
              </w:tc>
              <w:tc>
                <w:tcPr>
                  <w:tcW w:w="814" w:type="pct"/>
                  <w:vAlign w:val="center"/>
                </w:tcPr>
                <w:p w14:paraId="1FD181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0.875</w:t>
                  </w:r>
                </w:p>
              </w:tc>
            </w:tr>
          </w:tbl>
          <w:p w14:paraId="23E71D8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根据上表可知，项目废化学品包装桶年产生量为</w:t>
            </w:r>
            <w:r>
              <w:rPr>
                <w:rFonts w:hint="eastAsia" w:ascii="Times New Roman" w:hAnsi="Times New Roman" w:cs="Times New Roman"/>
                <w:color w:val="000000" w:themeColor="text1"/>
                <w:kern w:val="0"/>
                <w:sz w:val="24"/>
                <w:lang w:val="en-US" w:eastAsia="zh-CN"/>
                <w14:textFill>
                  <w14:solidFill>
                    <w14:schemeClr w14:val="tx1"/>
                  </w14:solidFill>
                </w14:textFill>
              </w:rPr>
              <w:t>0.875</w:t>
            </w:r>
            <w:r>
              <w:rPr>
                <w:rFonts w:hint="default" w:ascii="Times New Roman" w:hAnsi="Times New Roman" w:cs="Times New Roman"/>
                <w:color w:val="000000" w:themeColor="text1"/>
                <w:kern w:val="0"/>
                <w:sz w:val="24"/>
                <w14:textFill>
                  <w14:solidFill>
                    <w14:schemeClr w14:val="tx1"/>
                  </w14:solidFill>
                </w14:textFill>
              </w:rPr>
              <w:t>t/a。根据</w:t>
            </w:r>
            <w:r>
              <w:rPr>
                <w:rFonts w:hint="default" w:ascii="Times New Roman" w:hAnsi="Times New Roman" w:cs="Times New Roman"/>
                <w:color w:val="000000" w:themeColor="text1"/>
                <w:sz w:val="24"/>
                <w14:textFill>
                  <w14:solidFill>
                    <w14:schemeClr w14:val="tx1"/>
                  </w14:solidFill>
                </w14:textFill>
              </w:rPr>
              <w:t>《国家危险废物名录》（2025年版），废化学品包装</w:t>
            </w:r>
            <w:r>
              <w:rPr>
                <w:rFonts w:hint="default" w:ascii="Times New Roman" w:hAnsi="Times New Roman" w:cs="Times New Roman"/>
                <w:color w:val="000000" w:themeColor="text1"/>
                <w:kern w:val="0"/>
                <w:sz w:val="24"/>
                <w:szCs w:val="20"/>
                <w14:textFill>
                  <w14:solidFill>
                    <w14:schemeClr w14:val="tx1"/>
                  </w14:solidFill>
                </w14:textFill>
              </w:rPr>
              <w:t>桶</w:t>
            </w:r>
            <w:r>
              <w:rPr>
                <w:rFonts w:hint="default" w:ascii="Times New Roman" w:hAnsi="Times New Roman" w:cs="Times New Roman"/>
                <w:bCs/>
                <w:color w:val="000000" w:themeColor="text1"/>
                <w:sz w:val="24"/>
                <w14:textFill>
                  <w14:solidFill>
                    <w14:schemeClr w14:val="tx1"/>
                  </w14:solidFill>
                </w14:textFill>
              </w:rPr>
              <w:t>属于危废，</w:t>
            </w:r>
            <w:r>
              <w:rPr>
                <w:rFonts w:hint="default" w:ascii="Times New Roman" w:hAnsi="Times New Roman" w:cs="Times New Roman"/>
                <w:color w:val="000000" w:themeColor="text1"/>
                <w:sz w:val="24"/>
                <w14:textFill>
                  <w14:solidFill>
                    <w14:schemeClr w14:val="tx1"/>
                  </w14:solidFill>
                </w14:textFill>
              </w:rPr>
              <w:t>危废类别为HW49其他废物，危废代码为900-041-49</w:t>
            </w:r>
            <w:r>
              <w:rPr>
                <w:rFonts w:hint="default" w:ascii="Times New Roman" w:hAnsi="Times New Roman" w:cs="Times New Roman"/>
                <w:color w:val="000000" w:themeColor="text1"/>
                <w:kern w:val="0"/>
                <w:sz w:val="24"/>
                <w:szCs w:val="20"/>
                <w14:textFill>
                  <w14:solidFill>
                    <w14:schemeClr w14:val="tx1"/>
                  </w14:solidFill>
                </w14:textFill>
              </w:rPr>
              <w:t>。</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，定期交</w:t>
            </w:r>
            <w:r>
              <w:rPr>
                <w:rFonts w:hint="default" w:ascii="Times New Roman" w:hAnsi="Times New Roman" w:cs="Times New Roman"/>
                <w:color w:val="000000" w:themeColor="text1"/>
                <w:sz w:val="24"/>
                <w14:textFill>
                  <w14:solidFill>
                    <w14:schemeClr w14:val="tx1"/>
                  </w14:solidFill>
                </w14:textFill>
              </w:rPr>
              <w:t>由</w:t>
            </w:r>
            <w:r>
              <w:rPr>
                <w:rFonts w:hint="default" w:ascii="Times New Roman" w:hAnsi="Times New Roman" w:cs="Times New Roman"/>
                <w:color w:val="000000" w:themeColor="text1"/>
                <w:sz w:val="24"/>
                <w:lang w:val="zh-CN"/>
                <w14:textFill>
                  <w14:solidFill>
                    <w14:schemeClr w14:val="tx1"/>
                  </w14:solidFill>
                </w14:textFill>
              </w:rPr>
              <w:t>有资质单位进行处理。</w:t>
            </w:r>
          </w:p>
          <w:p w14:paraId="7465BF2D">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⑦</w:t>
            </w:r>
            <w:r>
              <w:rPr>
                <w:rFonts w:hint="default" w:ascii="Times New Roman" w:hAnsi="Times New Roman" w:cs="Times New Roman"/>
                <w:color w:val="000000" w:themeColor="text1"/>
                <w:kern w:val="0"/>
                <w:sz w:val="24"/>
                <w14:textFill>
                  <w14:solidFill>
                    <w14:schemeClr w14:val="tx1"/>
                  </w14:solidFill>
                </w14:textFill>
              </w:rPr>
              <w:t>废油桶（废润滑油桶、废液压油桶）</w:t>
            </w:r>
          </w:p>
          <w:p w14:paraId="7E642571">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项目生产过程中会产生废油桶，其产生量详见下表。</w:t>
            </w:r>
          </w:p>
          <w:p w14:paraId="62FD693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ascii="Times New Roman" w:hAnsi="Times New Roman" w:cs="Times New Roman"/>
                <w:b/>
                <w:color w:val="000000" w:themeColor="text1"/>
                <w:kern w:val="0"/>
                <w:sz w:val="24"/>
                <w:lang w:val="en-US" w:eastAsia="zh-CN"/>
                <w14:textFill>
                  <w14:solidFill>
                    <w14:schemeClr w14:val="tx1"/>
                  </w14:solidFill>
                </w14:textFill>
              </w:rPr>
              <w:t>30</w:t>
            </w:r>
            <w:r>
              <w:rPr>
                <w:rFonts w:hint="default" w:ascii="Times New Roman" w:hAnsi="Times New Roman" w:cs="Times New Roman"/>
                <w:b/>
                <w:color w:val="000000" w:themeColor="text1"/>
                <w:kern w:val="0"/>
                <w:sz w:val="24"/>
                <w14:textFill>
                  <w14:solidFill>
                    <w14:schemeClr w14:val="tx1"/>
                  </w14:solidFill>
                </w14:textFill>
              </w:rPr>
              <w:t xml:space="preserve">  废油桶产生量一览表</w:t>
            </w:r>
          </w:p>
          <w:tbl>
            <w:tblPr>
              <w:tblStyle w:val="6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1722"/>
              <w:gridCol w:w="897"/>
              <w:gridCol w:w="1220"/>
              <w:gridCol w:w="1476"/>
              <w:gridCol w:w="1208"/>
              <w:gridCol w:w="1389"/>
            </w:tblGrid>
            <w:tr w14:paraId="5D5AF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Align w:val="center"/>
                </w:tcPr>
                <w:p w14:paraId="2EBB5FD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010" w:type="pct"/>
                  <w:vAlign w:val="center"/>
                </w:tcPr>
                <w:p w14:paraId="65589FA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526" w:type="pct"/>
                  <w:vAlign w:val="center"/>
                </w:tcPr>
                <w:p w14:paraId="13F1E71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年用量（t/a）</w:t>
                  </w:r>
                </w:p>
              </w:tc>
              <w:tc>
                <w:tcPr>
                  <w:tcW w:w="715" w:type="pct"/>
                  <w:vAlign w:val="center"/>
                </w:tcPr>
                <w:p w14:paraId="423B4F3F">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包装规格</w:t>
                  </w:r>
                </w:p>
              </w:tc>
              <w:tc>
                <w:tcPr>
                  <w:tcW w:w="865" w:type="pct"/>
                  <w:vAlign w:val="center"/>
                </w:tcPr>
                <w:p w14:paraId="785C0152">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桶重（kg/个）</w:t>
                  </w:r>
                </w:p>
              </w:tc>
              <w:tc>
                <w:tcPr>
                  <w:tcW w:w="706" w:type="pct"/>
                  <w:vAlign w:val="center"/>
                </w:tcPr>
                <w:p w14:paraId="6EFD16F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桶个数</w:t>
                  </w:r>
                </w:p>
              </w:tc>
              <w:tc>
                <w:tcPr>
                  <w:tcW w:w="814" w:type="pct"/>
                  <w:vAlign w:val="center"/>
                </w:tcPr>
                <w:p w14:paraId="7CAB940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废油桶产生量（t/a）</w:t>
                  </w:r>
                </w:p>
              </w:tc>
            </w:tr>
            <w:tr w14:paraId="78981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Align w:val="center"/>
                </w:tcPr>
                <w:p w14:paraId="04D549C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010" w:type="pct"/>
                  <w:vAlign w:val="center"/>
                </w:tcPr>
                <w:p w14:paraId="057C5EE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润滑油</w:t>
                  </w:r>
                </w:p>
              </w:tc>
              <w:tc>
                <w:tcPr>
                  <w:tcW w:w="526" w:type="pct"/>
                  <w:vAlign w:val="center"/>
                </w:tcPr>
                <w:p w14:paraId="0F52080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pacing w:val="6"/>
                      <w:szCs w:val="21"/>
                      <w:lang w:eastAsia="zh-CN"/>
                      <w14:textFill>
                        <w14:solidFill>
                          <w14:schemeClr w14:val="tx1"/>
                        </w14:solidFill>
                      </w14:textFill>
                    </w:rPr>
                  </w:pPr>
                  <w:r>
                    <w:rPr>
                      <w:rFonts w:hint="eastAsia" w:ascii="Times New Roman" w:hAnsi="Times New Roman" w:cs="Times New Roman"/>
                      <w:color w:val="000000" w:themeColor="text1"/>
                      <w:spacing w:val="6"/>
                      <w:szCs w:val="21"/>
                      <w:lang w:val="en-US" w:eastAsia="zh-CN"/>
                      <w14:textFill>
                        <w14:solidFill>
                          <w14:schemeClr w14:val="tx1"/>
                        </w14:solidFill>
                      </w14:textFill>
                    </w:rPr>
                    <w:t>2</w:t>
                  </w:r>
                </w:p>
              </w:tc>
              <w:tc>
                <w:tcPr>
                  <w:tcW w:w="715" w:type="pct"/>
                  <w:shd w:val="clear" w:color="auto" w:fill="auto"/>
                  <w:vAlign w:val="center"/>
                </w:tcPr>
                <w:p w14:paraId="5909F5C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1</w:t>
                  </w:r>
                  <w:r>
                    <w:rPr>
                      <w:rFonts w:hint="eastAsia" w:ascii="Times New Roman" w:hAnsi="Times New Roman" w:cs="Times New Roman"/>
                      <w:color w:val="000000" w:themeColor="text1"/>
                      <w:spacing w:val="6"/>
                      <w:szCs w:val="21"/>
                      <w:lang w:val="en-US" w:eastAsia="zh-CN"/>
                      <w14:textFill>
                        <w14:solidFill>
                          <w14:schemeClr w14:val="tx1"/>
                        </w14:solidFill>
                      </w14:textFill>
                    </w:rPr>
                    <w:t>7</w:t>
                  </w:r>
                  <w:r>
                    <w:rPr>
                      <w:rFonts w:hint="default" w:ascii="Times New Roman" w:hAnsi="Times New Roman" w:cs="Times New Roman"/>
                      <w:color w:val="000000" w:themeColor="text1"/>
                      <w:spacing w:val="6"/>
                      <w:szCs w:val="21"/>
                      <w14:textFill>
                        <w14:solidFill>
                          <w14:schemeClr w14:val="tx1"/>
                        </w14:solidFill>
                      </w14:textFill>
                    </w:rPr>
                    <w:t>0kg/桶</w:t>
                  </w:r>
                </w:p>
              </w:tc>
              <w:tc>
                <w:tcPr>
                  <w:tcW w:w="865" w:type="pct"/>
                  <w:shd w:val="clear" w:color="auto" w:fill="auto"/>
                  <w:vAlign w:val="center"/>
                </w:tcPr>
                <w:p w14:paraId="6E262D2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706" w:type="pct"/>
                  <w:shd w:val="clear" w:color="auto" w:fill="auto"/>
                  <w:vAlign w:val="center"/>
                </w:tcPr>
                <w:p w14:paraId="763CAE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18</w:t>
                  </w:r>
                </w:p>
              </w:tc>
              <w:tc>
                <w:tcPr>
                  <w:tcW w:w="814" w:type="pct"/>
                  <w:shd w:val="clear" w:color="auto" w:fill="auto"/>
                  <w:vAlign w:val="center"/>
                </w:tcPr>
                <w:p w14:paraId="499F1FE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r>
                    <w:rPr>
                      <w:rFonts w:hint="eastAsia" w:ascii="Times New Roman" w:hAnsi="Times New Roman" w:cs="Times New Roman"/>
                      <w:color w:val="000000" w:themeColor="text1"/>
                      <w:szCs w:val="21"/>
                      <w:lang w:val="en-US" w:eastAsia="zh-CN"/>
                      <w14:textFill>
                        <w14:solidFill>
                          <w14:schemeClr w14:val="tx1"/>
                        </w14:solidFill>
                      </w14:textFill>
                    </w:rPr>
                    <w:t>4</w:t>
                  </w:r>
                </w:p>
              </w:tc>
            </w:tr>
            <w:tr w14:paraId="38D78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361" w:type="pct"/>
                  <w:vAlign w:val="center"/>
                </w:tcPr>
                <w:p w14:paraId="7E15D2A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010" w:type="pct"/>
                  <w:vAlign w:val="center"/>
                </w:tcPr>
                <w:p w14:paraId="26403F2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液压油</w:t>
                  </w:r>
                </w:p>
              </w:tc>
              <w:tc>
                <w:tcPr>
                  <w:tcW w:w="526" w:type="pct"/>
                  <w:vAlign w:val="center"/>
                </w:tcPr>
                <w:p w14:paraId="09C3318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pacing w:val="6"/>
                      <w:szCs w:val="21"/>
                      <w:lang w:eastAsia="zh-CN"/>
                      <w14:textFill>
                        <w14:solidFill>
                          <w14:schemeClr w14:val="tx1"/>
                        </w14:solidFill>
                      </w14:textFill>
                    </w:rPr>
                  </w:pPr>
                  <w:r>
                    <w:rPr>
                      <w:rFonts w:hint="eastAsia" w:ascii="Times New Roman" w:hAnsi="Times New Roman" w:cs="Times New Roman"/>
                      <w:color w:val="000000" w:themeColor="text1"/>
                      <w:spacing w:val="6"/>
                      <w:szCs w:val="21"/>
                      <w:lang w:val="en-US" w:eastAsia="zh-CN"/>
                      <w14:textFill>
                        <w14:solidFill>
                          <w14:schemeClr w14:val="tx1"/>
                        </w14:solidFill>
                      </w14:textFill>
                    </w:rPr>
                    <w:t>1</w:t>
                  </w:r>
                </w:p>
              </w:tc>
              <w:tc>
                <w:tcPr>
                  <w:tcW w:w="715" w:type="pct"/>
                  <w:shd w:val="clear" w:color="auto" w:fill="auto"/>
                  <w:vAlign w:val="center"/>
                </w:tcPr>
                <w:p w14:paraId="204EEB2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1</w:t>
                  </w:r>
                  <w:r>
                    <w:rPr>
                      <w:rFonts w:hint="eastAsia" w:ascii="Times New Roman" w:hAnsi="Times New Roman" w:cs="Times New Roman"/>
                      <w:color w:val="000000" w:themeColor="text1"/>
                      <w:spacing w:val="6"/>
                      <w:szCs w:val="21"/>
                      <w:lang w:val="en-US" w:eastAsia="zh-CN"/>
                      <w14:textFill>
                        <w14:solidFill>
                          <w14:schemeClr w14:val="tx1"/>
                        </w14:solidFill>
                      </w14:textFill>
                    </w:rPr>
                    <w:t>7</w:t>
                  </w:r>
                  <w:r>
                    <w:rPr>
                      <w:rFonts w:hint="default" w:ascii="Times New Roman" w:hAnsi="Times New Roman" w:cs="Times New Roman"/>
                      <w:color w:val="000000" w:themeColor="text1"/>
                      <w:spacing w:val="6"/>
                      <w:szCs w:val="21"/>
                      <w14:textFill>
                        <w14:solidFill>
                          <w14:schemeClr w14:val="tx1"/>
                        </w14:solidFill>
                      </w14:textFill>
                    </w:rPr>
                    <w:t>0kg/桶</w:t>
                  </w:r>
                </w:p>
              </w:tc>
              <w:tc>
                <w:tcPr>
                  <w:tcW w:w="865" w:type="pct"/>
                  <w:shd w:val="clear" w:color="auto" w:fill="auto"/>
                  <w:vAlign w:val="center"/>
                </w:tcPr>
                <w:p w14:paraId="0E9FB6A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706" w:type="pct"/>
                  <w:shd w:val="clear" w:color="auto" w:fill="auto"/>
                  <w:vAlign w:val="center"/>
                </w:tcPr>
                <w:p w14:paraId="0A2821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6</w:t>
                  </w:r>
                </w:p>
              </w:tc>
              <w:tc>
                <w:tcPr>
                  <w:tcW w:w="814" w:type="pct"/>
                  <w:shd w:val="clear" w:color="auto" w:fill="auto"/>
                  <w:vAlign w:val="center"/>
                </w:tcPr>
                <w:p w14:paraId="202EA7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18</w:t>
                  </w:r>
                </w:p>
              </w:tc>
            </w:tr>
            <w:tr w14:paraId="73A5F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5" w:type="pct"/>
                  <w:gridSpan w:val="6"/>
                  <w:vAlign w:val="center"/>
                </w:tcPr>
                <w:p w14:paraId="212EB4F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合计</w:t>
                  </w:r>
                </w:p>
              </w:tc>
              <w:tc>
                <w:tcPr>
                  <w:tcW w:w="814" w:type="pct"/>
                  <w:vAlign w:val="center"/>
                </w:tcPr>
                <w:p w14:paraId="0F6368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0.72</w:t>
                  </w:r>
                </w:p>
              </w:tc>
            </w:tr>
          </w:tbl>
          <w:p w14:paraId="418F172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根据上表可知，项目废油桶年产生量为</w:t>
            </w:r>
            <w:r>
              <w:rPr>
                <w:rFonts w:hint="eastAsia" w:ascii="Times New Roman" w:hAnsi="Times New Roman" w:cs="Times New Roman"/>
                <w:color w:val="000000" w:themeColor="text1"/>
                <w:kern w:val="0"/>
                <w:sz w:val="24"/>
                <w:lang w:val="en-US" w:eastAsia="zh-CN"/>
                <w14:textFill>
                  <w14:solidFill>
                    <w14:schemeClr w14:val="tx1"/>
                  </w14:solidFill>
                </w14:textFill>
              </w:rPr>
              <w:t>0.72</w:t>
            </w:r>
            <w:r>
              <w:rPr>
                <w:rFonts w:hint="default" w:ascii="Times New Roman" w:hAnsi="Times New Roman" w:cs="Times New Roman"/>
                <w:color w:val="000000" w:themeColor="text1"/>
                <w:kern w:val="0"/>
                <w:sz w:val="24"/>
                <w14:textFill>
                  <w14:solidFill>
                    <w14:schemeClr w14:val="tx1"/>
                  </w14:solidFill>
                </w14:textFill>
              </w:rPr>
              <w:t>t/a。根据</w:t>
            </w:r>
            <w:r>
              <w:rPr>
                <w:rFonts w:hint="default" w:ascii="Times New Roman" w:hAnsi="Times New Roman" w:cs="Times New Roman"/>
                <w:color w:val="000000" w:themeColor="text1"/>
                <w:sz w:val="24"/>
                <w14:textFill>
                  <w14:solidFill>
                    <w14:schemeClr w14:val="tx1"/>
                  </w14:solidFill>
                </w14:textFill>
              </w:rPr>
              <w:t>《国家危险废物名录》（2025年版），废油桶</w:t>
            </w:r>
            <w:r>
              <w:rPr>
                <w:rFonts w:hint="default" w:ascii="Times New Roman" w:hAnsi="Times New Roman" w:cs="Times New Roman"/>
                <w:bCs/>
                <w:color w:val="000000" w:themeColor="text1"/>
                <w:sz w:val="24"/>
                <w14:textFill>
                  <w14:solidFill>
                    <w14:schemeClr w14:val="tx1"/>
                  </w14:solidFill>
                </w14:textFill>
              </w:rPr>
              <w:t>属于危废，</w:t>
            </w:r>
            <w:r>
              <w:rPr>
                <w:rFonts w:hint="default" w:ascii="Times New Roman" w:hAnsi="Times New Roman" w:cs="Times New Roman"/>
                <w:color w:val="000000" w:themeColor="text1"/>
                <w:sz w:val="24"/>
                <w14:textFill>
                  <w14:solidFill>
                    <w14:schemeClr w14:val="tx1"/>
                  </w14:solidFill>
                </w14:textFill>
              </w:rPr>
              <w:t>危废类别为HW08废矿物油与含矿物油废物，危废代码为900-249-08</w:t>
            </w:r>
            <w:r>
              <w:rPr>
                <w:rFonts w:hint="default" w:ascii="Times New Roman" w:hAnsi="Times New Roman" w:cs="Times New Roman"/>
                <w:color w:val="000000" w:themeColor="text1"/>
                <w:kern w:val="0"/>
                <w:sz w:val="24"/>
                <w:szCs w:val="20"/>
                <w14:textFill>
                  <w14:solidFill>
                    <w14:schemeClr w14:val="tx1"/>
                  </w14:solidFill>
                </w14:textFill>
              </w:rPr>
              <w:t>。</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，定期交</w:t>
            </w:r>
            <w:r>
              <w:rPr>
                <w:rFonts w:hint="default" w:ascii="Times New Roman" w:hAnsi="Times New Roman" w:cs="Times New Roman"/>
                <w:color w:val="000000" w:themeColor="text1"/>
                <w:sz w:val="24"/>
                <w14:textFill>
                  <w14:solidFill>
                    <w14:schemeClr w14:val="tx1"/>
                  </w14:solidFill>
                </w14:textFill>
              </w:rPr>
              <w:t>由</w:t>
            </w:r>
            <w:r>
              <w:rPr>
                <w:rFonts w:hint="default" w:ascii="Times New Roman" w:hAnsi="Times New Roman" w:cs="Times New Roman"/>
                <w:color w:val="000000" w:themeColor="text1"/>
                <w:sz w:val="24"/>
                <w:lang w:val="zh-CN"/>
                <w14:textFill>
                  <w14:solidFill>
                    <w14:schemeClr w14:val="tx1"/>
                  </w14:solidFill>
                </w14:textFill>
              </w:rPr>
              <w:t>有资质单位进行处理。</w:t>
            </w:r>
          </w:p>
          <w:p w14:paraId="62434867">
            <w:pPr>
              <w:keepNext w:val="0"/>
              <w:keepLines w:val="0"/>
              <w:widowControl/>
              <w:suppressLineNumbers w:val="0"/>
              <w:spacing w:before="0" w:beforeAutospacing="0" w:after="0" w:afterAutospacing="0" w:line="360" w:lineRule="auto"/>
              <w:ind w:left="0" w:right="0" w:firstLine="480" w:firstLineChars="200"/>
              <w:jc w:val="left"/>
              <w:rPr>
                <w:rFonts w:hint="default"/>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⑧</w:t>
            </w:r>
            <w:r>
              <w:rPr>
                <w:rFonts w:hint="default"/>
                <w:color w:val="000000" w:themeColor="text1"/>
                <w:sz w:val="24"/>
                <w14:textFill>
                  <w14:solidFill>
                    <w14:schemeClr w14:val="tx1"/>
                  </w14:solidFill>
                </w14:textFill>
              </w:rPr>
              <w:t>槽渣</w:t>
            </w:r>
          </w:p>
          <w:p w14:paraId="4A3D73B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项目在</w:t>
            </w:r>
            <w:r>
              <w:rPr>
                <w:rFonts w:hint="eastAsia"/>
                <w:color w:val="000000" w:themeColor="text1"/>
                <w:sz w:val="24"/>
                <w:lang w:val="en-US" w:eastAsia="zh-CN"/>
                <w14:textFill>
                  <w14:solidFill>
                    <w14:schemeClr w14:val="tx1"/>
                  </w14:solidFill>
                </w14:textFill>
              </w:rPr>
              <w:t>磁力研磨</w:t>
            </w:r>
            <w:r>
              <w:rPr>
                <w:rFonts w:hint="default"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超声波清洗</w:t>
            </w:r>
            <w:r>
              <w:rPr>
                <w:rFonts w:hint="default"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lang w:val="en-US" w:eastAsia="zh-CN"/>
                <w14:textFill>
                  <w14:solidFill>
                    <w14:schemeClr w14:val="tx1"/>
                  </w14:solidFill>
                </w14:textFill>
              </w:rPr>
              <w:t>前处理</w:t>
            </w:r>
            <w:r>
              <w:rPr>
                <w:rFonts w:hint="default"/>
                <w:color w:val="000000" w:themeColor="text1"/>
                <w:sz w:val="24"/>
                <w14:textFill>
                  <w14:solidFill>
                    <w14:schemeClr w14:val="tx1"/>
                  </w14:solidFill>
                </w14:textFill>
              </w:rPr>
              <w:t>工序会产生废槽渣，定期打捞槽渣。根据业主提供的资料以及同类项目类比分析，废槽渣产生量约2t/a。根据《国家危险废物名录》（2025年版），</w:t>
            </w:r>
            <w:r>
              <w:rPr>
                <w:rFonts w:hint="default"/>
                <w:bCs/>
                <w:color w:val="000000" w:themeColor="text1"/>
                <w:sz w:val="24"/>
                <w14:textFill>
                  <w14:solidFill>
                    <w14:schemeClr w14:val="tx1"/>
                  </w14:solidFill>
                </w14:textFill>
              </w:rPr>
              <w:t>产生的</w:t>
            </w:r>
            <w:r>
              <w:rPr>
                <w:rFonts w:hint="default"/>
                <w:color w:val="000000" w:themeColor="text1"/>
                <w:sz w:val="24"/>
                <w14:textFill>
                  <w14:solidFill>
                    <w14:schemeClr w14:val="tx1"/>
                  </w14:solidFill>
                </w14:textFill>
              </w:rPr>
              <w:t>槽渣</w:t>
            </w:r>
            <w:r>
              <w:rPr>
                <w:rFonts w:hint="default"/>
                <w:bCs/>
                <w:color w:val="000000" w:themeColor="text1"/>
                <w:sz w:val="24"/>
                <w14:textFill>
                  <w14:solidFill>
                    <w14:schemeClr w14:val="tx1"/>
                  </w14:solidFill>
                </w14:textFill>
              </w:rPr>
              <w:t>属于危废，</w:t>
            </w:r>
            <w:r>
              <w:rPr>
                <w:rFonts w:hint="default"/>
                <w:color w:val="000000" w:themeColor="text1"/>
                <w:sz w:val="24"/>
                <w14:textFill>
                  <w14:solidFill>
                    <w14:schemeClr w14:val="tx1"/>
                  </w14:solidFill>
                </w14:textFill>
              </w:rPr>
              <w:t>危废类别为HW17表面处理废物，危废</w:t>
            </w:r>
            <w:r>
              <w:rPr>
                <w:rFonts w:hint="default" w:ascii="Times New Roman" w:hAnsi="Times New Roman" w:eastAsia="宋体" w:cs="Times New Roman"/>
                <w:color w:val="000000" w:themeColor="text1"/>
                <w:sz w:val="24"/>
                <w14:textFill>
                  <w14:solidFill>
                    <w14:schemeClr w14:val="tx1"/>
                  </w14:solidFill>
                </w14:textFill>
              </w:rPr>
              <w:t>代码为336-064-17。</w:t>
            </w:r>
            <w:r>
              <w:rPr>
                <w:rFonts w:hint="default" w:ascii="Times New Roman" w:hAnsi="Times New Roman" w:eastAsia="宋体" w:cs="Times New Roman"/>
                <w:color w:val="000000" w:themeColor="text1"/>
                <w:sz w:val="24"/>
                <w:lang w:val="zh-CN"/>
                <w14:textFill>
                  <w14:solidFill>
                    <w14:schemeClr w14:val="tx1"/>
                  </w14:solidFill>
                </w14:textFill>
              </w:rPr>
              <w:t>收集后暂存于厂区</w:t>
            </w:r>
            <w:r>
              <w:rPr>
                <w:rFonts w:hint="default" w:ascii="Times New Roman" w:hAnsi="Times New Roman" w:eastAsia="宋体" w:cs="Times New Roman"/>
                <w:color w:val="000000" w:themeColor="text1"/>
                <w:sz w:val="24"/>
                <w14:textFill>
                  <w14:solidFill>
                    <w14:schemeClr w14:val="tx1"/>
                  </w14:solidFill>
                </w14:textFill>
              </w:rPr>
              <w:t>危险废物暂存场所</w:t>
            </w:r>
            <w:r>
              <w:rPr>
                <w:rFonts w:hint="default" w:ascii="Times New Roman" w:hAnsi="Times New Roman" w:eastAsia="宋体" w:cs="Times New Roman"/>
                <w:color w:val="000000" w:themeColor="text1"/>
                <w:sz w:val="24"/>
                <w:lang w:val="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定期交有资质单位进行处理。</w:t>
            </w:r>
          </w:p>
          <w:p w14:paraId="2E09E7E3">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⑨</w:t>
            </w:r>
            <w:r>
              <w:rPr>
                <w:rFonts w:hint="eastAsia" w:ascii="Times New Roman" w:hAnsi="Times New Roman" w:eastAsia="宋体" w:cs="Times New Roman"/>
                <w:color w:val="000000" w:themeColor="text1"/>
                <w:sz w:val="24"/>
                <w:lang w:val="en-US" w:eastAsia="zh-CN"/>
                <w14:textFill>
                  <w14:solidFill>
                    <w14:schemeClr w14:val="tx1"/>
                  </w14:solidFill>
                </w14:textFill>
              </w:rPr>
              <w:t>污泥</w:t>
            </w:r>
          </w:p>
          <w:p w14:paraId="64D0DBB8">
            <w:pPr>
              <w:keepNext w:val="0"/>
              <w:keepLines w:val="0"/>
              <w:widowControl/>
              <w:suppressLineNumbers w:val="0"/>
              <w:spacing w:before="0" w:beforeAutospacing="0" w:after="0" w:afterAutospacing="0" w:line="360" w:lineRule="auto"/>
              <w:ind w:left="0" w:right="0" w:firstLine="480" w:firstLineChars="200"/>
              <w:jc w:val="left"/>
              <w:rPr>
                <w:rFonts w:hint="default"/>
                <w:color w:val="auto"/>
              </w:rPr>
            </w:pPr>
            <w:r>
              <w:rPr>
                <w:rFonts w:hint="default"/>
                <w:color w:val="auto"/>
                <w:kern w:val="0"/>
                <w:sz w:val="24"/>
                <w:lang w:bidi="ar"/>
              </w:rPr>
              <w:t xml:space="preserve">根据《排污许可证申请与核发技术规范 水处理（试行）》（HJ978-2018）中的关于污泥产生量的计算公式： </w:t>
            </w:r>
          </w:p>
          <w:p w14:paraId="3B8A0546">
            <w:pPr>
              <w:keepNext w:val="0"/>
              <w:keepLines w:val="0"/>
              <w:widowControl/>
              <w:suppressLineNumbers w:val="0"/>
              <w:spacing w:before="0" w:beforeAutospacing="0" w:after="0" w:afterAutospacing="0" w:line="360" w:lineRule="auto"/>
              <w:ind w:left="0" w:right="0" w:firstLine="480" w:firstLineChars="200"/>
              <w:jc w:val="left"/>
              <w:rPr>
                <w:rFonts w:hint="default"/>
                <w:color w:val="auto"/>
              </w:rPr>
            </w:pPr>
            <w:r>
              <w:rPr>
                <w:rFonts w:hint="default"/>
                <w:color w:val="auto"/>
                <w:kern w:val="0"/>
                <w:sz w:val="24"/>
                <w:lang w:bidi="ar"/>
              </w:rPr>
              <w:t>E</w:t>
            </w:r>
            <w:r>
              <w:rPr>
                <w:rFonts w:hint="default"/>
                <w:color w:val="auto"/>
                <w:kern w:val="0"/>
                <w:sz w:val="12"/>
                <w:szCs w:val="12"/>
                <w:lang w:bidi="ar"/>
              </w:rPr>
              <w:t>产生量</w:t>
            </w:r>
            <w:r>
              <w:rPr>
                <w:rFonts w:hint="default"/>
                <w:color w:val="auto"/>
                <w:kern w:val="0"/>
                <w:sz w:val="24"/>
                <w:lang w:bidi="ar"/>
              </w:rPr>
              <w:t>=1.7×Q×W</w:t>
            </w:r>
            <w:r>
              <w:rPr>
                <w:rFonts w:hint="default"/>
                <w:color w:val="auto"/>
                <w:kern w:val="0"/>
                <w:sz w:val="12"/>
                <w:szCs w:val="12"/>
                <w:lang w:bidi="ar"/>
              </w:rPr>
              <w:t>深</w:t>
            </w:r>
            <w:r>
              <w:rPr>
                <w:rFonts w:hint="default"/>
                <w:color w:val="auto"/>
                <w:kern w:val="0"/>
                <w:sz w:val="24"/>
                <w:lang w:bidi="ar"/>
              </w:rPr>
              <w:t>×10</w:t>
            </w:r>
            <w:r>
              <w:rPr>
                <w:rFonts w:hint="default"/>
                <w:color w:val="auto"/>
                <w:kern w:val="0"/>
                <w:sz w:val="24"/>
                <w:vertAlign w:val="superscript"/>
                <w:lang w:bidi="ar"/>
              </w:rPr>
              <w:t>-4</w:t>
            </w:r>
          </w:p>
          <w:p w14:paraId="38F929B1">
            <w:pPr>
              <w:keepNext w:val="0"/>
              <w:keepLines w:val="0"/>
              <w:widowControl/>
              <w:suppressLineNumbers w:val="0"/>
              <w:spacing w:before="0" w:beforeAutospacing="0" w:after="0" w:afterAutospacing="0" w:line="360" w:lineRule="auto"/>
              <w:ind w:left="0" w:right="0" w:firstLine="480" w:firstLineChars="200"/>
              <w:jc w:val="left"/>
              <w:rPr>
                <w:rFonts w:hint="default"/>
                <w:color w:val="auto"/>
              </w:rPr>
            </w:pPr>
            <w:r>
              <w:rPr>
                <w:rFonts w:hint="default"/>
                <w:color w:val="auto"/>
                <w:kern w:val="0"/>
                <w:sz w:val="24"/>
                <w:lang w:bidi="ar"/>
              </w:rPr>
              <w:t>式中：E</w:t>
            </w:r>
            <w:r>
              <w:rPr>
                <w:rFonts w:hint="default"/>
                <w:color w:val="auto"/>
                <w:kern w:val="0"/>
                <w:sz w:val="12"/>
                <w:szCs w:val="12"/>
                <w:lang w:bidi="ar"/>
              </w:rPr>
              <w:t>产生量</w:t>
            </w:r>
            <w:r>
              <w:rPr>
                <w:rFonts w:hint="default"/>
                <w:color w:val="auto"/>
                <w:kern w:val="0"/>
                <w:sz w:val="24"/>
                <w:lang w:bidi="ar"/>
              </w:rPr>
              <w:t xml:space="preserve">---污水处理过程产生的污泥量，以干泥计，t； </w:t>
            </w:r>
          </w:p>
          <w:p w14:paraId="49C14E48">
            <w:pPr>
              <w:keepNext w:val="0"/>
              <w:keepLines w:val="0"/>
              <w:widowControl/>
              <w:suppressLineNumbers w:val="0"/>
              <w:spacing w:before="0" w:beforeAutospacing="0" w:after="0" w:afterAutospacing="0" w:line="360" w:lineRule="auto"/>
              <w:ind w:left="0" w:right="0" w:firstLine="480" w:firstLineChars="200"/>
              <w:jc w:val="left"/>
              <w:rPr>
                <w:rFonts w:hint="default"/>
                <w:color w:val="auto"/>
              </w:rPr>
            </w:pPr>
            <w:r>
              <w:rPr>
                <w:rFonts w:hint="default"/>
                <w:color w:val="auto"/>
                <w:kern w:val="0"/>
                <w:sz w:val="24"/>
                <w:lang w:bidi="ar"/>
              </w:rPr>
              <w:t>Q---核算时段内废水排放量，m</w:t>
            </w:r>
            <w:r>
              <w:rPr>
                <w:rFonts w:hint="default"/>
                <w:color w:val="auto"/>
                <w:kern w:val="0"/>
                <w:sz w:val="24"/>
                <w:vertAlign w:val="superscript"/>
                <w:lang w:bidi="ar"/>
              </w:rPr>
              <w:t>3</w:t>
            </w:r>
            <w:r>
              <w:rPr>
                <w:rFonts w:hint="default"/>
                <w:color w:val="auto"/>
                <w:kern w:val="0"/>
                <w:sz w:val="24"/>
                <w:lang w:bidi="ar"/>
              </w:rPr>
              <w:t xml:space="preserve">； </w:t>
            </w:r>
          </w:p>
          <w:p w14:paraId="17E4F7FA">
            <w:pPr>
              <w:keepNext w:val="0"/>
              <w:keepLines w:val="0"/>
              <w:widowControl/>
              <w:suppressLineNumbers w:val="0"/>
              <w:spacing w:before="0" w:beforeAutospacing="0" w:after="0" w:afterAutospacing="0" w:line="360" w:lineRule="auto"/>
              <w:ind w:left="0" w:right="0" w:firstLine="480" w:firstLineChars="200"/>
              <w:jc w:val="left"/>
              <w:rPr>
                <w:rFonts w:hint="default"/>
                <w:color w:val="auto"/>
              </w:rPr>
            </w:pPr>
            <w:r>
              <w:rPr>
                <w:rFonts w:hint="default"/>
                <w:color w:val="auto"/>
                <w:kern w:val="0"/>
                <w:sz w:val="24"/>
                <w:lang w:bidi="ar"/>
              </w:rPr>
              <w:t>W</w:t>
            </w:r>
            <w:r>
              <w:rPr>
                <w:rFonts w:hint="default"/>
                <w:color w:val="auto"/>
                <w:kern w:val="0"/>
                <w:sz w:val="12"/>
                <w:szCs w:val="12"/>
                <w:lang w:bidi="ar"/>
              </w:rPr>
              <w:t>深</w:t>
            </w:r>
            <w:r>
              <w:rPr>
                <w:rFonts w:hint="default"/>
                <w:color w:val="auto"/>
                <w:kern w:val="0"/>
                <w:sz w:val="24"/>
                <w:lang w:bidi="ar"/>
              </w:rPr>
              <w:t xml:space="preserve">---有深度处理工艺（添加化学药剂）时按2计，无深度处理工艺时按1计，量纲一。 </w:t>
            </w:r>
          </w:p>
          <w:p w14:paraId="4609E0CD">
            <w:pPr>
              <w:keepNext w:val="0"/>
              <w:keepLines w:val="0"/>
              <w:widowControl/>
              <w:suppressLineNumbers w:val="0"/>
              <w:spacing w:before="0" w:beforeAutospacing="0" w:after="0" w:afterAutospacing="0" w:line="360" w:lineRule="auto"/>
              <w:ind w:left="0" w:right="0" w:firstLine="480" w:firstLineChars="200"/>
              <w:jc w:val="left"/>
              <w:rPr>
                <w:rFonts w:hint="default"/>
                <w:color w:val="auto"/>
              </w:rPr>
            </w:pPr>
            <w:r>
              <w:rPr>
                <w:rFonts w:hint="default"/>
                <w:color w:val="auto"/>
                <w:kern w:val="0"/>
                <w:sz w:val="24"/>
                <w:lang w:bidi="ar"/>
              </w:rPr>
              <w:t>项目污水处理量Q为</w:t>
            </w:r>
            <w:r>
              <w:rPr>
                <w:rFonts w:hint="eastAsia"/>
                <w:bCs/>
                <w:color w:val="auto"/>
                <w:sz w:val="24"/>
                <w:lang w:val="en-US" w:eastAsia="zh-CN"/>
              </w:rPr>
              <w:t>1040.768</w:t>
            </w:r>
            <w:r>
              <w:rPr>
                <w:rFonts w:hint="default"/>
                <w:color w:val="auto"/>
                <w:kern w:val="0"/>
                <w:sz w:val="24"/>
                <w:lang w:bidi="ar"/>
              </w:rPr>
              <w:t>m</w:t>
            </w:r>
            <w:r>
              <w:rPr>
                <w:rFonts w:hint="default"/>
                <w:color w:val="auto"/>
                <w:kern w:val="0"/>
                <w:sz w:val="24"/>
                <w:vertAlign w:val="superscript"/>
                <w:lang w:bidi="ar"/>
              </w:rPr>
              <w:t>3</w:t>
            </w:r>
            <w:r>
              <w:rPr>
                <w:rFonts w:hint="default"/>
                <w:color w:val="auto"/>
                <w:kern w:val="0"/>
                <w:sz w:val="24"/>
                <w:lang w:bidi="ar"/>
              </w:rPr>
              <w:t>/a，有深度处理工艺则 W</w:t>
            </w:r>
            <w:r>
              <w:rPr>
                <w:rFonts w:hint="default"/>
                <w:color w:val="auto"/>
                <w:kern w:val="0"/>
                <w:sz w:val="12"/>
                <w:szCs w:val="12"/>
                <w:lang w:bidi="ar"/>
              </w:rPr>
              <w:t>深</w:t>
            </w:r>
            <w:r>
              <w:rPr>
                <w:rFonts w:hint="default"/>
                <w:color w:val="auto"/>
                <w:kern w:val="0"/>
                <w:sz w:val="24"/>
                <w:lang w:bidi="ar"/>
              </w:rPr>
              <w:t>按2计，则干污泥产生量约为</w:t>
            </w:r>
            <w:r>
              <w:rPr>
                <w:rFonts w:hint="eastAsia"/>
                <w:color w:val="auto"/>
                <w:kern w:val="0"/>
                <w:sz w:val="24"/>
                <w:lang w:val="en-US" w:eastAsia="zh-CN" w:bidi="ar"/>
              </w:rPr>
              <w:t>0.354</w:t>
            </w:r>
            <w:r>
              <w:rPr>
                <w:rFonts w:hint="default"/>
                <w:color w:val="auto"/>
                <w:kern w:val="0"/>
                <w:sz w:val="24"/>
                <w:lang w:bidi="ar"/>
              </w:rPr>
              <w:t>t/a，以含水率80%考虑，则污泥产生量约为</w:t>
            </w:r>
            <w:r>
              <w:rPr>
                <w:rFonts w:hint="eastAsia"/>
                <w:color w:val="auto"/>
                <w:kern w:val="0"/>
                <w:sz w:val="24"/>
                <w:lang w:val="en-US" w:eastAsia="zh-CN" w:bidi="ar"/>
              </w:rPr>
              <w:t>0.177</w:t>
            </w:r>
            <w:r>
              <w:rPr>
                <w:rFonts w:hint="default"/>
                <w:color w:val="auto"/>
                <w:kern w:val="0"/>
                <w:sz w:val="24"/>
                <w:lang w:bidi="ar"/>
              </w:rPr>
              <w:t>t/a（含水80%），根据《国家危险废物名录》（2025 年版），污水处理站污泥属于危险固废，</w:t>
            </w:r>
            <w:r>
              <w:rPr>
                <w:rFonts w:hint="default"/>
                <w:color w:val="auto"/>
                <w:sz w:val="24"/>
              </w:rPr>
              <w:t>危废类别为HW17其他废物，</w:t>
            </w:r>
            <w:r>
              <w:rPr>
                <w:rFonts w:hint="default"/>
                <w:color w:val="auto"/>
                <w:kern w:val="0"/>
                <w:sz w:val="24"/>
                <w:lang w:bidi="ar"/>
              </w:rPr>
              <w:t>废物代码为336-064-17。</w:t>
            </w:r>
          </w:p>
          <w:p w14:paraId="4BC6F73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（3）生活垃圾</w:t>
            </w:r>
          </w:p>
          <w:p w14:paraId="2B062D7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项目劳动定员</w:t>
            </w:r>
            <w:r>
              <w:rPr>
                <w:rFonts w:hint="eastAsia" w:ascii="Times New Roman" w:hAnsi="Times New Roman" w:cs="Times New Roman"/>
                <w:color w:val="000000" w:themeColor="text1"/>
                <w:sz w:val="24"/>
                <w:lang w:val="en-US" w:eastAsia="zh-CN"/>
                <w14:textFill>
                  <w14:solidFill>
                    <w14:schemeClr w14:val="tx1"/>
                  </w14:solidFill>
                </w14:textFill>
              </w:rPr>
              <w:t>100</w:t>
            </w:r>
            <w:r>
              <w:rPr>
                <w:rFonts w:hint="default" w:ascii="Times New Roman" w:hAnsi="Times New Roman" w:cs="Times New Roman"/>
                <w:color w:val="000000" w:themeColor="text1"/>
                <w:sz w:val="24"/>
                <w14:textFill>
                  <w14:solidFill>
                    <w14:schemeClr w14:val="tx1"/>
                  </w14:solidFill>
                </w14:textFill>
              </w:rPr>
              <w:t>人，生活垃圾产生系数按0.5kg/（人·d）计，则项目生活垃圾产生量约为</w:t>
            </w:r>
            <w:r>
              <w:rPr>
                <w:rFonts w:hint="eastAsia" w:ascii="Times New Roman" w:hAnsi="Times New Roman" w:cs="Times New Roman"/>
                <w:color w:val="000000" w:themeColor="text1"/>
                <w:sz w:val="24"/>
                <w:lang w:val="en-US" w:eastAsia="zh-CN"/>
                <w14:textFill>
                  <w14:solidFill>
                    <w14:schemeClr w14:val="tx1"/>
                  </w14:solidFill>
                </w14:textFill>
              </w:rPr>
              <w:t>16</w:t>
            </w:r>
            <w:r>
              <w:rPr>
                <w:rFonts w:hint="default" w:ascii="Times New Roman" w:hAnsi="Times New Roman" w:cs="Times New Roman"/>
                <w:color w:val="000000" w:themeColor="text1"/>
                <w:sz w:val="24"/>
                <w14:textFill>
                  <w14:solidFill>
                    <w14:schemeClr w14:val="tx1"/>
                  </w14:solidFill>
                </w14:textFill>
              </w:rPr>
              <w:t>t/a。生活垃圾利用垃圾桶收集后，由环卫部门定期清运处理。</w:t>
            </w:r>
          </w:p>
          <w:p w14:paraId="270A916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本项目固体废弃物处理措施见下表。</w:t>
            </w:r>
          </w:p>
          <w:p w14:paraId="5B783910">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ascii="Times New Roman" w:hAnsi="Times New Roman" w:cs="Times New Roman"/>
                <w:b/>
                <w:color w:val="000000" w:themeColor="text1"/>
                <w:kern w:val="0"/>
                <w:sz w:val="24"/>
                <w:lang w:val="en-US" w:eastAsia="zh-CN"/>
                <w14:textFill>
                  <w14:solidFill>
                    <w14:schemeClr w14:val="tx1"/>
                  </w14:solidFill>
                </w14:textFill>
              </w:rPr>
              <w:t>31</w:t>
            </w:r>
            <w:r>
              <w:rPr>
                <w:rFonts w:hint="default" w:ascii="Times New Roman" w:hAnsi="Times New Roman" w:cs="Times New Roman"/>
                <w:b/>
                <w:color w:val="000000" w:themeColor="text1"/>
                <w:kern w:val="0"/>
                <w:sz w:val="24"/>
                <w14:textFill>
                  <w14:solidFill>
                    <w14:schemeClr w14:val="tx1"/>
                  </w14:solidFill>
                </w14:textFill>
              </w:rPr>
              <w:t xml:space="preserve">   固体废弃物处理措施一览表</w:t>
            </w:r>
          </w:p>
          <w:tbl>
            <w:tblPr>
              <w:tblStyle w:val="61"/>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377"/>
              <w:gridCol w:w="901"/>
              <w:gridCol w:w="930"/>
              <w:gridCol w:w="587"/>
              <w:gridCol w:w="1794"/>
              <w:gridCol w:w="483"/>
              <w:gridCol w:w="927"/>
              <w:gridCol w:w="743"/>
              <w:gridCol w:w="596"/>
              <w:gridCol w:w="378"/>
              <w:gridCol w:w="691"/>
            </w:tblGrid>
            <w:tr w14:paraId="221EE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3" w:hRule="atLeast"/>
                <w:jc w:val="center"/>
              </w:trPr>
              <w:tc>
                <w:tcPr>
                  <w:tcW w:w="377" w:type="dxa"/>
                  <w:vAlign w:val="center"/>
                </w:tcPr>
                <w:p w14:paraId="2E31FA33">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901" w:type="dxa"/>
                  <w:vAlign w:val="center"/>
                </w:tcPr>
                <w:p w14:paraId="4E5832C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930" w:type="dxa"/>
                  <w:vAlign w:val="center"/>
                </w:tcPr>
                <w:p w14:paraId="28A08AE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w:t>
                  </w:r>
                </w:p>
                <w:p w14:paraId="31FDA9DE">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环节</w:t>
                  </w:r>
                </w:p>
              </w:tc>
              <w:tc>
                <w:tcPr>
                  <w:tcW w:w="587" w:type="dxa"/>
                  <w:vAlign w:val="center"/>
                </w:tcPr>
                <w:p w14:paraId="6B6A7D57">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废物属性</w:t>
                  </w:r>
                </w:p>
              </w:tc>
              <w:tc>
                <w:tcPr>
                  <w:tcW w:w="1794" w:type="dxa"/>
                  <w:vAlign w:val="center"/>
                </w:tcPr>
                <w:p w14:paraId="6F576EAF">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废物类型及代码</w:t>
                  </w:r>
                </w:p>
              </w:tc>
              <w:tc>
                <w:tcPr>
                  <w:tcW w:w="483" w:type="dxa"/>
                  <w:vAlign w:val="center"/>
                </w:tcPr>
                <w:p w14:paraId="083E27FD">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物理性状</w:t>
                  </w:r>
                </w:p>
              </w:tc>
              <w:tc>
                <w:tcPr>
                  <w:tcW w:w="927" w:type="dxa"/>
                  <w:vAlign w:val="center"/>
                </w:tcPr>
                <w:p w14:paraId="5390C47D">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产生量（t/a）</w:t>
                  </w:r>
                </w:p>
              </w:tc>
              <w:tc>
                <w:tcPr>
                  <w:tcW w:w="743" w:type="dxa"/>
                  <w:vAlign w:val="center"/>
                </w:tcPr>
                <w:p w14:paraId="73CED65C">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w:t>
                  </w:r>
                </w:p>
                <w:p w14:paraId="6102774A">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成分</w:t>
                  </w:r>
                </w:p>
              </w:tc>
              <w:tc>
                <w:tcPr>
                  <w:tcW w:w="596" w:type="dxa"/>
                  <w:vAlign w:val="center"/>
                </w:tcPr>
                <w:p w14:paraId="36A73311">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危险特性</w:t>
                  </w:r>
                </w:p>
              </w:tc>
              <w:tc>
                <w:tcPr>
                  <w:tcW w:w="378" w:type="dxa"/>
                  <w:vAlign w:val="center"/>
                </w:tcPr>
                <w:p w14:paraId="475EDD34">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贮存</w:t>
                  </w:r>
                </w:p>
                <w:p w14:paraId="1D58FF6A">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方式</w:t>
                  </w:r>
                </w:p>
              </w:tc>
              <w:tc>
                <w:tcPr>
                  <w:tcW w:w="691" w:type="dxa"/>
                  <w:vAlign w:val="center"/>
                </w:tcPr>
                <w:p w14:paraId="7A4B521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处置</w:t>
                  </w:r>
                </w:p>
                <w:p w14:paraId="3698E1E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途径</w:t>
                  </w:r>
                </w:p>
              </w:tc>
            </w:tr>
            <w:tr w14:paraId="451A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2" w:hRule="atLeast"/>
                <w:jc w:val="center"/>
              </w:trPr>
              <w:tc>
                <w:tcPr>
                  <w:tcW w:w="377" w:type="dxa"/>
                  <w:vMerge w:val="restart"/>
                  <w:vAlign w:val="center"/>
                </w:tcPr>
                <w:p w14:paraId="16BE0C5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901" w:type="dxa"/>
                  <w:vMerge w:val="restart"/>
                  <w:vAlign w:val="center"/>
                </w:tcPr>
                <w:p w14:paraId="13EB76F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除尘装置收集的粉尘</w:t>
                  </w:r>
                </w:p>
              </w:tc>
              <w:tc>
                <w:tcPr>
                  <w:tcW w:w="930" w:type="dxa"/>
                  <w:vAlign w:val="center"/>
                </w:tcPr>
                <w:p w14:paraId="749B2A3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布袋除尘器</w:t>
                  </w:r>
                </w:p>
              </w:tc>
              <w:tc>
                <w:tcPr>
                  <w:tcW w:w="587" w:type="dxa"/>
                  <w:vMerge w:val="restart"/>
                  <w:vAlign w:val="center"/>
                </w:tcPr>
                <w:p w14:paraId="7FAFB15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一般工业固废</w:t>
                  </w:r>
                </w:p>
              </w:tc>
              <w:tc>
                <w:tcPr>
                  <w:tcW w:w="1794" w:type="dxa"/>
                  <w:vAlign w:val="center"/>
                </w:tcPr>
                <w:p w14:paraId="123307F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4AC61CF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D5343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2.771</w:t>
                  </w:r>
                </w:p>
              </w:tc>
              <w:tc>
                <w:tcPr>
                  <w:tcW w:w="743" w:type="dxa"/>
                  <w:vAlign w:val="center"/>
                </w:tcPr>
                <w:p w14:paraId="6E497A3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金属粉尘</w:t>
                  </w:r>
                </w:p>
              </w:tc>
              <w:tc>
                <w:tcPr>
                  <w:tcW w:w="596" w:type="dxa"/>
                  <w:vAlign w:val="center"/>
                </w:tcPr>
                <w:p w14:paraId="13E2BEB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7CBB3C6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Align w:val="center"/>
                </w:tcPr>
                <w:p w14:paraId="360A52E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收集后外售</w:t>
                  </w:r>
                </w:p>
              </w:tc>
            </w:tr>
            <w:tr w14:paraId="046E1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1" w:hRule="atLeast"/>
                <w:jc w:val="center"/>
              </w:trPr>
              <w:tc>
                <w:tcPr>
                  <w:tcW w:w="377" w:type="dxa"/>
                  <w:vMerge w:val="continue"/>
                  <w:vAlign w:val="center"/>
                </w:tcPr>
                <w:p w14:paraId="1DDF1DF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01" w:type="dxa"/>
                  <w:vMerge w:val="continue"/>
                  <w:vAlign w:val="center"/>
                </w:tcPr>
                <w:p w14:paraId="138D153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30" w:type="dxa"/>
                  <w:vAlign w:val="center"/>
                </w:tcPr>
                <w:p w14:paraId="26730D2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滤筒+脉冲布袋除尘器</w:t>
                  </w:r>
                </w:p>
              </w:tc>
              <w:tc>
                <w:tcPr>
                  <w:tcW w:w="587" w:type="dxa"/>
                  <w:vMerge w:val="continue"/>
                  <w:vAlign w:val="center"/>
                </w:tcPr>
                <w:p w14:paraId="26CCAA4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14AC104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SW17/900-099-S17</w:t>
                  </w:r>
                </w:p>
              </w:tc>
              <w:tc>
                <w:tcPr>
                  <w:tcW w:w="483" w:type="dxa"/>
                  <w:vAlign w:val="center"/>
                </w:tcPr>
                <w:p w14:paraId="27F8272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76034D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51.118</w:t>
                  </w:r>
                </w:p>
              </w:tc>
              <w:tc>
                <w:tcPr>
                  <w:tcW w:w="743" w:type="dxa"/>
                  <w:vAlign w:val="center"/>
                </w:tcPr>
                <w:p w14:paraId="77CB84C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树脂粉末</w:t>
                  </w:r>
                </w:p>
              </w:tc>
              <w:tc>
                <w:tcPr>
                  <w:tcW w:w="596" w:type="dxa"/>
                  <w:vAlign w:val="center"/>
                </w:tcPr>
                <w:p w14:paraId="55B112F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05317DC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Align w:val="center"/>
                </w:tcPr>
                <w:p w14:paraId="56B1F76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收集后回用于生产</w:t>
                  </w:r>
                </w:p>
              </w:tc>
            </w:tr>
            <w:tr w14:paraId="49F3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1" w:hRule="atLeast"/>
                <w:jc w:val="center"/>
              </w:trPr>
              <w:tc>
                <w:tcPr>
                  <w:tcW w:w="377" w:type="dxa"/>
                  <w:vAlign w:val="center"/>
                </w:tcPr>
                <w:p w14:paraId="0EA10D7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901" w:type="dxa"/>
                  <w:vAlign w:val="center"/>
                </w:tcPr>
                <w:p w14:paraId="538EA01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废包装材料</w:t>
                  </w:r>
                </w:p>
              </w:tc>
              <w:tc>
                <w:tcPr>
                  <w:tcW w:w="930" w:type="dxa"/>
                  <w:vAlign w:val="center"/>
                </w:tcPr>
                <w:p w14:paraId="21A16B7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包装</w:t>
                  </w:r>
                </w:p>
              </w:tc>
              <w:tc>
                <w:tcPr>
                  <w:tcW w:w="587" w:type="dxa"/>
                  <w:vMerge w:val="continue"/>
                  <w:vAlign w:val="center"/>
                </w:tcPr>
                <w:p w14:paraId="48A4F33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7B13AB9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SW17/900-005-S17</w:t>
                  </w:r>
                </w:p>
              </w:tc>
              <w:tc>
                <w:tcPr>
                  <w:tcW w:w="483" w:type="dxa"/>
                  <w:vAlign w:val="center"/>
                </w:tcPr>
                <w:p w14:paraId="3CABCB6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5A703C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0.05</w:t>
                  </w:r>
                </w:p>
              </w:tc>
              <w:tc>
                <w:tcPr>
                  <w:tcW w:w="743" w:type="dxa"/>
                  <w:vAlign w:val="center"/>
                </w:tcPr>
                <w:p w14:paraId="1348256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废塑、纸袋等</w:t>
                  </w:r>
                </w:p>
              </w:tc>
              <w:tc>
                <w:tcPr>
                  <w:tcW w:w="596" w:type="dxa"/>
                  <w:vAlign w:val="center"/>
                </w:tcPr>
                <w:p w14:paraId="51CFF14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316728B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restart"/>
                  <w:vAlign w:val="center"/>
                </w:tcPr>
                <w:p w14:paraId="5D92207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收集后外售</w:t>
                  </w:r>
                </w:p>
              </w:tc>
            </w:tr>
            <w:tr w14:paraId="110DB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19456D6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901" w:type="dxa"/>
                  <w:vAlign w:val="center"/>
                </w:tcPr>
                <w:p w14:paraId="1783B17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废布袋、滤筒</w:t>
                  </w:r>
                </w:p>
              </w:tc>
              <w:tc>
                <w:tcPr>
                  <w:tcW w:w="930" w:type="dxa"/>
                  <w:vAlign w:val="center"/>
                </w:tcPr>
                <w:p w14:paraId="323ACA1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粉尘治</w:t>
                  </w:r>
                </w:p>
                <w:p w14:paraId="1466A06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理设施</w:t>
                  </w:r>
                </w:p>
              </w:tc>
              <w:tc>
                <w:tcPr>
                  <w:tcW w:w="587" w:type="dxa"/>
                  <w:vMerge w:val="continue"/>
                  <w:vAlign w:val="center"/>
                </w:tcPr>
                <w:p w14:paraId="4023778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2BADBBD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SW59/900-009-S59</w:t>
                  </w:r>
                </w:p>
              </w:tc>
              <w:tc>
                <w:tcPr>
                  <w:tcW w:w="483" w:type="dxa"/>
                  <w:vAlign w:val="center"/>
                </w:tcPr>
                <w:p w14:paraId="430C886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52DA2BC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743" w:type="dxa"/>
                  <w:vAlign w:val="center"/>
                </w:tcPr>
                <w:p w14:paraId="16CDCF3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滤布</w:t>
                  </w:r>
                </w:p>
              </w:tc>
              <w:tc>
                <w:tcPr>
                  <w:tcW w:w="596" w:type="dxa"/>
                  <w:vAlign w:val="center"/>
                </w:tcPr>
                <w:p w14:paraId="7092BEE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48B37D6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28DF13F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5834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Merge w:val="restart"/>
                  <w:vAlign w:val="center"/>
                </w:tcPr>
                <w:p w14:paraId="56329E1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901" w:type="dxa"/>
                  <w:vMerge w:val="restart"/>
                  <w:vAlign w:val="center"/>
                </w:tcPr>
                <w:p w14:paraId="6EE8CF4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930" w:type="dxa"/>
                  <w:vAlign w:val="center"/>
                </w:tcPr>
                <w:p w14:paraId="74656DC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废钢材</w:t>
                  </w:r>
                </w:p>
              </w:tc>
              <w:tc>
                <w:tcPr>
                  <w:tcW w:w="587" w:type="dxa"/>
                  <w:vMerge w:val="continue"/>
                  <w:vAlign w:val="center"/>
                </w:tcPr>
                <w:p w14:paraId="7230422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4067BA0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SW17/900-001-S17</w:t>
                  </w:r>
                </w:p>
              </w:tc>
              <w:tc>
                <w:tcPr>
                  <w:tcW w:w="483" w:type="dxa"/>
                  <w:vAlign w:val="center"/>
                </w:tcPr>
                <w:p w14:paraId="6659486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0A3AB2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0.62</w:t>
                  </w:r>
                </w:p>
              </w:tc>
              <w:tc>
                <w:tcPr>
                  <w:tcW w:w="743" w:type="dxa"/>
                  <w:vAlign w:val="center"/>
                </w:tcPr>
                <w:p w14:paraId="08D5AC4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钢材</w:t>
                  </w:r>
                </w:p>
              </w:tc>
              <w:tc>
                <w:tcPr>
                  <w:tcW w:w="596" w:type="dxa"/>
                  <w:vAlign w:val="center"/>
                </w:tcPr>
                <w:p w14:paraId="083FD86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145D6D0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5F2CE40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02F80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Merge w:val="continue"/>
                  <w:vAlign w:val="center"/>
                </w:tcPr>
                <w:p w14:paraId="61536DF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01" w:type="dxa"/>
                  <w:vMerge w:val="continue"/>
                  <w:vAlign w:val="center"/>
                </w:tcPr>
                <w:p w14:paraId="58AF08D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30" w:type="dxa"/>
                  <w:vAlign w:val="center"/>
                </w:tcPr>
                <w:p w14:paraId="4DF2944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废铝材</w:t>
                  </w:r>
                </w:p>
              </w:tc>
              <w:tc>
                <w:tcPr>
                  <w:tcW w:w="587" w:type="dxa"/>
                  <w:vMerge w:val="continue"/>
                  <w:vAlign w:val="center"/>
                </w:tcPr>
                <w:p w14:paraId="6E2EDA1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1671284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SW17/900-002-S17</w:t>
                  </w:r>
                </w:p>
              </w:tc>
              <w:tc>
                <w:tcPr>
                  <w:tcW w:w="483" w:type="dxa"/>
                  <w:vAlign w:val="center"/>
                </w:tcPr>
                <w:p w14:paraId="0E220A2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4AED1B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w:t>
                  </w:r>
                </w:p>
              </w:tc>
              <w:tc>
                <w:tcPr>
                  <w:tcW w:w="743" w:type="dxa"/>
                  <w:vAlign w:val="center"/>
                </w:tcPr>
                <w:p w14:paraId="05466A0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铝材</w:t>
                  </w:r>
                </w:p>
              </w:tc>
              <w:tc>
                <w:tcPr>
                  <w:tcW w:w="596" w:type="dxa"/>
                  <w:vAlign w:val="center"/>
                </w:tcPr>
                <w:p w14:paraId="795D7F4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12E8BB9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05720A0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4096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015421A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901" w:type="dxa"/>
                  <w:vAlign w:val="center"/>
                </w:tcPr>
                <w:p w14:paraId="139BCE0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含油金属屑</w:t>
                  </w:r>
                </w:p>
              </w:tc>
              <w:tc>
                <w:tcPr>
                  <w:tcW w:w="930" w:type="dxa"/>
                  <w:vAlign w:val="center"/>
                </w:tcPr>
                <w:p w14:paraId="5B3AA7A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切割、机加工</w:t>
                  </w:r>
                </w:p>
              </w:tc>
              <w:tc>
                <w:tcPr>
                  <w:tcW w:w="587" w:type="dxa"/>
                  <w:vMerge w:val="continue"/>
                  <w:vAlign w:val="center"/>
                </w:tcPr>
                <w:p w14:paraId="743F116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328ACCD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SW17/900-099-S17</w:t>
                  </w:r>
                </w:p>
              </w:tc>
              <w:tc>
                <w:tcPr>
                  <w:tcW w:w="483" w:type="dxa"/>
                  <w:vAlign w:val="center"/>
                </w:tcPr>
                <w:p w14:paraId="11E1583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0D01A5A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0.01</w:t>
                  </w:r>
                  <w:r>
                    <w:rPr>
                      <w:rFonts w:hint="eastAsia" w:ascii="Times New Roman" w:hAnsi="Times New Roman" w:cs="Times New Roman"/>
                      <w:color w:val="000000" w:themeColor="text1"/>
                      <w:szCs w:val="21"/>
                      <w:lang w:val="en-US" w:eastAsia="zh-CN"/>
                      <w14:textFill>
                        <w14:solidFill>
                          <w14:schemeClr w14:val="tx1"/>
                        </w14:solidFill>
                      </w14:textFill>
                    </w:rPr>
                    <w:t>4</w:t>
                  </w:r>
                </w:p>
              </w:tc>
              <w:tc>
                <w:tcPr>
                  <w:tcW w:w="743" w:type="dxa"/>
                  <w:vAlign w:val="center"/>
                </w:tcPr>
                <w:p w14:paraId="133C94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金属、矿物油</w:t>
                  </w:r>
                </w:p>
              </w:tc>
              <w:tc>
                <w:tcPr>
                  <w:tcW w:w="596" w:type="dxa"/>
                  <w:shd w:val="clear" w:color="auto" w:fill="auto"/>
                  <w:vAlign w:val="center"/>
                </w:tcPr>
                <w:p w14:paraId="160EE3B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shd w:val="clear" w:color="auto" w:fill="auto"/>
                  <w:vAlign w:val="center"/>
                </w:tcPr>
                <w:p w14:paraId="5441AB6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76589D4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35462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681F98F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901" w:type="dxa"/>
                  <w:shd w:val="clear" w:color="auto" w:fill="auto"/>
                  <w:vAlign w:val="center"/>
                </w:tcPr>
                <w:p w14:paraId="1F3BFF7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水性漆渣</w:t>
                  </w:r>
                </w:p>
              </w:tc>
              <w:tc>
                <w:tcPr>
                  <w:tcW w:w="930" w:type="dxa"/>
                  <w:shd w:val="clear" w:color="auto" w:fill="auto"/>
                  <w:vAlign w:val="center"/>
                </w:tcPr>
                <w:p w14:paraId="5BC459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w:t>
                  </w:r>
                </w:p>
              </w:tc>
              <w:tc>
                <w:tcPr>
                  <w:tcW w:w="587" w:type="dxa"/>
                  <w:vMerge w:val="continue"/>
                  <w:vAlign w:val="center"/>
                </w:tcPr>
                <w:p w14:paraId="16B840C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35994B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shd w:val="clear" w:color="auto" w:fill="auto"/>
                  <w:vAlign w:val="center"/>
                </w:tcPr>
                <w:p w14:paraId="54F77B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半固态</w:t>
                  </w:r>
                </w:p>
              </w:tc>
              <w:tc>
                <w:tcPr>
                  <w:tcW w:w="927" w:type="dxa"/>
                  <w:shd w:val="clear" w:color="auto" w:fill="auto"/>
                  <w:vAlign w:val="center"/>
                </w:tcPr>
                <w:p w14:paraId="35380B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1.5019</w:t>
                  </w:r>
                </w:p>
              </w:tc>
              <w:tc>
                <w:tcPr>
                  <w:tcW w:w="743" w:type="dxa"/>
                  <w:shd w:val="clear" w:color="auto" w:fill="auto"/>
                  <w:vAlign w:val="center"/>
                </w:tcPr>
                <w:p w14:paraId="422855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漆料</w:t>
                  </w:r>
                </w:p>
              </w:tc>
              <w:tc>
                <w:tcPr>
                  <w:tcW w:w="596" w:type="dxa"/>
                  <w:shd w:val="clear" w:color="auto" w:fill="auto"/>
                  <w:vAlign w:val="center"/>
                </w:tcPr>
                <w:p w14:paraId="2075BC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shd w:val="clear" w:color="auto" w:fill="auto"/>
                  <w:vAlign w:val="center"/>
                </w:tcPr>
                <w:p w14:paraId="5FBCB6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65C0ECB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424E8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5F9C32D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w:t>
                  </w:r>
                </w:p>
              </w:tc>
              <w:tc>
                <w:tcPr>
                  <w:tcW w:w="901" w:type="dxa"/>
                  <w:shd w:val="clear" w:color="auto" w:fill="auto"/>
                  <w:vAlign w:val="center"/>
                </w:tcPr>
                <w:p w14:paraId="0657EE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930" w:type="dxa"/>
                  <w:shd w:val="clear" w:color="auto" w:fill="auto"/>
                  <w:vAlign w:val="center"/>
                </w:tcPr>
                <w:p w14:paraId="7676AF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质检</w:t>
                  </w:r>
                </w:p>
              </w:tc>
              <w:tc>
                <w:tcPr>
                  <w:tcW w:w="587" w:type="dxa"/>
                  <w:vMerge w:val="continue"/>
                  <w:vAlign w:val="center"/>
                </w:tcPr>
                <w:p w14:paraId="423C74A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2454EB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shd w:val="clear" w:color="auto" w:fill="auto"/>
                  <w:vAlign w:val="center"/>
                </w:tcPr>
                <w:p w14:paraId="68EA31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shd w:val="clear" w:color="auto" w:fill="auto"/>
                  <w:vAlign w:val="center"/>
                </w:tcPr>
                <w:p w14:paraId="7B7B5F4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1.42</w:t>
                  </w:r>
                </w:p>
              </w:tc>
              <w:tc>
                <w:tcPr>
                  <w:tcW w:w="743" w:type="dxa"/>
                  <w:shd w:val="clear" w:color="auto" w:fill="auto"/>
                  <w:vAlign w:val="center"/>
                </w:tcPr>
                <w:p w14:paraId="470454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钢材、铝材</w:t>
                  </w:r>
                </w:p>
              </w:tc>
              <w:tc>
                <w:tcPr>
                  <w:tcW w:w="596" w:type="dxa"/>
                  <w:shd w:val="clear" w:color="auto" w:fill="auto"/>
                  <w:vAlign w:val="center"/>
                </w:tcPr>
                <w:p w14:paraId="0C222E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shd w:val="clear" w:color="auto" w:fill="auto"/>
                  <w:vAlign w:val="center"/>
                </w:tcPr>
                <w:p w14:paraId="1656A87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散装</w:t>
                  </w:r>
                </w:p>
              </w:tc>
              <w:tc>
                <w:tcPr>
                  <w:tcW w:w="691" w:type="dxa"/>
                  <w:vMerge w:val="continue"/>
                  <w:vAlign w:val="center"/>
                </w:tcPr>
                <w:p w14:paraId="1588F5E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0344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5A7539E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w:t>
                  </w:r>
                </w:p>
              </w:tc>
              <w:tc>
                <w:tcPr>
                  <w:tcW w:w="901" w:type="dxa"/>
                  <w:vAlign w:val="center"/>
                </w:tcPr>
                <w:p w14:paraId="5E3A34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废钢丸</w:t>
                  </w:r>
                </w:p>
              </w:tc>
              <w:tc>
                <w:tcPr>
                  <w:tcW w:w="930" w:type="dxa"/>
                  <w:vAlign w:val="center"/>
                </w:tcPr>
                <w:p w14:paraId="79F22D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抛丸</w:t>
                  </w:r>
                </w:p>
              </w:tc>
              <w:tc>
                <w:tcPr>
                  <w:tcW w:w="587" w:type="dxa"/>
                  <w:vMerge w:val="continue"/>
                  <w:vAlign w:val="center"/>
                </w:tcPr>
                <w:p w14:paraId="5AB9E3D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28677AD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24DF5C2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7DDF3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743" w:type="dxa"/>
                  <w:shd w:val="clear" w:color="auto" w:fill="auto"/>
                  <w:vAlign w:val="center"/>
                </w:tcPr>
                <w:p w14:paraId="08E446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钢丸</w:t>
                  </w:r>
                </w:p>
              </w:tc>
              <w:tc>
                <w:tcPr>
                  <w:tcW w:w="596" w:type="dxa"/>
                  <w:shd w:val="clear" w:color="auto" w:fill="auto"/>
                  <w:vAlign w:val="center"/>
                </w:tcPr>
                <w:p w14:paraId="387F256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378" w:type="dxa"/>
                  <w:shd w:val="clear" w:color="auto" w:fill="auto"/>
                  <w:vAlign w:val="center"/>
                </w:tcPr>
                <w:p w14:paraId="00CA1B0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647BFA7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04DAF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3A55CC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w:t>
                  </w:r>
                </w:p>
              </w:tc>
              <w:tc>
                <w:tcPr>
                  <w:tcW w:w="901" w:type="dxa"/>
                  <w:vAlign w:val="center"/>
                </w:tcPr>
                <w:p w14:paraId="3CC32E8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废钢</w:t>
                  </w:r>
                  <w:r>
                    <w:rPr>
                      <w:rFonts w:hint="eastAsia" w:ascii="Times New Roman" w:hAnsi="Times New Roman" w:eastAsia="宋体" w:cs="Times New Roman"/>
                      <w:color w:val="000000" w:themeColor="text1"/>
                      <w:szCs w:val="21"/>
                      <w:lang w:val="en-US" w:eastAsia="zh-CN"/>
                      <w14:textFill>
                        <w14:solidFill>
                          <w14:schemeClr w14:val="tx1"/>
                        </w14:solidFill>
                      </w14:textFill>
                    </w:rPr>
                    <w:t>砂</w:t>
                  </w:r>
                </w:p>
              </w:tc>
              <w:tc>
                <w:tcPr>
                  <w:tcW w:w="930" w:type="dxa"/>
                  <w:vAlign w:val="center"/>
                </w:tcPr>
                <w:p w14:paraId="3D0088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喷砂</w:t>
                  </w:r>
                </w:p>
              </w:tc>
              <w:tc>
                <w:tcPr>
                  <w:tcW w:w="587" w:type="dxa"/>
                  <w:vMerge w:val="continue"/>
                  <w:vAlign w:val="center"/>
                </w:tcPr>
                <w:p w14:paraId="6A74B32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1141C67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5C861B8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3B45635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743" w:type="dxa"/>
                  <w:shd w:val="clear" w:color="auto" w:fill="auto"/>
                  <w:vAlign w:val="center"/>
                </w:tcPr>
                <w:p w14:paraId="195202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钢</w:t>
                  </w:r>
                  <w:r>
                    <w:rPr>
                      <w:rFonts w:hint="eastAsia" w:ascii="Times New Roman" w:hAnsi="Times New Roman" w:eastAsia="宋体" w:cs="Times New Roman"/>
                      <w:color w:val="000000" w:themeColor="text1"/>
                      <w:szCs w:val="21"/>
                      <w:lang w:val="en-US" w:eastAsia="zh-CN"/>
                      <w14:textFill>
                        <w14:solidFill>
                          <w14:schemeClr w14:val="tx1"/>
                        </w14:solidFill>
                      </w14:textFill>
                    </w:rPr>
                    <w:t>砂</w:t>
                  </w:r>
                </w:p>
              </w:tc>
              <w:tc>
                <w:tcPr>
                  <w:tcW w:w="596" w:type="dxa"/>
                  <w:shd w:val="clear" w:color="auto" w:fill="auto"/>
                  <w:vAlign w:val="center"/>
                </w:tcPr>
                <w:p w14:paraId="48E6138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378" w:type="dxa"/>
                  <w:shd w:val="clear" w:color="auto" w:fill="auto"/>
                  <w:vAlign w:val="center"/>
                </w:tcPr>
                <w:p w14:paraId="56F75E3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761049C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53D5F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749741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901" w:type="dxa"/>
                  <w:vAlign w:val="center"/>
                </w:tcPr>
                <w:p w14:paraId="111177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废</w:t>
                  </w:r>
                  <w:r>
                    <w:rPr>
                      <w:rFonts w:hint="eastAsia" w:ascii="Times New Roman" w:hAnsi="Times New Roman" w:eastAsia="宋体" w:cs="Times New Roman"/>
                      <w:color w:val="000000" w:themeColor="text1"/>
                      <w:szCs w:val="21"/>
                      <w:lang w:val="en-US" w:eastAsia="zh-CN"/>
                      <w14:textFill>
                        <w14:solidFill>
                          <w14:schemeClr w14:val="tx1"/>
                        </w14:solidFill>
                      </w14:textFill>
                    </w:rPr>
                    <w:t>砂带</w:t>
                  </w:r>
                </w:p>
              </w:tc>
              <w:tc>
                <w:tcPr>
                  <w:tcW w:w="930" w:type="dxa"/>
                  <w:vAlign w:val="center"/>
                </w:tcPr>
                <w:p w14:paraId="1F1E7B1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抛光</w:t>
                  </w:r>
                </w:p>
              </w:tc>
              <w:tc>
                <w:tcPr>
                  <w:tcW w:w="587" w:type="dxa"/>
                  <w:vMerge w:val="continue"/>
                  <w:vAlign w:val="center"/>
                </w:tcPr>
                <w:p w14:paraId="6F32BF4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1DBFEEE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1803096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1BC7B99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743" w:type="dxa"/>
                  <w:shd w:val="clear" w:color="auto" w:fill="auto"/>
                  <w:vAlign w:val="center"/>
                </w:tcPr>
                <w:p w14:paraId="260EE2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砂带</w:t>
                  </w:r>
                </w:p>
              </w:tc>
              <w:tc>
                <w:tcPr>
                  <w:tcW w:w="596" w:type="dxa"/>
                  <w:shd w:val="clear" w:color="auto" w:fill="auto"/>
                  <w:vAlign w:val="center"/>
                </w:tcPr>
                <w:p w14:paraId="455F3C2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378" w:type="dxa"/>
                  <w:shd w:val="clear" w:color="auto" w:fill="auto"/>
                  <w:vAlign w:val="center"/>
                </w:tcPr>
                <w:p w14:paraId="2FA4FC4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2C73E6F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2CB7C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7225EA0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w:t>
                  </w:r>
                </w:p>
              </w:tc>
              <w:tc>
                <w:tcPr>
                  <w:tcW w:w="901" w:type="dxa"/>
                  <w:vAlign w:val="center"/>
                </w:tcPr>
                <w:p w14:paraId="60ABF3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废反渗透膜</w:t>
                  </w:r>
                </w:p>
              </w:tc>
              <w:tc>
                <w:tcPr>
                  <w:tcW w:w="930" w:type="dxa"/>
                  <w:vAlign w:val="center"/>
                </w:tcPr>
                <w:p w14:paraId="0A127E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纯水机</w:t>
                  </w:r>
                </w:p>
              </w:tc>
              <w:tc>
                <w:tcPr>
                  <w:tcW w:w="587" w:type="dxa"/>
                  <w:vMerge w:val="continue"/>
                  <w:vAlign w:val="center"/>
                </w:tcPr>
                <w:p w14:paraId="3D21856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573370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w:t>
                  </w:r>
                  <w:r>
                    <w:rPr>
                      <w:rFonts w:hint="eastAsia" w:ascii="Times New Roman" w:hAnsi="Times New Roman" w:cs="Times New Roman"/>
                      <w:color w:val="000000" w:themeColor="text1"/>
                      <w:szCs w:val="21"/>
                      <w:lang w:val="en-US" w:eastAsia="zh-CN"/>
                      <w14:textFill>
                        <w14:solidFill>
                          <w14:schemeClr w14:val="tx1"/>
                        </w14:solidFill>
                      </w14:textFill>
                    </w:rPr>
                    <w:t>0</w:t>
                  </w:r>
                  <w:r>
                    <w:rPr>
                      <w:rFonts w:hint="default" w:ascii="Times New Roman" w:hAnsi="Times New Roman" w:cs="Times New Roman"/>
                      <w:color w:val="000000" w:themeColor="text1"/>
                      <w:szCs w:val="21"/>
                      <w14:textFill>
                        <w14:solidFill>
                          <w14:schemeClr w14:val="tx1"/>
                        </w14:solidFill>
                      </w14:textFill>
                    </w:rPr>
                    <w:t>9-S59</w:t>
                  </w:r>
                </w:p>
              </w:tc>
              <w:tc>
                <w:tcPr>
                  <w:tcW w:w="483" w:type="dxa"/>
                  <w:vAlign w:val="center"/>
                </w:tcPr>
                <w:p w14:paraId="673E714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47306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0.5</w:t>
                  </w:r>
                </w:p>
              </w:tc>
              <w:tc>
                <w:tcPr>
                  <w:tcW w:w="743" w:type="dxa"/>
                  <w:vAlign w:val="center"/>
                </w:tcPr>
                <w:p w14:paraId="0B12B8C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反渗透膜</w:t>
                  </w:r>
                </w:p>
              </w:tc>
              <w:tc>
                <w:tcPr>
                  <w:tcW w:w="596" w:type="dxa"/>
                  <w:shd w:val="clear" w:color="auto" w:fill="auto"/>
                  <w:vAlign w:val="center"/>
                </w:tcPr>
                <w:p w14:paraId="038EC7A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378" w:type="dxa"/>
                  <w:shd w:val="clear" w:color="auto" w:fill="auto"/>
                  <w:vAlign w:val="center"/>
                </w:tcPr>
                <w:p w14:paraId="49ECE77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582A77B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107A5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7796BB7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p>
              </w:tc>
              <w:tc>
                <w:tcPr>
                  <w:tcW w:w="901" w:type="dxa"/>
                  <w:vAlign w:val="center"/>
                </w:tcPr>
                <w:p w14:paraId="6CA2FDA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w:t>
                  </w:r>
                </w:p>
                <w:p w14:paraId="43EADC3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性炭</w:t>
                  </w:r>
                </w:p>
              </w:tc>
              <w:tc>
                <w:tcPr>
                  <w:tcW w:w="930" w:type="dxa"/>
                  <w:vAlign w:val="center"/>
                </w:tcPr>
                <w:p w14:paraId="240E37D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p w14:paraId="508200F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治理</w:t>
                  </w:r>
                </w:p>
              </w:tc>
              <w:tc>
                <w:tcPr>
                  <w:tcW w:w="587" w:type="dxa"/>
                  <w:vMerge w:val="restart"/>
                  <w:vAlign w:val="center"/>
                </w:tcPr>
                <w:p w14:paraId="266CAC6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1794" w:type="dxa"/>
                  <w:vAlign w:val="center"/>
                </w:tcPr>
                <w:p w14:paraId="321D96C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HW49 900-039-49</w:t>
                  </w:r>
                </w:p>
              </w:tc>
              <w:tc>
                <w:tcPr>
                  <w:tcW w:w="483" w:type="dxa"/>
                  <w:vAlign w:val="center"/>
                </w:tcPr>
                <w:p w14:paraId="342DF0B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p w14:paraId="61794F1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态</w:t>
                  </w:r>
                </w:p>
              </w:tc>
              <w:tc>
                <w:tcPr>
                  <w:tcW w:w="927" w:type="dxa"/>
                  <w:vAlign w:val="center"/>
                </w:tcPr>
                <w:p w14:paraId="05DBE3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1.987</w:t>
                  </w:r>
                </w:p>
              </w:tc>
              <w:tc>
                <w:tcPr>
                  <w:tcW w:w="743" w:type="dxa"/>
                  <w:vAlign w:val="center"/>
                </w:tcPr>
                <w:p w14:paraId="5FACA2F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活性炭、</w:t>
                  </w:r>
                </w:p>
                <w:p w14:paraId="7CF3F5C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有机废气</w:t>
                  </w:r>
                </w:p>
              </w:tc>
              <w:tc>
                <w:tcPr>
                  <w:tcW w:w="596" w:type="dxa"/>
                  <w:vAlign w:val="center"/>
                </w:tcPr>
                <w:p w14:paraId="3629BC2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w:t>
                  </w:r>
                </w:p>
              </w:tc>
              <w:tc>
                <w:tcPr>
                  <w:tcW w:w="378" w:type="dxa"/>
                  <w:vAlign w:val="center"/>
                </w:tcPr>
                <w:p w14:paraId="7A23CF4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w:t>
                  </w:r>
                </w:p>
              </w:tc>
              <w:tc>
                <w:tcPr>
                  <w:tcW w:w="691" w:type="dxa"/>
                  <w:vMerge w:val="restart"/>
                  <w:vAlign w:val="center"/>
                </w:tcPr>
                <w:p w14:paraId="4AD2B51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交由资质单位处置</w:t>
                  </w:r>
                </w:p>
              </w:tc>
            </w:tr>
            <w:tr w14:paraId="184FF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40FB02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13</w:t>
                  </w:r>
                </w:p>
              </w:tc>
              <w:tc>
                <w:tcPr>
                  <w:tcW w:w="901" w:type="dxa"/>
                  <w:vAlign w:val="center"/>
                </w:tcPr>
                <w:p w14:paraId="78A959D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废过</w:t>
                  </w:r>
                </w:p>
                <w:p w14:paraId="13E91FA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滤棉</w:t>
                  </w:r>
                </w:p>
              </w:tc>
              <w:tc>
                <w:tcPr>
                  <w:tcW w:w="930" w:type="dxa"/>
                  <w:vAlign w:val="center"/>
                </w:tcPr>
                <w:p w14:paraId="716FC4C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粉尘治</w:t>
                  </w:r>
                </w:p>
                <w:p w14:paraId="67DDA75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理设施</w:t>
                  </w:r>
                </w:p>
              </w:tc>
              <w:tc>
                <w:tcPr>
                  <w:tcW w:w="587" w:type="dxa"/>
                  <w:vMerge w:val="continue"/>
                  <w:vAlign w:val="center"/>
                </w:tcPr>
                <w:p w14:paraId="3D6A924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3C7B3C9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HW49 900-041-49</w:t>
                  </w:r>
                </w:p>
              </w:tc>
              <w:tc>
                <w:tcPr>
                  <w:tcW w:w="483" w:type="dxa"/>
                  <w:vAlign w:val="center"/>
                </w:tcPr>
                <w:p w14:paraId="5ED00B3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p w14:paraId="6E4A930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态</w:t>
                  </w:r>
                </w:p>
              </w:tc>
              <w:tc>
                <w:tcPr>
                  <w:tcW w:w="927" w:type="dxa"/>
                  <w:vAlign w:val="center"/>
                </w:tcPr>
                <w:p w14:paraId="3DF70B7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c>
                <w:tcPr>
                  <w:tcW w:w="743" w:type="dxa"/>
                  <w:vAlign w:val="center"/>
                </w:tcPr>
                <w:p w14:paraId="497EEC2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w:t>
                  </w:r>
                </w:p>
                <w:p w14:paraId="253688E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塑粉、</w:t>
                  </w:r>
                </w:p>
                <w:p w14:paraId="382F05F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漆料</w:t>
                  </w:r>
                </w:p>
              </w:tc>
              <w:tc>
                <w:tcPr>
                  <w:tcW w:w="596" w:type="dxa"/>
                  <w:vAlign w:val="center"/>
                </w:tcPr>
                <w:p w14:paraId="7F04E53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T/In</w:t>
                  </w:r>
                </w:p>
              </w:tc>
              <w:tc>
                <w:tcPr>
                  <w:tcW w:w="378" w:type="dxa"/>
                  <w:vAlign w:val="center"/>
                </w:tcPr>
                <w:p w14:paraId="79D96A6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w:t>
                  </w:r>
                </w:p>
              </w:tc>
              <w:tc>
                <w:tcPr>
                  <w:tcW w:w="691" w:type="dxa"/>
                  <w:vMerge w:val="continue"/>
                  <w:vAlign w:val="center"/>
                </w:tcPr>
                <w:p w14:paraId="24D4F1E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66DCC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4EF227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w:t>
                  </w:r>
                </w:p>
              </w:tc>
              <w:tc>
                <w:tcPr>
                  <w:tcW w:w="901" w:type="dxa"/>
                  <w:vAlign w:val="center"/>
                </w:tcPr>
                <w:p w14:paraId="3AE80B0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930" w:type="dxa"/>
                  <w:vAlign w:val="center"/>
                </w:tcPr>
                <w:p w14:paraId="72FD0CA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机加工</w:t>
                  </w:r>
                </w:p>
              </w:tc>
              <w:tc>
                <w:tcPr>
                  <w:tcW w:w="587" w:type="dxa"/>
                  <w:vMerge w:val="continue"/>
                  <w:vAlign w:val="center"/>
                </w:tcPr>
                <w:p w14:paraId="70DC149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460F23F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HW09 900-006-09</w:t>
                  </w:r>
                </w:p>
              </w:tc>
              <w:tc>
                <w:tcPr>
                  <w:tcW w:w="483" w:type="dxa"/>
                  <w:vAlign w:val="center"/>
                </w:tcPr>
                <w:p w14:paraId="4DE4D59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液态</w:t>
                  </w:r>
                </w:p>
              </w:tc>
              <w:tc>
                <w:tcPr>
                  <w:tcW w:w="927" w:type="dxa"/>
                  <w:vAlign w:val="center"/>
                </w:tcPr>
                <w:p w14:paraId="5EE1CCA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1.26</w:t>
                  </w:r>
                </w:p>
              </w:tc>
              <w:tc>
                <w:tcPr>
                  <w:tcW w:w="743" w:type="dxa"/>
                  <w:vAlign w:val="center"/>
                </w:tcPr>
                <w:p w14:paraId="1776011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切削液</w:t>
                  </w:r>
                </w:p>
              </w:tc>
              <w:tc>
                <w:tcPr>
                  <w:tcW w:w="596" w:type="dxa"/>
                  <w:vAlign w:val="center"/>
                </w:tcPr>
                <w:p w14:paraId="2515571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w:t>
                  </w:r>
                </w:p>
              </w:tc>
              <w:tc>
                <w:tcPr>
                  <w:tcW w:w="378" w:type="dxa"/>
                  <w:vAlign w:val="center"/>
                </w:tcPr>
                <w:p w14:paraId="3EBB68A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36AB5B5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18CDA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3DC62D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901" w:type="dxa"/>
                  <w:vAlign w:val="center"/>
                </w:tcPr>
                <w:p w14:paraId="76DDEA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废润滑油</w:t>
                  </w:r>
                </w:p>
              </w:tc>
              <w:tc>
                <w:tcPr>
                  <w:tcW w:w="930" w:type="dxa"/>
                  <w:vAlign w:val="center"/>
                </w:tcPr>
                <w:p w14:paraId="3A6C54A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设备维修保养</w:t>
                  </w:r>
                </w:p>
              </w:tc>
              <w:tc>
                <w:tcPr>
                  <w:tcW w:w="587" w:type="dxa"/>
                  <w:vMerge w:val="continue"/>
                  <w:vAlign w:val="center"/>
                </w:tcPr>
                <w:p w14:paraId="68F7472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71728D5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HW08 900-214-08</w:t>
                  </w:r>
                </w:p>
              </w:tc>
              <w:tc>
                <w:tcPr>
                  <w:tcW w:w="483" w:type="dxa"/>
                  <w:vAlign w:val="center"/>
                </w:tcPr>
                <w:p w14:paraId="52A6514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液态</w:t>
                  </w:r>
                </w:p>
              </w:tc>
              <w:tc>
                <w:tcPr>
                  <w:tcW w:w="927" w:type="dxa"/>
                  <w:vAlign w:val="center"/>
                </w:tcPr>
                <w:p w14:paraId="5189BE1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2</w:t>
                  </w:r>
                </w:p>
              </w:tc>
              <w:tc>
                <w:tcPr>
                  <w:tcW w:w="743" w:type="dxa"/>
                  <w:vAlign w:val="center"/>
                </w:tcPr>
                <w:p w14:paraId="2C4DED9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润滑油</w:t>
                  </w:r>
                </w:p>
              </w:tc>
              <w:tc>
                <w:tcPr>
                  <w:tcW w:w="596" w:type="dxa"/>
                  <w:vAlign w:val="center"/>
                </w:tcPr>
                <w:p w14:paraId="449FA78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w:t>
                  </w:r>
                </w:p>
              </w:tc>
              <w:tc>
                <w:tcPr>
                  <w:tcW w:w="378" w:type="dxa"/>
                  <w:vAlign w:val="center"/>
                </w:tcPr>
                <w:p w14:paraId="3BEA7CF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2DC9264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7B59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25BDC5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16</w:t>
                  </w:r>
                </w:p>
              </w:tc>
              <w:tc>
                <w:tcPr>
                  <w:tcW w:w="901" w:type="dxa"/>
                  <w:vAlign w:val="center"/>
                </w:tcPr>
                <w:p w14:paraId="7C5F9FB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废液压油</w:t>
                  </w:r>
                </w:p>
              </w:tc>
              <w:tc>
                <w:tcPr>
                  <w:tcW w:w="930" w:type="dxa"/>
                  <w:vAlign w:val="center"/>
                </w:tcPr>
                <w:p w14:paraId="7B7E2DC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设备维修保养</w:t>
                  </w:r>
                </w:p>
              </w:tc>
              <w:tc>
                <w:tcPr>
                  <w:tcW w:w="587" w:type="dxa"/>
                  <w:vMerge w:val="continue"/>
                  <w:vAlign w:val="center"/>
                </w:tcPr>
                <w:p w14:paraId="32AF1B7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02BD549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HW08 900-218-08</w:t>
                  </w:r>
                </w:p>
              </w:tc>
              <w:tc>
                <w:tcPr>
                  <w:tcW w:w="483" w:type="dxa"/>
                  <w:vAlign w:val="center"/>
                </w:tcPr>
                <w:p w14:paraId="3461D1D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液态</w:t>
                  </w:r>
                </w:p>
              </w:tc>
              <w:tc>
                <w:tcPr>
                  <w:tcW w:w="927" w:type="dxa"/>
                  <w:vAlign w:val="center"/>
                </w:tcPr>
                <w:p w14:paraId="27BCAB9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1</w:t>
                  </w:r>
                </w:p>
              </w:tc>
              <w:tc>
                <w:tcPr>
                  <w:tcW w:w="743" w:type="dxa"/>
                  <w:vAlign w:val="center"/>
                </w:tcPr>
                <w:p w14:paraId="0C0F48A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液压油</w:t>
                  </w:r>
                </w:p>
              </w:tc>
              <w:tc>
                <w:tcPr>
                  <w:tcW w:w="596" w:type="dxa"/>
                  <w:vAlign w:val="center"/>
                </w:tcPr>
                <w:p w14:paraId="4161DF4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w:t>
                  </w:r>
                </w:p>
              </w:tc>
              <w:tc>
                <w:tcPr>
                  <w:tcW w:w="378" w:type="dxa"/>
                  <w:vAlign w:val="center"/>
                </w:tcPr>
                <w:p w14:paraId="62BF15E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57B950A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6F3D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25712E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17</w:t>
                  </w:r>
                </w:p>
              </w:tc>
              <w:tc>
                <w:tcPr>
                  <w:tcW w:w="901" w:type="dxa"/>
                  <w:vAlign w:val="center"/>
                </w:tcPr>
                <w:p w14:paraId="01FF838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930" w:type="dxa"/>
                  <w:vAlign w:val="center"/>
                </w:tcPr>
                <w:p w14:paraId="4264D83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原料使用</w:t>
                  </w:r>
                </w:p>
              </w:tc>
              <w:tc>
                <w:tcPr>
                  <w:tcW w:w="587" w:type="dxa"/>
                  <w:vMerge w:val="continue"/>
                  <w:vAlign w:val="center"/>
                </w:tcPr>
                <w:p w14:paraId="31C75C1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4825ED3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HW49 900-041-49</w:t>
                  </w:r>
                </w:p>
              </w:tc>
              <w:tc>
                <w:tcPr>
                  <w:tcW w:w="483" w:type="dxa"/>
                  <w:vAlign w:val="center"/>
                </w:tcPr>
                <w:p w14:paraId="7209927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半固态</w:t>
                  </w:r>
                </w:p>
              </w:tc>
              <w:tc>
                <w:tcPr>
                  <w:tcW w:w="927" w:type="dxa"/>
                  <w:vAlign w:val="center"/>
                </w:tcPr>
                <w:p w14:paraId="7445EB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0.875</w:t>
                  </w:r>
                </w:p>
              </w:tc>
              <w:tc>
                <w:tcPr>
                  <w:tcW w:w="743" w:type="dxa"/>
                  <w:vAlign w:val="center"/>
                </w:tcPr>
                <w:p w14:paraId="395DE8D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矿物油、溶剂</w:t>
                  </w:r>
                </w:p>
              </w:tc>
              <w:tc>
                <w:tcPr>
                  <w:tcW w:w="596" w:type="dxa"/>
                  <w:vAlign w:val="center"/>
                </w:tcPr>
                <w:p w14:paraId="62BB233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T/In</w:t>
                  </w:r>
                </w:p>
              </w:tc>
              <w:tc>
                <w:tcPr>
                  <w:tcW w:w="378" w:type="dxa"/>
                  <w:vAlign w:val="center"/>
                </w:tcPr>
                <w:p w14:paraId="40424F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4AE5DC3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4E355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277BCC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18</w:t>
                  </w:r>
                </w:p>
              </w:tc>
              <w:tc>
                <w:tcPr>
                  <w:tcW w:w="901" w:type="dxa"/>
                  <w:vAlign w:val="center"/>
                </w:tcPr>
                <w:p w14:paraId="535CF0D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930" w:type="dxa"/>
                  <w:vAlign w:val="center"/>
                </w:tcPr>
                <w:p w14:paraId="2F8F6F9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原料使用</w:t>
                  </w:r>
                </w:p>
              </w:tc>
              <w:tc>
                <w:tcPr>
                  <w:tcW w:w="587" w:type="dxa"/>
                  <w:vMerge w:val="continue"/>
                  <w:vAlign w:val="center"/>
                </w:tcPr>
                <w:p w14:paraId="2CB9FD9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7642EAC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HW08 900-249-08</w:t>
                  </w:r>
                </w:p>
              </w:tc>
              <w:tc>
                <w:tcPr>
                  <w:tcW w:w="483" w:type="dxa"/>
                  <w:vAlign w:val="center"/>
                </w:tcPr>
                <w:p w14:paraId="00362C2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半固态</w:t>
                  </w:r>
                </w:p>
              </w:tc>
              <w:tc>
                <w:tcPr>
                  <w:tcW w:w="927" w:type="dxa"/>
                  <w:vAlign w:val="center"/>
                </w:tcPr>
                <w:p w14:paraId="394906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0.72</w:t>
                  </w:r>
                </w:p>
              </w:tc>
              <w:tc>
                <w:tcPr>
                  <w:tcW w:w="743" w:type="dxa"/>
                  <w:shd w:val="clear" w:color="auto" w:fill="auto"/>
                  <w:vAlign w:val="center"/>
                </w:tcPr>
                <w:p w14:paraId="418DFB8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96" w:type="dxa"/>
                  <w:shd w:val="clear" w:color="auto" w:fill="auto"/>
                  <w:vAlign w:val="center"/>
                </w:tcPr>
                <w:p w14:paraId="7EF79F9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w:t>
                  </w:r>
                </w:p>
              </w:tc>
              <w:tc>
                <w:tcPr>
                  <w:tcW w:w="378" w:type="dxa"/>
                  <w:shd w:val="clear" w:color="auto" w:fill="auto"/>
                  <w:vAlign w:val="center"/>
                </w:tcPr>
                <w:p w14:paraId="7CB2687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635EFDA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33DC2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6F58178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19</w:t>
                  </w:r>
                </w:p>
              </w:tc>
              <w:tc>
                <w:tcPr>
                  <w:tcW w:w="901" w:type="dxa"/>
                  <w:vAlign w:val="center"/>
                </w:tcPr>
                <w:p w14:paraId="218AB50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槽渣</w:t>
                  </w:r>
                </w:p>
              </w:tc>
              <w:tc>
                <w:tcPr>
                  <w:tcW w:w="930" w:type="dxa"/>
                  <w:vAlign w:val="center"/>
                </w:tcPr>
                <w:p w14:paraId="614F056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磁力研磨</w:t>
                  </w:r>
                  <w:r>
                    <w:rPr>
                      <w:rFonts w:hint="default"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超声波清洗</w:t>
                  </w:r>
                  <w:r>
                    <w:rPr>
                      <w:rFonts w:hint="default"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前处理</w:t>
                  </w:r>
                  <w:r>
                    <w:rPr>
                      <w:rFonts w:hint="default" w:ascii="Times New Roman" w:hAnsi="Times New Roman" w:eastAsia="宋体" w:cs="Times New Roman"/>
                      <w:color w:val="000000" w:themeColor="text1"/>
                      <w:szCs w:val="21"/>
                      <w14:textFill>
                        <w14:solidFill>
                          <w14:schemeClr w14:val="tx1"/>
                        </w14:solidFill>
                      </w14:textFill>
                    </w:rPr>
                    <w:t>工序</w:t>
                  </w:r>
                </w:p>
              </w:tc>
              <w:tc>
                <w:tcPr>
                  <w:tcW w:w="587" w:type="dxa"/>
                  <w:vMerge w:val="continue"/>
                  <w:vAlign w:val="center"/>
                </w:tcPr>
                <w:p w14:paraId="2F8E83E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09660B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HW17 336-064-17</w:t>
                  </w:r>
                </w:p>
              </w:tc>
              <w:tc>
                <w:tcPr>
                  <w:tcW w:w="483" w:type="dxa"/>
                  <w:shd w:val="clear" w:color="auto" w:fill="auto"/>
                  <w:vAlign w:val="center"/>
                </w:tcPr>
                <w:p w14:paraId="2AC8BA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半固态</w:t>
                  </w:r>
                </w:p>
              </w:tc>
              <w:tc>
                <w:tcPr>
                  <w:tcW w:w="927" w:type="dxa"/>
                  <w:shd w:val="clear" w:color="auto" w:fill="auto"/>
                  <w:vAlign w:val="center"/>
                </w:tcPr>
                <w:p w14:paraId="719987E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2</w:t>
                  </w:r>
                </w:p>
              </w:tc>
              <w:tc>
                <w:tcPr>
                  <w:tcW w:w="743" w:type="dxa"/>
                  <w:shd w:val="clear" w:color="auto" w:fill="auto"/>
                  <w:vAlign w:val="center"/>
                </w:tcPr>
                <w:p w14:paraId="2A00D70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残渣</w:t>
                  </w:r>
                </w:p>
              </w:tc>
              <w:tc>
                <w:tcPr>
                  <w:tcW w:w="596" w:type="dxa"/>
                  <w:shd w:val="clear" w:color="auto" w:fill="auto"/>
                  <w:vAlign w:val="center"/>
                </w:tcPr>
                <w:p w14:paraId="7D4532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T/C</w:t>
                  </w:r>
                </w:p>
              </w:tc>
              <w:tc>
                <w:tcPr>
                  <w:tcW w:w="378" w:type="dxa"/>
                  <w:shd w:val="clear" w:color="auto" w:fill="auto"/>
                  <w:vAlign w:val="center"/>
                </w:tcPr>
                <w:p w14:paraId="62BDC2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袋装</w:t>
                  </w:r>
                </w:p>
              </w:tc>
              <w:tc>
                <w:tcPr>
                  <w:tcW w:w="691" w:type="dxa"/>
                  <w:vMerge w:val="continue"/>
                  <w:vAlign w:val="center"/>
                </w:tcPr>
                <w:p w14:paraId="24E3024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72570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shd w:val="clear" w:color="auto" w:fill="auto"/>
                  <w:vAlign w:val="center"/>
                </w:tcPr>
                <w:p w14:paraId="59DA7D6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20</w:t>
                  </w:r>
                </w:p>
              </w:tc>
              <w:tc>
                <w:tcPr>
                  <w:tcW w:w="901" w:type="dxa"/>
                  <w:shd w:val="clear" w:color="auto" w:fill="auto"/>
                  <w:vAlign w:val="center"/>
                </w:tcPr>
                <w:p w14:paraId="3001FF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污泥</w:t>
                  </w:r>
                </w:p>
              </w:tc>
              <w:tc>
                <w:tcPr>
                  <w:tcW w:w="930" w:type="dxa"/>
                  <w:shd w:val="clear" w:color="auto" w:fill="auto"/>
                  <w:vAlign w:val="center"/>
                </w:tcPr>
                <w:p w14:paraId="32163E5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default" w:eastAsiaTheme="minorEastAsia"/>
                      <w:color w:val="auto"/>
                      <w:kern w:val="0"/>
                      <w:szCs w:val="21"/>
                    </w:rPr>
                    <w:t>污水处理站</w:t>
                  </w:r>
                </w:p>
              </w:tc>
              <w:tc>
                <w:tcPr>
                  <w:tcW w:w="587" w:type="dxa"/>
                  <w:vMerge w:val="continue"/>
                  <w:vAlign w:val="center"/>
                </w:tcPr>
                <w:p w14:paraId="185F0F6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740A47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HW17 336-064-17</w:t>
                  </w:r>
                </w:p>
              </w:tc>
              <w:tc>
                <w:tcPr>
                  <w:tcW w:w="483" w:type="dxa"/>
                  <w:shd w:val="clear" w:color="auto" w:fill="auto"/>
                  <w:vAlign w:val="center"/>
                </w:tcPr>
                <w:p w14:paraId="0DC7A3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半固态</w:t>
                  </w:r>
                </w:p>
              </w:tc>
              <w:tc>
                <w:tcPr>
                  <w:tcW w:w="927" w:type="dxa"/>
                  <w:shd w:val="clear" w:color="auto" w:fill="auto"/>
                  <w:vAlign w:val="center"/>
                </w:tcPr>
                <w:p w14:paraId="33D422C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0.177</w:t>
                  </w:r>
                </w:p>
              </w:tc>
              <w:tc>
                <w:tcPr>
                  <w:tcW w:w="743" w:type="dxa"/>
                  <w:shd w:val="clear" w:color="auto" w:fill="auto"/>
                  <w:vAlign w:val="center"/>
                </w:tcPr>
                <w:p w14:paraId="6F5F6EFA">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污泥、石油类</w:t>
                  </w:r>
                </w:p>
              </w:tc>
              <w:tc>
                <w:tcPr>
                  <w:tcW w:w="596" w:type="dxa"/>
                  <w:shd w:val="clear" w:color="auto" w:fill="auto"/>
                  <w:vAlign w:val="center"/>
                </w:tcPr>
                <w:p w14:paraId="7F12ED70">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T/C</w:t>
                  </w:r>
                </w:p>
              </w:tc>
              <w:tc>
                <w:tcPr>
                  <w:tcW w:w="378" w:type="dxa"/>
                  <w:shd w:val="clear" w:color="auto" w:fill="auto"/>
                  <w:vAlign w:val="center"/>
                </w:tcPr>
                <w:p w14:paraId="14C15845">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桶装</w:t>
                  </w:r>
                </w:p>
              </w:tc>
              <w:tc>
                <w:tcPr>
                  <w:tcW w:w="691" w:type="dxa"/>
                  <w:vMerge w:val="continue"/>
                  <w:vAlign w:val="center"/>
                </w:tcPr>
                <w:p w14:paraId="1D7AD68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5F5F5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 w:hRule="atLeast"/>
                <w:jc w:val="center"/>
              </w:trPr>
              <w:tc>
                <w:tcPr>
                  <w:tcW w:w="377" w:type="dxa"/>
                  <w:vAlign w:val="center"/>
                </w:tcPr>
                <w:p w14:paraId="1F481C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21</w:t>
                  </w:r>
                </w:p>
              </w:tc>
              <w:tc>
                <w:tcPr>
                  <w:tcW w:w="901" w:type="dxa"/>
                  <w:vAlign w:val="center"/>
                </w:tcPr>
                <w:p w14:paraId="2C7B8AF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办公</w:t>
                  </w:r>
                </w:p>
                <w:p w14:paraId="1A8FCFD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w:t>
                  </w:r>
                </w:p>
              </w:tc>
              <w:tc>
                <w:tcPr>
                  <w:tcW w:w="930" w:type="dxa"/>
                  <w:vAlign w:val="center"/>
                </w:tcPr>
                <w:p w14:paraId="1A266E3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办公</w:t>
                  </w:r>
                </w:p>
                <w:p w14:paraId="4F5DE88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w:t>
                  </w:r>
                </w:p>
              </w:tc>
              <w:tc>
                <w:tcPr>
                  <w:tcW w:w="587" w:type="dxa"/>
                  <w:vAlign w:val="center"/>
                </w:tcPr>
                <w:p w14:paraId="60AF3D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1794" w:type="dxa"/>
                  <w:vAlign w:val="center"/>
                </w:tcPr>
                <w:p w14:paraId="3DC978B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SW64/900-099-S64</w:t>
                  </w:r>
                </w:p>
              </w:tc>
              <w:tc>
                <w:tcPr>
                  <w:tcW w:w="483" w:type="dxa"/>
                  <w:vAlign w:val="center"/>
                </w:tcPr>
                <w:p w14:paraId="7528571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7A14A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16</w:t>
                  </w:r>
                </w:p>
              </w:tc>
              <w:tc>
                <w:tcPr>
                  <w:tcW w:w="743" w:type="dxa"/>
                  <w:vAlign w:val="center"/>
                </w:tcPr>
                <w:p w14:paraId="71C308A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有机物及其他</w:t>
                  </w:r>
                </w:p>
              </w:tc>
              <w:tc>
                <w:tcPr>
                  <w:tcW w:w="596" w:type="dxa"/>
                  <w:vAlign w:val="center"/>
                </w:tcPr>
                <w:p w14:paraId="6231051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0D9CB28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91" w:type="dxa"/>
                  <w:vAlign w:val="center"/>
                </w:tcPr>
                <w:p w14:paraId="4F7890F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委托环卫部门处理</w:t>
                  </w:r>
                </w:p>
              </w:tc>
            </w:tr>
          </w:tbl>
          <w:p w14:paraId="7FA1012A">
            <w:pPr>
              <w:keepNext w:val="0"/>
              <w:keepLines w:val="0"/>
              <w:suppressLineNumbers w:val="0"/>
              <w:snapToGrid w:val="0"/>
              <w:spacing w:before="100" w:beforeAutospacing="1" w:after="0" w:afterAutospacing="0" w:line="360" w:lineRule="auto"/>
              <w:ind w:left="0" w:right="0" w:firstLine="472" w:firstLineChars="196"/>
              <w:outlineLvl w:val="3"/>
              <w:rPr>
                <w:rFonts w:hint="default" w:ascii="Times New Roman" w:hAnsi="Times New Roman" w:cs="Times New Roman"/>
                <w:b/>
                <w:bCs/>
                <w:color w:val="auto"/>
                <w:sz w:val="24"/>
                <w:highlight w:val="none"/>
              </w:rPr>
            </w:pPr>
            <w:r>
              <w:rPr>
                <w:rFonts w:hint="default" w:ascii="Times New Roman" w:hAnsi="Times New Roman" w:cs="Times New Roman"/>
                <w:b/>
                <w:color w:val="auto"/>
                <w:sz w:val="24"/>
                <w:highlight w:val="none"/>
              </w:rPr>
              <w:t>2、一般固废环境影响分析</w:t>
            </w:r>
            <w:r>
              <w:rPr>
                <w:rFonts w:hint="default" w:ascii="Times New Roman" w:hAnsi="Times New Roman" w:cs="Times New Roman"/>
                <w:b/>
                <w:bCs/>
                <w:color w:val="auto"/>
                <w:sz w:val="24"/>
                <w:highlight w:val="none"/>
              </w:rPr>
              <w:t>和保护措施</w:t>
            </w:r>
          </w:p>
          <w:p w14:paraId="5CA86DCD">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本项目一般固废库，位于生产车间</w:t>
            </w:r>
            <w:r>
              <w:rPr>
                <w:rFonts w:hint="eastAsia" w:cs="Times New Roman"/>
                <w:color w:val="auto"/>
                <w:kern w:val="0"/>
                <w:sz w:val="24"/>
                <w:highlight w:val="none"/>
                <w:lang w:val="en-US" w:eastAsia="zh-CN"/>
              </w:rPr>
              <w:t>西北</w:t>
            </w:r>
            <w:r>
              <w:rPr>
                <w:rFonts w:hint="default" w:ascii="Times New Roman" w:hAnsi="Times New Roman" w:cs="Times New Roman"/>
                <w:color w:val="auto"/>
                <w:kern w:val="0"/>
                <w:sz w:val="24"/>
                <w:highlight w:val="none"/>
              </w:rPr>
              <w:t>侧，占地面积约</w:t>
            </w:r>
            <w:r>
              <w:rPr>
                <w:rFonts w:hint="eastAsia" w:cs="Times New Roman"/>
                <w:color w:val="auto"/>
                <w:kern w:val="0"/>
                <w:sz w:val="24"/>
                <w:highlight w:val="none"/>
                <w:lang w:val="en-US" w:eastAsia="zh-CN"/>
              </w:rPr>
              <w:t>1</w:t>
            </w:r>
            <w:r>
              <w:rPr>
                <w:rFonts w:hint="default" w:ascii="Times New Roman" w:hAnsi="Times New Roman" w:cs="Times New Roman"/>
                <w:color w:val="auto"/>
                <w:kern w:val="0"/>
                <w:sz w:val="24"/>
                <w:highlight w:val="none"/>
              </w:rPr>
              <w:t>0m</w:t>
            </w:r>
            <w:r>
              <w:rPr>
                <w:rFonts w:hint="default" w:ascii="Times New Roman" w:hAnsi="Times New Roman" w:cs="Times New Roman"/>
                <w:color w:val="auto"/>
                <w:kern w:val="0"/>
                <w:sz w:val="24"/>
                <w:highlight w:val="none"/>
                <w:vertAlign w:val="superscript"/>
              </w:rPr>
              <w:t>2</w:t>
            </w:r>
            <w:r>
              <w:rPr>
                <w:rFonts w:hint="default" w:ascii="Times New Roman" w:hAnsi="Times New Roman" w:cs="Times New Roman"/>
                <w:color w:val="auto"/>
                <w:kern w:val="0"/>
                <w:sz w:val="24"/>
                <w:highlight w:val="none"/>
              </w:rPr>
              <w:t>，一般工业固废临时堆放场根据《一般工业固体废物贮存和填埋污染控制标准》（GB18599-2020）中的要求规范化建设，固废临时贮存场满足如下要求：</w:t>
            </w:r>
          </w:p>
          <w:p w14:paraId="0EC3149E">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①临时堆放场应选在防渗性能好的地基上天然基础层地表距地下水位的距离不得小于1.5m。临时堆放场四周应建有围墙，防止固废流失以及造成粉尘污染。</w:t>
            </w:r>
          </w:p>
          <w:p w14:paraId="21D5C9F4">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②临时堆放场应建有防雨淋、防渗透措施。本项目储存在钢结构仓库内，地面进行硬化，可以满足防雨淋、防渗透要求。</w:t>
            </w:r>
          </w:p>
          <w:p w14:paraId="45AC8BE5">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③为了便于管理，临时堆放场应《环境保护图形标识—固体废物贮存（处置）场》（按GB15562.2-1995）设置环境保护图形标志。</w:t>
            </w:r>
          </w:p>
          <w:p w14:paraId="495D8CAD">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企业在生产过程中，应加强一般固废库的管理，定点收集堆存，并及时处理，不会对环境造成不利影响。</w:t>
            </w:r>
          </w:p>
          <w:p w14:paraId="642F759F">
            <w:pPr>
              <w:keepNext w:val="0"/>
              <w:keepLines w:val="0"/>
              <w:suppressLineNumbers w:val="0"/>
              <w:snapToGrid w:val="0"/>
              <w:spacing w:before="0" w:beforeAutospacing="0" w:after="0" w:afterAutospacing="0" w:line="360" w:lineRule="auto"/>
              <w:ind w:left="0" w:right="0" w:firstLine="472" w:firstLineChars="196"/>
              <w:outlineLvl w:val="3"/>
              <w:rPr>
                <w:rFonts w:hint="default" w:ascii="Times New Roman" w:hAnsi="Times New Roman" w:cs="Times New Roman"/>
                <w:b/>
                <w:bCs/>
                <w:color w:val="auto"/>
                <w:sz w:val="24"/>
                <w:highlight w:val="none"/>
              </w:rPr>
            </w:pPr>
            <w:r>
              <w:rPr>
                <w:rFonts w:hint="default" w:ascii="Times New Roman" w:hAnsi="Times New Roman" w:cs="Times New Roman"/>
                <w:b/>
                <w:color w:val="auto"/>
                <w:sz w:val="24"/>
                <w:highlight w:val="none"/>
              </w:rPr>
              <w:t>3、危险废物环境影响分析</w:t>
            </w:r>
            <w:r>
              <w:rPr>
                <w:rFonts w:hint="default" w:ascii="Times New Roman" w:hAnsi="Times New Roman" w:cs="Times New Roman"/>
                <w:b/>
                <w:bCs/>
                <w:color w:val="auto"/>
                <w:sz w:val="24"/>
                <w:highlight w:val="none"/>
              </w:rPr>
              <w:t>和保护措施</w:t>
            </w:r>
          </w:p>
          <w:p w14:paraId="5A258AB9">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auto"/>
                <w:kern w:val="0"/>
                <w:sz w:val="24"/>
              </w:rPr>
            </w:pPr>
            <w:r>
              <w:rPr>
                <w:rFonts w:hint="default"/>
                <w:color w:val="auto"/>
                <w:sz w:val="24"/>
              </w:rPr>
              <w:t>本项目产生的危险废物分别按照废物特性</w:t>
            </w:r>
            <w:r>
              <w:rPr>
                <w:rFonts w:hint="default"/>
                <w:color w:val="auto"/>
                <w:kern w:val="0"/>
                <w:sz w:val="24"/>
              </w:rPr>
              <w:t>采用专门的容器收集后暂存于厂区危废暂存场所，定期交资质单位处理。本项目新建危废暂存场所，位于</w:t>
            </w:r>
            <w:r>
              <w:rPr>
                <w:rFonts w:hint="default"/>
                <w:color w:val="auto"/>
                <w:sz w:val="24"/>
              </w:rPr>
              <w:t>厂区内西</w:t>
            </w:r>
            <w:r>
              <w:rPr>
                <w:rFonts w:hint="eastAsia"/>
                <w:color w:val="auto"/>
                <w:sz w:val="24"/>
                <w:lang w:val="en-US" w:eastAsia="zh-CN"/>
              </w:rPr>
              <w:t>北</w:t>
            </w:r>
            <w:r>
              <w:rPr>
                <w:rFonts w:hint="default"/>
                <w:color w:val="auto"/>
                <w:sz w:val="24"/>
              </w:rPr>
              <w:t>侧，</w:t>
            </w:r>
            <w:r>
              <w:rPr>
                <w:rFonts w:hint="default"/>
                <w:color w:val="auto"/>
                <w:kern w:val="0"/>
                <w:sz w:val="24"/>
              </w:rPr>
              <w:t>占地面积约</w:t>
            </w:r>
            <w:r>
              <w:rPr>
                <w:rFonts w:hint="eastAsia"/>
                <w:color w:val="auto"/>
                <w:kern w:val="0"/>
                <w:sz w:val="24"/>
                <w:lang w:val="en-US" w:eastAsia="zh-CN"/>
              </w:rPr>
              <w:t>15</w:t>
            </w:r>
            <w:r>
              <w:rPr>
                <w:rFonts w:hint="default"/>
                <w:color w:val="auto"/>
                <w:kern w:val="0"/>
                <w:sz w:val="24"/>
              </w:rPr>
              <w:t>m</w:t>
            </w:r>
            <w:r>
              <w:rPr>
                <w:rFonts w:hint="default"/>
                <w:color w:val="auto"/>
                <w:kern w:val="0"/>
                <w:sz w:val="24"/>
                <w:vertAlign w:val="superscript"/>
              </w:rPr>
              <w:t>2</w:t>
            </w:r>
            <w:r>
              <w:rPr>
                <w:rFonts w:hint="default"/>
                <w:color w:val="auto"/>
                <w:kern w:val="0"/>
                <w:sz w:val="24"/>
              </w:rPr>
              <w:t>，</w:t>
            </w:r>
            <w:r>
              <w:rPr>
                <w:rFonts w:hint="default"/>
                <w:color w:val="auto"/>
                <w:sz w:val="24"/>
              </w:rPr>
              <w:t>《危险废物贮存污染控制标准》（GB18597-2023）</w:t>
            </w:r>
            <w:r>
              <w:rPr>
                <w:rFonts w:hint="default"/>
                <w:color w:val="auto"/>
                <w:kern w:val="0"/>
                <w:sz w:val="24"/>
              </w:rPr>
              <w:t>的要求。危险废物按照不同的类别和性质，分别存放于专门的容器中。</w:t>
            </w:r>
          </w:p>
          <w:p w14:paraId="6D47B618">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auto"/>
                <w:kern w:val="0"/>
                <w:sz w:val="24"/>
              </w:rPr>
            </w:pPr>
            <w:r>
              <w:rPr>
                <w:rFonts w:hint="default"/>
                <w:color w:val="auto"/>
                <w:kern w:val="0"/>
                <w:sz w:val="24"/>
              </w:rPr>
              <w:t>（1）危险废物贮存环境影响</w:t>
            </w:r>
          </w:p>
          <w:p w14:paraId="73219D38">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auto"/>
                <w:sz w:val="24"/>
              </w:rPr>
            </w:pPr>
            <w:r>
              <w:rPr>
                <w:rFonts w:hint="default"/>
                <w:color w:val="auto"/>
                <w:sz w:val="24"/>
              </w:rPr>
              <w:t>本项目危险废物贮存场所的名称、位置、占地面积、贮存方式、贮存容积、贮存周期等基本信息见下表。</w:t>
            </w:r>
          </w:p>
          <w:p w14:paraId="6B9959C3">
            <w:pPr>
              <w:keepNext w:val="0"/>
              <w:keepLines w:val="0"/>
              <w:widowControl/>
              <w:suppressLineNumbers w:val="0"/>
              <w:spacing w:before="0" w:beforeAutospacing="0" w:after="0" w:afterAutospacing="0"/>
              <w:ind w:left="0" w:right="0"/>
              <w:jc w:val="center"/>
              <w:rPr>
                <w:rFonts w:hint="default"/>
                <w:b/>
                <w:color w:val="auto"/>
                <w:kern w:val="0"/>
                <w:sz w:val="24"/>
              </w:rPr>
            </w:pPr>
            <w:r>
              <w:rPr>
                <w:rFonts w:hint="default"/>
                <w:b/>
                <w:color w:val="auto"/>
                <w:kern w:val="0"/>
                <w:sz w:val="24"/>
              </w:rPr>
              <w:t>表4-3</w:t>
            </w:r>
            <w:r>
              <w:rPr>
                <w:rFonts w:hint="eastAsia"/>
                <w:b/>
                <w:color w:val="auto"/>
                <w:kern w:val="0"/>
                <w:sz w:val="24"/>
                <w:lang w:val="en-US" w:eastAsia="zh-CN"/>
              </w:rPr>
              <w:t>2</w:t>
            </w:r>
            <w:r>
              <w:rPr>
                <w:rFonts w:hint="default"/>
                <w:b/>
                <w:color w:val="auto"/>
                <w:kern w:val="0"/>
                <w:sz w:val="24"/>
              </w:rPr>
              <w:t xml:space="preserve">  建设项目危险废物贮存场所（设施）基本情况</w:t>
            </w:r>
          </w:p>
          <w:tbl>
            <w:tblPr>
              <w:tblStyle w:val="61"/>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81"/>
              <w:gridCol w:w="775"/>
              <w:gridCol w:w="1399"/>
              <w:gridCol w:w="1050"/>
              <w:gridCol w:w="1383"/>
              <w:gridCol w:w="1017"/>
              <w:gridCol w:w="633"/>
              <w:gridCol w:w="898"/>
              <w:gridCol w:w="671"/>
            </w:tblGrid>
            <w:tr w14:paraId="7794C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restart"/>
                  <w:vAlign w:val="center"/>
                </w:tcPr>
                <w:p w14:paraId="751587BF">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贮存场所名称</w:t>
                  </w:r>
                </w:p>
              </w:tc>
              <w:tc>
                <w:tcPr>
                  <w:tcW w:w="775" w:type="dxa"/>
                  <w:vMerge w:val="restart"/>
                  <w:vAlign w:val="center"/>
                </w:tcPr>
                <w:p w14:paraId="5605989B">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占地</w:t>
                  </w:r>
                </w:p>
                <w:p w14:paraId="2FBC53A4">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面积（m</w:t>
                  </w:r>
                  <w:r>
                    <w:rPr>
                      <w:rFonts w:hint="default"/>
                      <w:b/>
                      <w:color w:val="auto"/>
                      <w:kern w:val="0"/>
                      <w:szCs w:val="21"/>
                      <w:vertAlign w:val="superscript"/>
                    </w:rPr>
                    <w:t>2</w:t>
                  </w:r>
                  <w:r>
                    <w:rPr>
                      <w:rFonts w:hint="default"/>
                      <w:b/>
                      <w:color w:val="auto"/>
                      <w:kern w:val="0"/>
                      <w:szCs w:val="21"/>
                    </w:rPr>
                    <w:t>）</w:t>
                  </w:r>
                </w:p>
              </w:tc>
              <w:tc>
                <w:tcPr>
                  <w:tcW w:w="1399" w:type="dxa"/>
                  <w:vMerge w:val="restart"/>
                  <w:vAlign w:val="center"/>
                </w:tcPr>
                <w:p w14:paraId="66E1928B">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危险废物</w:t>
                  </w:r>
                </w:p>
                <w:p w14:paraId="76BFC1C6">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名称</w:t>
                  </w:r>
                </w:p>
              </w:tc>
              <w:tc>
                <w:tcPr>
                  <w:tcW w:w="1050" w:type="dxa"/>
                  <w:vMerge w:val="restart"/>
                  <w:vAlign w:val="center"/>
                </w:tcPr>
                <w:p w14:paraId="3579BC9F">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危险废物类别</w:t>
                  </w:r>
                </w:p>
              </w:tc>
              <w:tc>
                <w:tcPr>
                  <w:tcW w:w="1383" w:type="dxa"/>
                  <w:vMerge w:val="restart"/>
                  <w:vAlign w:val="center"/>
                </w:tcPr>
                <w:p w14:paraId="1A45E4A0">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危险废物</w:t>
                  </w:r>
                </w:p>
                <w:p w14:paraId="06607ED5">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代码</w:t>
                  </w:r>
                </w:p>
              </w:tc>
              <w:tc>
                <w:tcPr>
                  <w:tcW w:w="1017" w:type="dxa"/>
                  <w:vMerge w:val="restart"/>
                  <w:vAlign w:val="center"/>
                </w:tcPr>
                <w:p w14:paraId="3EEE6767">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估算产生量（t/a）</w:t>
                  </w:r>
                </w:p>
              </w:tc>
              <w:tc>
                <w:tcPr>
                  <w:tcW w:w="633" w:type="dxa"/>
                  <w:vMerge w:val="restart"/>
                  <w:vAlign w:val="center"/>
                </w:tcPr>
                <w:p w14:paraId="5B01B2D5">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贮存方式</w:t>
                  </w:r>
                </w:p>
              </w:tc>
              <w:tc>
                <w:tcPr>
                  <w:tcW w:w="898" w:type="dxa"/>
                  <w:vMerge w:val="restart"/>
                  <w:vAlign w:val="center"/>
                </w:tcPr>
                <w:p w14:paraId="6B367C1A">
                  <w:pPr>
                    <w:keepNext w:val="0"/>
                    <w:keepLines w:val="0"/>
                    <w:suppressLineNumbers w:val="0"/>
                    <w:spacing w:before="0" w:beforeAutospacing="0" w:after="0" w:afterAutospacing="0"/>
                    <w:ind w:left="0" w:right="0"/>
                    <w:jc w:val="center"/>
                    <w:rPr>
                      <w:rFonts w:hint="default"/>
                      <w:b/>
                      <w:bCs/>
                      <w:color w:val="auto"/>
                      <w:szCs w:val="21"/>
                    </w:rPr>
                  </w:pPr>
                  <w:r>
                    <w:rPr>
                      <w:rFonts w:hint="default"/>
                      <w:b/>
                      <w:bCs/>
                      <w:color w:val="auto"/>
                      <w:szCs w:val="21"/>
                    </w:rPr>
                    <w:t>厂区贮存（t）</w:t>
                  </w:r>
                </w:p>
              </w:tc>
              <w:tc>
                <w:tcPr>
                  <w:tcW w:w="671" w:type="dxa"/>
                  <w:vMerge w:val="restart"/>
                  <w:vAlign w:val="center"/>
                </w:tcPr>
                <w:p w14:paraId="2443F2C6">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贮存</w:t>
                  </w:r>
                </w:p>
                <w:p w14:paraId="5DC55D2F">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周期</w:t>
                  </w:r>
                </w:p>
              </w:tc>
            </w:tr>
            <w:tr w14:paraId="41471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0" w:hRule="atLeast"/>
                <w:jc w:val="center"/>
              </w:trPr>
              <w:tc>
                <w:tcPr>
                  <w:tcW w:w="581" w:type="dxa"/>
                  <w:vMerge w:val="continue"/>
                  <w:vAlign w:val="center"/>
                </w:tcPr>
                <w:p w14:paraId="22222AAB">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775" w:type="dxa"/>
                  <w:vMerge w:val="continue"/>
                  <w:vAlign w:val="center"/>
                </w:tcPr>
                <w:p w14:paraId="13CBA03D">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1399" w:type="dxa"/>
                  <w:vMerge w:val="continue"/>
                  <w:vAlign w:val="center"/>
                </w:tcPr>
                <w:p w14:paraId="05CF0DE5">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1050" w:type="dxa"/>
                  <w:vMerge w:val="continue"/>
                  <w:vAlign w:val="center"/>
                </w:tcPr>
                <w:p w14:paraId="7354B379">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1383" w:type="dxa"/>
                  <w:vMerge w:val="continue"/>
                  <w:vAlign w:val="center"/>
                </w:tcPr>
                <w:p w14:paraId="13762C62">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1017" w:type="dxa"/>
                  <w:vMerge w:val="continue"/>
                  <w:vAlign w:val="center"/>
                </w:tcPr>
                <w:p w14:paraId="37917628">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633" w:type="dxa"/>
                  <w:vMerge w:val="continue"/>
                  <w:vAlign w:val="center"/>
                </w:tcPr>
                <w:p w14:paraId="626EAC1A">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898" w:type="dxa"/>
                  <w:vMerge w:val="continue"/>
                  <w:vAlign w:val="center"/>
                </w:tcPr>
                <w:p w14:paraId="4ACD5DE7">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c>
                <w:tcPr>
                  <w:tcW w:w="671" w:type="dxa"/>
                  <w:vMerge w:val="continue"/>
                  <w:vAlign w:val="center"/>
                </w:tcPr>
                <w:p w14:paraId="43983571">
                  <w:pPr>
                    <w:keepNext w:val="0"/>
                    <w:keepLines w:val="0"/>
                    <w:suppressLineNumbers w:val="0"/>
                    <w:topLinePunct/>
                    <w:adjustRightInd w:val="0"/>
                    <w:snapToGrid w:val="0"/>
                    <w:spacing w:before="0" w:beforeAutospacing="0" w:after="0" w:afterAutospacing="0"/>
                    <w:ind w:left="0" w:right="0"/>
                    <w:jc w:val="center"/>
                    <w:rPr>
                      <w:rFonts w:hint="default"/>
                      <w:b/>
                      <w:color w:val="auto"/>
                      <w:kern w:val="0"/>
                      <w:szCs w:val="21"/>
                    </w:rPr>
                  </w:pPr>
                </w:p>
              </w:tc>
            </w:tr>
            <w:tr w14:paraId="1971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9" w:hRule="atLeast"/>
                <w:jc w:val="center"/>
              </w:trPr>
              <w:tc>
                <w:tcPr>
                  <w:tcW w:w="581" w:type="dxa"/>
                  <w:vMerge w:val="restart"/>
                  <w:vAlign w:val="center"/>
                </w:tcPr>
                <w:p w14:paraId="5F6429B4">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r>
                    <w:rPr>
                      <w:rFonts w:hint="default"/>
                      <w:color w:val="auto"/>
                      <w:kern w:val="0"/>
                      <w:szCs w:val="21"/>
                    </w:rPr>
                    <w:t>危险废物仓库</w:t>
                  </w:r>
                </w:p>
              </w:tc>
              <w:tc>
                <w:tcPr>
                  <w:tcW w:w="775" w:type="dxa"/>
                  <w:vAlign w:val="center"/>
                </w:tcPr>
                <w:p w14:paraId="20A0C0C6">
                  <w:pPr>
                    <w:keepNext w:val="0"/>
                    <w:keepLines w:val="0"/>
                    <w:suppressLineNumbers w:val="0"/>
                    <w:topLinePunct/>
                    <w:adjustRightInd w:val="0"/>
                    <w:snapToGrid w:val="0"/>
                    <w:spacing w:before="0" w:beforeAutospacing="0" w:after="0" w:afterAutospacing="0"/>
                    <w:ind w:left="0" w:right="0"/>
                    <w:jc w:val="center"/>
                    <w:rPr>
                      <w:rFonts w:hint="default"/>
                      <w:color w:val="auto"/>
                      <w:szCs w:val="21"/>
                    </w:rPr>
                  </w:pPr>
                  <w:r>
                    <w:rPr>
                      <w:rFonts w:hint="default"/>
                      <w:color w:val="auto"/>
                      <w:szCs w:val="21"/>
                    </w:rPr>
                    <w:t>3</w:t>
                  </w:r>
                </w:p>
              </w:tc>
              <w:tc>
                <w:tcPr>
                  <w:tcW w:w="1399" w:type="dxa"/>
                  <w:shd w:val="clear" w:color="auto" w:fill="auto"/>
                  <w:vAlign w:val="center"/>
                </w:tcPr>
                <w:p w14:paraId="382D5E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废活性炭</w:t>
                  </w:r>
                </w:p>
              </w:tc>
              <w:tc>
                <w:tcPr>
                  <w:tcW w:w="1050" w:type="dxa"/>
                  <w:shd w:val="clear" w:color="auto" w:fill="auto"/>
                  <w:vAlign w:val="center"/>
                </w:tcPr>
                <w:p w14:paraId="5268E9BC">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 xml:space="preserve">HW49 </w:t>
                  </w:r>
                </w:p>
              </w:tc>
              <w:tc>
                <w:tcPr>
                  <w:tcW w:w="1383" w:type="dxa"/>
                  <w:shd w:val="clear" w:color="auto" w:fill="auto"/>
                  <w:vAlign w:val="center"/>
                </w:tcPr>
                <w:p w14:paraId="1DDBA3DF">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900-039-49</w:t>
                  </w:r>
                </w:p>
              </w:tc>
              <w:tc>
                <w:tcPr>
                  <w:tcW w:w="1017" w:type="dxa"/>
                  <w:shd w:val="clear" w:color="auto" w:fill="auto"/>
                  <w:vAlign w:val="center"/>
                </w:tcPr>
                <w:p w14:paraId="0E2A5BE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1.987</w:t>
                  </w:r>
                </w:p>
              </w:tc>
              <w:tc>
                <w:tcPr>
                  <w:tcW w:w="633" w:type="dxa"/>
                  <w:shd w:val="clear" w:color="auto" w:fill="auto"/>
                  <w:vAlign w:val="center"/>
                </w:tcPr>
                <w:p w14:paraId="0A15A2F7">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袋装</w:t>
                  </w:r>
                </w:p>
              </w:tc>
              <w:tc>
                <w:tcPr>
                  <w:tcW w:w="898" w:type="dxa"/>
                  <w:vAlign w:val="center"/>
                </w:tcPr>
                <w:p w14:paraId="7B1987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0.166</w:t>
                  </w:r>
                </w:p>
              </w:tc>
              <w:tc>
                <w:tcPr>
                  <w:tcW w:w="671" w:type="dxa"/>
                  <w:vAlign w:val="center"/>
                </w:tcPr>
                <w:p w14:paraId="1D74807B">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r>
                    <w:rPr>
                      <w:rFonts w:hint="default"/>
                      <w:color w:val="auto"/>
                      <w:kern w:val="0"/>
                      <w:szCs w:val="21"/>
                    </w:rPr>
                    <w:t>＜一个月</w:t>
                  </w:r>
                </w:p>
              </w:tc>
            </w:tr>
            <w:tr w14:paraId="74082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3BAB1F6C">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2EE15285">
                  <w:pPr>
                    <w:keepNext w:val="0"/>
                    <w:keepLines w:val="0"/>
                    <w:suppressLineNumbers w:val="0"/>
                    <w:topLinePunct/>
                    <w:adjustRightInd w:val="0"/>
                    <w:snapToGrid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0.5</w:t>
                  </w:r>
                </w:p>
              </w:tc>
              <w:tc>
                <w:tcPr>
                  <w:tcW w:w="1399" w:type="dxa"/>
                  <w:shd w:val="clear" w:color="auto" w:fill="auto"/>
                  <w:vAlign w:val="center"/>
                </w:tcPr>
                <w:p w14:paraId="0AC3788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废过滤棉</w:t>
                  </w:r>
                </w:p>
              </w:tc>
              <w:tc>
                <w:tcPr>
                  <w:tcW w:w="1050" w:type="dxa"/>
                  <w:shd w:val="clear" w:color="auto" w:fill="auto"/>
                  <w:vAlign w:val="center"/>
                </w:tcPr>
                <w:p w14:paraId="26B7E164">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 xml:space="preserve">HW49 </w:t>
                  </w:r>
                </w:p>
              </w:tc>
              <w:tc>
                <w:tcPr>
                  <w:tcW w:w="1383" w:type="dxa"/>
                  <w:shd w:val="clear" w:color="auto" w:fill="auto"/>
                  <w:vAlign w:val="center"/>
                </w:tcPr>
                <w:p w14:paraId="774E8168">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900-041-49</w:t>
                  </w:r>
                </w:p>
              </w:tc>
              <w:tc>
                <w:tcPr>
                  <w:tcW w:w="1017" w:type="dxa"/>
                  <w:shd w:val="clear" w:color="auto" w:fill="auto"/>
                  <w:vAlign w:val="center"/>
                </w:tcPr>
                <w:p w14:paraId="19C768F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c>
                <w:tcPr>
                  <w:tcW w:w="633" w:type="dxa"/>
                  <w:shd w:val="clear" w:color="auto" w:fill="auto"/>
                  <w:vAlign w:val="center"/>
                </w:tcPr>
                <w:p w14:paraId="1211D0A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袋装</w:t>
                  </w:r>
                </w:p>
              </w:tc>
              <w:tc>
                <w:tcPr>
                  <w:tcW w:w="898" w:type="dxa"/>
                  <w:vAlign w:val="center"/>
                </w:tcPr>
                <w:p w14:paraId="507D53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0.005</w:t>
                  </w:r>
                </w:p>
              </w:tc>
              <w:tc>
                <w:tcPr>
                  <w:tcW w:w="671" w:type="dxa"/>
                  <w:vMerge w:val="restart"/>
                  <w:vAlign w:val="center"/>
                </w:tcPr>
                <w:p w14:paraId="72EFC93D">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r>
                    <w:rPr>
                      <w:rFonts w:hint="default"/>
                      <w:color w:val="auto"/>
                      <w:kern w:val="0"/>
                      <w:szCs w:val="21"/>
                    </w:rPr>
                    <w:t>＜三个月</w:t>
                  </w:r>
                </w:p>
              </w:tc>
            </w:tr>
            <w:tr w14:paraId="08972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77D44A5B">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263570E2">
                  <w:pPr>
                    <w:keepNext w:val="0"/>
                    <w:keepLines w:val="0"/>
                    <w:suppressLineNumbers w:val="0"/>
                    <w:topLinePunct/>
                    <w:adjustRightInd w:val="0"/>
                    <w:snapToGrid w:val="0"/>
                    <w:spacing w:before="0" w:beforeAutospacing="0" w:after="0" w:afterAutospacing="0"/>
                    <w:ind w:left="0" w:right="0"/>
                    <w:jc w:val="center"/>
                    <w:rPr>
                      <w:rFonts w:hint="default"/>
                      <w:color w:val="auto"/>
                      <w:szCs w:val="21"/>
                    </w:rPr>
                  </w:pPr>
                  <w:r>
                    <w:rPr>
                      <w:rFonts w:hint="default"/>
                      <w:color w:val="auto"/>
                      <w:szCs w:val="21"/>
                    </w:rPr>
                    <w:t>2</w:t>
                  </w:r>
                </w:p>
              </w:tc>
              <w:tc>
                <w:tcPr>
                  <w:tcW w:w="1399" w:type="dxa"/>
                  <w:shd w:val="clear" w:color="auto" w:fill="auto"/>
                  <w:vAlign w:val="center"/>
                </w:tcPr>
                <w:p w14:paraId="6B38504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1050" w:type="dxa"/>
                  <w:shd w:val="clear" w:color="auto" w:fill="auto"/>
                  <w:vAlign w:val="center"/>
                </w:tcPr>
                <w:p w14:paraId="6A6C0316">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 xml:space="preserve">HW09 </w:t>
                  </w:r>
                </w:p>
              </w:tc>
              <w:tc>
                <w:tcPr>
                  <w:tcW w:w="1383" w:type="dxa"/>
                  <w:shd w:val="clear" w:color="auto" w:fill="auto"/>
                  <w:vAlign w:val="center"/>
                </w:tcPr>
                <w:p w14:paraId="4CBF60CC">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900-006-09</w:t>
                  </w:r>
                </w:p>
              </w:tc>
              <w:tc>
                <w:tcPr>
                  <w:tcW w:w="1017" w:type="dxa"/>
                  <w:shd w:val="clear" w:color="auto" w:fill="auto"/>
                  <w:vAlign w:val="center"/>
                </w:tcPr>
                <w:p w14:paraId="64F14A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1.26</w:t>
                  </w:r>
                </w:p>
              </w:tc>
              <w:tc>
                <w:tcPr>
                  <w:tcW w:w="633" w:type="dxa"/>
                  <w:shd w:val="clear" w:color="auto" w:fill="auto"/>
                  <w:vAlign w:val="center"/>
                </w:tcPr>
                <w:p w14:paraId="17D61CA2">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桶装</w:t>
                  </w:r>
                </w:p>
              </w:tc>
              <w:tc>
                <w:tcPr>
                  <w:tcW w:w="898" w:type="dxa"/>
                  <w:vAlign w:val="center"/>
                </w:tcPr>
                <w:p w14:paraId="0C15351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0.315</w:t>
                  </w:r>
                </w:p>
              </w:tc>
              <w:tc>
                <w:tcPr>
                  <w:tcW w:w="671" w:type="dxa"/>
                  <w:vMerge w:val="continue"/>
                  <w:vAlign w:val="center"/>
                </w:tcPr>
                <w:p w14:paraId="24A27CB6">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r>
            <w:tr w14:paraId="7810A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297E5330">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6E4A20F7">
                  <w:pPr>
                    <w:keepNext w:val="0"/>
                    <w:keepLines w:val="0"/>
                    <w:suppressLineNumbers w:val="0"/>
                    <w:topLinePunct/>
                    <w:adjustRightInd w:val="0"/>
                    <w:snapToGrid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0.5</w:t>
                  </w:r>
                </w:p>
              </w:tc>
              <w:tc>
                <w:tcPr>
                  <w:tcW w:w="1399" w:type="dxa"/>
                  <w:shd w:val="clear" w:color="auto" w:fill="auto"/>
                  <w:vAlign w:val="center"/>
                </w:tcPr>
                <w:p w14:paraId="2CDF9D5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废润滑油</w:t>
                  </w:r>
                </w:p>
              </w:tc>
              <w:tc>
                <w:tcPr>
                  <w:tcW w:w="1050" w:type="dxa"/>
                  <w:shd w:val="clear" w:color="auto" w:fill="auto"/>
                  <w:vAlign w:val="center"/>
                </w:tcPr>
                <w:p w14:paraId="19A3E4F4">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 xml:space="preserve">HW08 </w:t>
                  </w:r>
                </w:p>
              </w:tc>
              <w:tc>
                <w:tcPr>
                  <w:tcW w:w="1383" w:type="dxa"/>
                  <w:shd w:val="clear" w:color="auto" w:fill="auto"/>
                  <w:vAlign w:val="center"/>
                </w:tcPr>
                <w:p w14:paraId="3F9330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900-214-08</w:t>
                  </w:r>
                </w:p>
              </w:tc>
              <w:tc>
                <w:tcPr>
                  <w:tcW w:w="1017" w:type="dxa"/>
                  <w:shd w:val="clear" w:color="auto" w:fill="auto"/>
                  <w:vAlign w:val="center"/>
                </w:tcPr>
                <w:p w14:paraId="0CA5FF5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w:t>
                  </w:r>
                  <w:r>
                    <w:rPr>
                      <w:rFonts w:hint="eastAsia" w:ascii="Times New Roman" w:hAnsi="Times New Roman" w:eastAsia="宋体" w:cs="Times New Roman"/>
                      <w:color w:val="000000" w:themeColor="text1"/>
                      <w:szCs w:val="21"/>
                      <w:lang w:val="en-US" w:eastAsia="zh-CN"/>
                      <w14:textFill>
                        <w14:solidFill>
                          <w14:schemeClr w14:val="tx1"/>
                        </w14:solidFill>
                      </w14:textFill>
                    </w:rPr>
                    <w:t>2</w:t>
                  </w:r>
                </w:p>
              </w:tc>
              <w:tc>
                <w:tcPr>
                  <w:tcW w:w="633" w:type="dxa"/>
                  <w:shd w:val="clear" w:color="auto" w:fill="auto"/>
                  <w:vAlign w:val="center"/>
                </w:tcPr>
                <w:p w14:paraId="5740958D">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桶装</w:t>
                  </w:r>
                </w:p>
              </w:tc>
              <w:tc>
                <w:tcPr>
                  <w:tcW w:w="898" w:type="dxa"/>
                  <w:vAlign w:val="center"/>
                </w:tcPr>
                <w:p w14:paraId="63B614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0.05</w:t>
                  </w:r>
                </w:p>
              </w:tc>
              <w:tc>
                <w:tcPr>
                  <w:tcW w:w="671" w:type="dxa"/>
                  <w:vMerge w:val="continue"/>
                  <w:vAlign w:val="center"/>
                </w:tcPr>
                <w:p w14:paraId="5B4B6FE6">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r>
            <w:tr w14:paraId="4B5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333A3473">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5AFAE456">
                  <w:pPr>
                    <w:keepNext w:val="0"/>
                    <w:keepLines w:val="0"/>
                    <w:suppressLineNumbers w:val="0"/>
                    <w:topLinePunct/>
                    <w:adjustRightInd w:val="0"/>
                    <w:snapToGrid w:val="0"/>
                    <w:spacing w:before="0" w:beforeAutospacing="0" w:after="0" w:afterAutospacing="0"/>
                    <w:ind w:left="0" w:right="0"/>
                    <w:jc w:val="center"/>
                    <w:rPr>
                      <w:rFonts w:hint="default"/>
                      <w:color w:val="auto"/>
                      <w:szCs w:val="21"/>
                    </w:rPr>
                  </w:pPr>
                  <w:r>
                    <w:rPr>
                      <w:rFonts w:hint="default"/>
                      <w:color w:val="auto"/>
                      <w:szCs w:val="21"/>
                    </w:rPr>
                    <w:t>0.5</w:t>
                  </w:r>
                </w:p>
              </w:tc>
              <w:tc>
                <w:tcPr>
                  <w:tcW w:w="1399" w:type="dxa"/>
                  <w:shd w:val="clear" w:color="auto" w:fill="auto"/>
                  <w:vAlign w:val="center"/>
                </w:tcPr>
                <w:p w14:paraId="661698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废液压油</w:t>
                  </w:r>
                </w:p>
              </w:tc>
              <w:tc>
                <w:tcPr>
                  <w:tcW w:w="1050" w:type="dxa"/>
                  <w:shd w:val="clear" w:color="auto" w:fill="auto"/>
                  <w:vAlign w:val="center"/>
                </w:tcPr>
                <w:p w14:paraId="0BF0B6FC">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 xml:space="preserve">HW08 </w:t>
                  </w:r>
                </w:p>
              </w:tc>
              <w:tc>
                <w:tcPr>
                  <w:tcW w:w="1383" w:type="dxa"/>
                  <w:shd w:val="clear" w:color="auto" w:fill="auto"/>
                  <w:vAlign w:val="center"/>
                </w:tcPr>
                <w:p w14:paraId="2CA892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900-218-08</w:t>
                  </w:r>
                </w:p>
              </w:tc>
              <w:tc>
                <w:tcPr>
                  <w:tcW w:w="1017" w:type="dxa"/>
                  <w:shd w:val="clear" w:color="auto" w:fill="auto"/>
                  <w:vAlign w:val="center"/>
                </w:tcPr>
                <w:p w14:paraId="59F9BDE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w:t>
                  </w:r>
                  <w:r>
                    <w:rPr>
                      <w:rFonts w:hint="eastAsia" w:ascii="Times New Roman" w:hAnsi="Times New Roman" w:eastAsia="宋体" w:cs="Times New Roman"/>
                      <w:color w:val="000000" w:themeColor="text1"/>
                      <w:szCs w:val="21"/>
                      <w:lang w:val="en-US" w:eastAsia="zh-CN"/>
                      <w14:textFill>
                        <w14:solidFill>
                          <w14:schemeClr w14:val="tx1"/>
                        </w14:solidFill>
                      </w14:textFill>
                    </w:rPr>
                    <w:t>1</w:t>
                  </w:r>
                </w:p>
              </w:tc>
              <w:tc>
                <w:tcPr>
                  <w:tcW w:w="633" w:type="dxa"/>
                  <w:shd w:val="clear" w:color="auto" w:fill="auto"/>
                  <w:vAlign w:val="center"/>
                </w:tcPr>
                <w:p w14:paraId="5CF6DAD9">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桶装</w:t>
                  </w:r>
                </w:p>
              </w:tc>
              <w:tc>
                <w:tcPr>
                  <w:tcW w:w="898" w:type="dxa"/>
                  <w:vAlign w:val="center"/>
                </w:tcPr>
                <w:p w14:paraId="05369C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0.025</w:t>
                  </w:r>
                </w:p>
              </w:tc>
              <w:tc>
                <w:tcPr>
                  <w:tcW w:w="671" w:type="dxa"/>
                  <w:vMerge w:val="continue"/>
                  <w:vAlign w:val="center"/>
                </w:tcPr>
                <w:p w14:paraId="1B2A9335">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r>
            <w:tr w14:paraId="71353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75532FCE">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135DE8E6">
                  <w:pPr>
                    <w:keepNext w:val="0"/>
                    <w:keepLines w:val="0"/>
                    <w:suppressLineNumbers w:val="0"/>
                    <w:topLinePunct/>
                    <w:adjustRightInd w:val="0"/>
                    <w:snapToGrid w:val="0"/>
                    <w:spacing w:before="0" w:beforeAutospacing="0" w:after="0" w:afterAutospacing="0"/>
                    <w:ind w:left="0" w:right="0"/>
                    <w:jc w:val="center"/>
                    <w:rPr>
                      <w:rFonts w:hint="eastAsia" w:eastAsia="宋体"/>
                      <w:color w:val="auto"/>
                      <w:szCs w:val="21"/>
                      <w:lang w:eastAsia="zh-CN"/>
                    </w:rPr>
                  </w:pPr>
                  <w:r>
                    <w:rPr>
                      <w:rFonts w:hint="eastAsia"/>
                      <w:color w:val="auto"/>
                      <w:szCs w:val="21"/>
                      <w:lang w:val="en-US" w:eastAsia="zh-CN"/>
                    </w:rPr>
                    <w:t>1</w:t>
                  </w:r>
                </w:p>
              </w:tc>
              <w:tc>
                <w:tcPr>
                  <w:tcW w:w="1399" w:type="dxa"/>
                  <w:shd w:val="clear" w:color="auto" w:fill="auto"/>
                  <w:vAlign w:val="center"/>
                </w:tcPr>
                <w:p w14:paraId="14BC8B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1050" w:type="dxa"/>
                  <w:shd w:val="clear" w:color="auto" w:fill="auto"/>
                  <w:vAlign w:val="center"/>
                </w:tcPr>
                <w:p w14:paraId="203361F0">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 xml:space="preserve">HW49 </w:t>
                  </w:r>
                </w:p>
              </w:tc>
              <w:tc>
                <w:tcPr>
                  <w:tcW w:w="1383" w:type="dxa"/>
                  <w:shd w:val="clear" w:color="auto" w:fill="auto"/>
                  <w:vAlign w:val="center"/>
                </w:tcPr>
                <w:p w14:paraId="6E40F6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900-041-49</w:t>
                  </w:r>
                </w:p>
              </w:tc>
              <w:tc>
                <w:tcPr>
                  <w:tcW w:w="1017" w:type="dxa"/>
                  <w:shd w:val="clear" w:color="auto" w:fill="auto"/>
                  <w:vAlign w:val="center"/>
                </w:tcPr>
                <w:p w14:paraId="4D4E9C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0.875</w:t>
                  </w:r>
                </w:p>
              </w:tc>
              <w:tc>
                <w:tcPr>
                  <w:tcW w:w="633" w:type="dxa"/>
                  <w:shd w:val="clear" w:color="auto" w:fill="auto"/>
                  <w:vAlign w:val="center"/>
                </w:tcPr>
                <w:p w14:paraId="5BC55532">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桶装</w:t>
                  </w:r>
                </w:p>
              </w:tc>
              <w:tc>
                <w:tcPr>
                  <w:tcW w:w="898" w:type="dxa"/>
                  <w:vAlign w:val="center"/>
                </w:tcPr>
                <w:p w14:paraId="3C623B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0.218</w:t>
                  </w:r>
                </w:p>
              </w:tc>
              <w:tc>
                <w:tcPr>
                  <w:tcW w:w="671" w:type="dxa"/>
                  <w:vMerge w:val="continue"/>
                  <w:vAlign w:val="center"/>
                </w:tcPr>
                <w:p w14:paraId="1F7F498C">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r>
            <w:tr w14:paraId="3CA66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21809619">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5D0AF68D">
                  <w:pPr>
                    <w:keepNext w:val="0"/>
                    <w:keepLines w:val="0"/>
                    <w:suppressLineNumbers w:val="0"/>
                    <w:topLinePunct/>
                    <w:adjustRightInd w:val="0"/>
                    <w:snapToGrid w:val="0"/>
                    <w:spacing w:before="0" w:beforeAutospacing="0" w:after="0" w:afterAutospacing="0"/>
                    <w:ind w:left="0" w:right="0"/>
                    <w:jc w:val="center"/>
                    <w:rPr>
                      <w:rFonts w:hint="default"/>
                      <w:color w:val="auto"/>
                      <w:szCs w:val="21"/>
                    </w:rPr>
                  </w:pPr>
                  <w:r>
                    <w:rPr>
                      <w:rFonts w:hint="default"/>
                      <w:color w:val="auto"/>
                      <w:szCs w:val="21"/>
                    </w:rPr>
                    <w:t>0.5</w:t>
                  </w:r>
                </w:p>
              </w:tc>
              <w:tc>
                <w:tcPr>
                  <w:tcW w:w="1399" w:type="dxa"/>
                  <w:shd w:val="clear" w:color="auto" w:fill="auto"/>
                  <w:vAlign w:val="center"/>
                </w:tcPr>
                <w:p w14:paraId="08A165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1050" w:type="dxa"/>
                  <w:shd w:val="clear" w:color="auto" w:fill="auto"/>
                  <w:vAlign w:val="center"/>
                </w:tcPr>
                <w:p w14:paraId="32B71768">
                  <w:pPr>
                    <w:keepNext w:val="0"/>
                    <w:keepLines w:val="0"/>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szCs w:val="21"/>
                      <w14:textFill>
                        <w14:solidFill>
                          <w14:schemeClr w14:val="tx1"/>
                        </w14:solidFill>
                      </w14:textFill>
                    </w:rPr>
                    <w:t xml:space="preserve">HW08 </w:t>
                  </w:r>
                </w:p>
              </w:tc>
              <w:tc>
                <w:tcPr>
                  <w:tcW w:w="1383" w:type="dxa"/>
                  <w:shd w:val="clear" w:color="auto" w:fill="auto"/>
                  <w:vAlign w:val="center"/>
                </w:tcPr>
                <w:p w14:paraId="3509B69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900-249-08</w:t>
                  </w:r>
                </w:p>
              </w:tc>
              <w:tc>
                <w:tcPr>
                  <w:tcW w:w="1017" w:type="dxa"/>
                  <w:shd w:val="clear" w:color="auto" w:fill="auto"/>
                  <w:vAlign w:val="center"/>
                </w:tcPr>
                <w:p w14:paraId="50AF89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0.72</w:t>
                  </w:r>
                </w:p>
              </w:tc>
              <w:tc>
                <w:tcPr>
                  <w:tcW w:w="633" w:type="dxa"/>
                  <w:shd w:val="clear" w:color="auto" w:fill="auto"/>
                  <w:vAlign w:val="center"/>
                </w:tcPr>
                <w:p w14:paraId="794C95E7">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桶装</w:t>
                  </w:r>
                </w:p>
              </w:tc>
              <w:tc>
                <w:tcPr>
                  <w:tcW w:w="898" w:type="dxa"/>
                  <w:vAlign w:val="center"/>
                </w:tcPr>
                <w:p w14:paraId="0A1FC29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0.18</w:t>
                  </w:r>
                </w:p>
              </w:tc>
              <w:tc>
                <w:tcPr>
                  <w:tcW w:w="671" w:type="dxa"/>
                  <w:vMerge w:val="continue"/>
                  <w:vAlign w:val="center"/>
                </w:tcPr>
                <w:p w14:paraId="7F78140E">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r>
            <w:tr w14:paraId="50B66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56A6026C">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39B7D32F">
                  <w:pPr>
                    <w:keepNext w:val="0"/>
                    <w:keepLines w:val="0"/>
                    <w:suppressLineNumbers w:val="0"/>
                    <w:topLinePunct/>
                    <w:adjustRightInd w:val="0"/>
                    <w:snapToGrid w:val="0"/>
                    <w:spacing w:before="0" w:beforeAutospacing="0" w:after="0" w:afterAutospacing="0"/>
                    <w:ind w:left="0" w:right="0"/>
                    <w:jc w:val="center"/>
                    <w:rPr>
                      <w:rFonts w:hint="default"/>
                      <w:color w:val="auto"/>
                      <w:szCs w:val="21"/>
                    </w:rPr>
                  </w:pPr>
                  <w:r>
                    <w:rPr>
                      <w:rFonts w:hint="default"/>
                      <w:color w:val="auto"/>
                      <w:szCs w:val="21"/>
                    </w:rPr>
                    <w:t>0.5</w:t>
                  </w:r>
                </w:p>
              </w:tc>
              <w:tc>
                <w:tcPr>
                  <w:tcW w:w="1399" w:type="dxa"/>
                  <w:shd w:val="clear" w:color="auto" w:fill="auto"/>
                  <w:vAlign w:val="center"/>
                </w:tcPr>
                <w:p w14:paraId="5C2D85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槽渣</w:t>
                  </w:r>
                </w:p>
              </w:tc>
              <w:tc>
                <w:tcPr>
                  <w:tcW w:w="1050" w:type="dxa"/>
                  <w:shd w:val="clear" w:color="auto" w:fill="auto"/>
                  <w:vAlign w:val="center"/>
                </w:tcPr>
                <w:p w14:paraId="5971AC48">
                  <w:pPr>
                    <w:keepNext w:val="0"/>
                    <w:keepLines w:val="0"/>
                    <w:suppressLineNumbers w:val="0"/>
                    <w:spacing w:before="0" w:beforeAutospacing="0" w:after="0" w:afterAutospacing="0"/>
                    <w:ind w:left="0" w:right="0"/>
                    <w:jc w:val="center"/>
                    <w:rPr>
                      <w:rFonts w:hint="default"/>
                      <w:color w:val="auto"/>
                      <w:szCs w:val="21"/>
                    </w:rPr>
                  </w:pPr>
                  <w:r>
                    <w:rPr>
                      <w:rFonts w:hint="default"/>
                      <w:color w:val="000000" w:themeColor="text1"/>
                      <w:szCs w:val="21"/>
                      <w14:textFill>
                        <w14:solidFill>
                          <w14:schemeClr w14:val="tx1"/>
                        </w14:solidFill>
                      </w14:textFill>
                    </w:rPr>
                    <w:t xml:space="preserve">HW17 </w:t>
                  </w:r>
                </w:p>
              </w:tc>
              <w:tc>
                <w:tcPr>
                  <w:tcW w:w="1383" w:type="dxa"/>
                  <w:shd w:val="clear" w:color="auto" w:fill="auto"/>
                  <w:vAlign w:val="center"/>
                </w:tcPr>
                <w:p w14:paraId="78EB3E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336-064-17</w:t>
                  </w:r>
                </w:p>
              </w:tc>
              <w:tc>
                <w:tcPr>
                  <w:tcW w:w="1017" w:type="dxa"/>
                  <w:shd w:val="clear" w:color="auto" w:fill="auto"/>
                  <w:vAlign w:val="center"/>
                </w:tcPr>
                <w:p w14:paraId="73CC16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w:t>
                  </w:r>
                </w:p>
              </w:tc>
              <w:tc>
                <w:tcPr>
                  <w:tcW w:w="633" w:type="dxa"/>
                  <w:shd w:val="clear" w:color="auto" w:fill="auto"/>
                  <w:vAlign w:val="center"/>
                </w:tcPr>
                <w:p w14:paraId="7789B2A0">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桶装</w:t>
                  </w:r>
                </w:p>
              </w:tc>
              <w:tc>
                <w:tcPr>
                  <w:tcW w:w="898" w:type="dxa"/>
                  <w:vAlign w:val="center"/>
                </w:tcPr>
                <w:p w14:paraId="7896A6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0.5</w:t>
                  </w:r>
                </w:p>
              </w:tc>
              <w:tc>
                <w:tcPr>
                  <w:tcW w:w="671" w:type="dxa"/>
                  <w:vMerge w:val="continue"/>
                  <w:vAlign w:val="center"/>
                </w:tcPr>
                <w:p w14:paraId="466FF929">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r>
            <w:tr w14:paraId="60DDF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vMerge w:val="continue"/>
                  <w:vAlign w:val="center"/>
                </w:tcPr>
                <w:p w14:paraId="002CDFDF">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c>
                <w:tcPr>
                  <w:tcW w:w="775" w:type="dxa"/>
                  <w:vAlign w:val="center"/>
                </w:tcPr>
                <w:p w14:paraId="54952E39">
                  <w:pPr>
                    <w:keepNext w:val="0"/>
                    <w:keepLines w:val="0"/>
                    <w:suppressLineNumbers w:val="0"/>
                    <w:topLinePunct/>
                    <w:adjustRightInd w:val="0"/>
                    <w:snapToGrid w:val="0"/>
                    <w:spacing w:before="0" w:beforeAutospacing="0" w:after="0" w:afterAutospacing="0"/>
                    <w:ind w:left="0" w:right="0"/>
                    <w:jc w:val="center"/>
                    <w:rPr>
                      <w:rFonts w:hint="default"/>
                      <w:color w:val="auto"/>
                      <w:szCs w:val="21"/>
                    </w:rPr>
                  </w:pPr>
                  <w:r>
                    <w:rPr>
                      <w:rFonts w:hint="default"/>
                      <w:color w:val="auto"/>
                      <w:szCs w:val="21"/>
                    </w:rPr>
                    <w:t>0.5</w:t>
                  </w:r>
                </w:p>
              </w:tc>
              <w:tc>
                <w:tcPr>
                  <w:tcW w:w="1399" w:type="dxa"/>
                  <w:shd w:val="clear" w:color="auto" w:fill="auto"/>
                  <w:vAlign w:val="center"/>
                </w:tcPr>
                <w:p w14:paraId="7A1B34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污泥</w:t>
                  </w:r>
                </w:p>
              </w:tc>
              <w:tc>
                <w:tcPr>
                  <w:tcW w:w="1050" w:type="dxa"/>
                  <w:shd w:val="clear" w:color="auto" w:fill="auto"/>
                  <w:vAlign w:val="center"/>
                </w:tcPr>
                <w:p w14:paraId="00AA80D2">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 xml:space="preserve">HW17 </w:t>
                  </w:r>
                </w:p>
              </w:tc>
              <w:tc>
                <w:tcPr>
                  <w:tcW w:w="1383" w:type="dxa"/>
                  <w:shd w:val="clear" w:color="auto" w:fill="auto"/>
                  <w:vAlign w:val="center"/>
                </w:tcPr>
                <w:p w14:paraId="281CB4C2">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336-064-17</w:t>
                  </w:r>
                </w:p>
              </w:tc>
              <w:tc>
                <w:tcPr>
                  <w:tcW w:w="1017" w:type="dxa"/>
                  <w:shd w:val="clear" w:color="auto" w:fill="auto"/>
                  <w:vAlign w:val="center"/>
                </w:tcPr>
                <w:p w14:paraId="704F40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0.177</w:t>
                  </w:r>
                </w:p>
              </w:tc>
              <w:tc>
                <w:tcPr>
                  <w:tcW w:w="633" w:type="dxa"/>
                  <w:shd w:val="clear" w:color="auto" w:fill="auto"/>
                  <w:vAlign w:val="center"/>
                </w:tcPr>
                <w:p w14:paraId="2B64CC26">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桶装</w:t>
                  </w:r>
                </w:p>
              </w:tc>
              <w:tc>
                <w:tcPr>
                  <w:tcW w:w="898" w:type="dxa"/>
                  <w:vAlign w:val="center"/>
                </w:tcPr>
                <w:p w14:paraId="54F88B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0.044</w:t>
                  </w:r>
                </w:p>
              </w:tc>
              <w:tc>
                <w:tcPr>
                  <w:tcW w:w="671" w:type="dxa"/>
                  <w:vMerge w:val="continue"/>
                  <w:vAlign w:val="center"/>
                </w:tcPr>
                <w:p w14:paraId="5DFA2804">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p>
              </w:tc>
            </w:tr>
            <w:tr w14:paraId="4F137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581" w:type="dxa"/>
                  <w:shd w:val="clear" w:color="auto" w:fill="auto"/>
                  <w:vAlign w:val="center"/>
                </w:tcPr>
                <w:p w14:paraId="71E27DD0">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r>
                    <w:rPr>
                      <w:rFonts w:hint="default"/>
                      <w:color w:val="auto"/>
                      <w:kern w:val="0"/>
                      <w:szCs w:val="21"/>
                    </w:rPr>
                    <w:t>合计</w:t>
                  </w:r>
                </w:p>
              </w:tc>
              <w:tc>
                <w:tcPr>
                  <w:tcW w:w="775" w:type="dxa"/>
                  <w:shd w:val="clear" w:color="auto" w:fill="auto"/>
                  <w:vAlign w:val="center"/>
                </w:tcPr>
                <w:p w14:paraId="19018E79">
                  <w:pPr>
                    <w:keepNext w:val="0"/>
                    <w:keepLines w:val="0"/>
                    <w:suppressLineNumbers w:val="0"/>
                    <w:topLinePunct/>
                    <w:adjustRightInd w:val="0"/>
                    <w:snapToGrid w:val="0"/>
                    <w:spacing w:before="0" w:beforeAutospacing="0" w:after="0" w:afterAutospacing="0"/>
                    <w:ind w:left="0" w:right="0"/>
                    <w:jc w:val="center"/>
                    <w:rPr>
                      <w:rFonts w:hint="eastAsia" w:eastAsia="宋体"/>
                      <w:color w:val="auto"/>
                      <w:szCs w:val="21"/>
                      <w:lang w:eastAsia="zh-CN"/>
                    </w:rPr>
                  </w:pPr>
                  <w:r>
                    <w:rPr>
                      <w:rFonts w:hint="eastAsia"/>
                      <w:color w:val="auto"/>
                      <w:szCs w:val="21"/>
                      <w:lang w:val="en-US" w:eastAsia="zh-CN"/>
                    </w:rPr>
                    <w:t>9</w:t>
                  </w:r>
                </w:p>
              </w:tc>
              <w:tc>
                <w:tcPr>
                  <w:tcW w:w="1399" w:type="dxa"/>
                  <w:shd w:val="clear" w:color="auto" w:fill="auto"/>
                  <w:vAlign w:val="center"/>
                </w:tcPr>
                <w:p w14:paraId="6BC37FD0">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w:t>
                  </w:r>
                </w:p>
              </w:tc>
              <w:tc>
                <w:tcPr>
                  <w:tcW w:w="1050" w:type="dxa"/>
                  <w:shd w:val="clear" w:color="auto" w:fill="auto"/>
                  <w:vAlign w:val="center"/>
                </w:tcPr>
                <w:p w14:paraId="460B2FD2">
                  <w:pPr>
                    <w:keepNext w:val="0"/>
                    <w:keepLines w:val="0"/>
                    <w:suppressLineNumbers w:val="0"/>
                    <w:snapToGrid w:val="0"/>
                    <w:spacing w:before="0" w:beforeAutospacing="0" w:after="0" w:afterAutospacing="0"/>
                    <w:ind w:left="-105" w:leftChars="-50" w:right="-105" w:rightChars="-50"/>
                    <w:jc w:val="center"/>
                    <w:rPr>
                      <w:rFonts w:hint="default"/>
                      <w:color w:val="auto"/>
                      <w:kern w:val="0"/>
                      <w:szCs w:val="21"/>
                    </w:rPr>
                  </w:pPr>
                  <w:r>
                    <w:rPr>
                      <w:rFonts w:hint="default"/>
                      <w:color w:val="auto"/>
                      <w:szCs w:val="21"/>
                    </w:rPr>
                    <w:t>/</w:t>
                  </w:r>
                </w:p>
              </w:tc>
              <w:tc>
                <w:tcPr>
                  <w:tcW w:w="1383" w:type="dxa"/>
                  <w:shd w:val="clear" w:color="auto" w:fill="auto"/>
                  <w:vAlign w:val="center"/>
                </w:tcPr>
                <w:p w14:paraId="36365C70">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w:t>
                  </w:r>
                </w:p>
              </w:tc>
              <w:tc>
                <w:tcPr>
                  <w:tcW w:w="1017" w:type="dxa"/>
                  <w:shd w:val="clear" w:color="auto" w:fill="auto"/>
                  <w:vAlign w:val="center"/>
                </w:tcPr>
                <w:p w14:paraId="5E8503A9">
                  <w:pPr>
                    <w:keepNext w:val="0"/>
                    <w:keepLines w:val="0"/>
                    <w:suppressLineNumbers w:val="0"/>
                    <w:snapToGrid w:val="0"/>
                    <w:spacing w:before="0" w:beforeAutospacing="0" w:after="0" w:afterAutospacing="0"/>
                    <w:ind w:left="-105" w:leftChars="-50" w:right="-105" w:rightChars="-50"/>
                    <w:jc w:val="center"/>
                    <w:rPr>
                      <w:rFonts w:hint="default" w:eastAsia="宋体"/>
                      <w:color w:val="auto"/>
                      <w:kern w:val="0"/>
                      <w:szCs w:val="21"/>
                      <w:lang w:val="en-US" w:eastAsia="zh-CN"/>
                    </w:rPr>
                  </w:pPr>
                  <w:r>
                    <w:rPr>
                      <w:rFonts w:hint="eastAsia"/>
                      <w:color w:val="auto"/>
                      <w:kern w:val="0"/>
                      <w:szCs w:val="21"/>
                      <w:lang w:val="en-US" w:eastAsia="zh-CN"/>
                    </w:rPr>
                    <w:t>7.339</w:t>
                  </w:r>
                </w:p>
              </w:tc>
              <w:tc>
                <w:tcPr>
                  <w:tcW w:w="633" w:type="dxa"/>
                  <w:vAlign w:val="center"/>
                </w:tcPr>
                <w:p w14:paraId="2FEA5578">
                  <w:pPr>
                    <w:keepNext w:val="0"/>
                    <w:keepLines w:val="0"/>
                    <w:suppressLineNumbers w:val="0"/>
                    <w:spacing w:before="0" w:beforeAutospacing="0" w:after="0" w:afterAutospacing="0" w:line="360" w:lineRule="exact"/>
                    <w:ind w:left="0" w:right="0"/>
                    <w:jc w:val="center"/>
                    <w:rPr>
                      <w:rFonts w:hint="default"/>
                      <w:color w:val="auto"/>
                      <w:kern w:val="0"/>
                      <w:szCs w:val="21"/>
                    </w:rPr>
                  </w:pPr>
                  <w:r>
                    <w:rPr>
                      <w:rFonts w:hint="default"/>
                      <w:color w:val="auto"/>
                      <w:szCs w:val="21"/>
                    </w:rPr>
                    <w:t>/</w:t>
                  </w:r>
                </w:p>
              </w:tc>
              <w:tc>
                <w:tcPr>
                  <w:tcW w:w="898" w:type="dxa"/>
                  <w:vAlign w:val="center"/>
                </w:tcPr>
                <w:p w14:paraId="4BDDA5B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1.503</w:t>
                  </w:r>
                </w:p>
              </w:tc>
              <w:tc>
                <w:tcPr>
                  <w:tcW w:w="671" w:type="dxa"/>
                  <w:vAlign w:val="center"/>
                </w:tcPr>
                <w:p w14:paraId="112B8ED7">
                  <w:pPr>
                    <w:keepNext w:val="0"/>
                    <w:keepLines w:val="0"/>
                    <w:suppressLineNumbers w:val="0"/>
                    <w:topLinePunct/>
                    <w:adjustRightInd w:val="0"/>
                    <w:snapToGrid w:val="0"/>
                    <w:spacing w:before="0" w:beforeAutospacing="0" w:after="0" w:afterAutospacing="0"/>
                    <w:ind w:left="0" w:right="0"/>
                    <w:jc w:val="center"/>
                    <w:rPr>
                      <w:rFonts w:hint="default"/>
                      <w:color w:val="auto"/>
                      <w:kern w:val="0"/>
                      <w:szCs w:val="21"/>
                    </w:rPr>
                  </w:pPr>
                  <w:r>
                    <w:rPr>
                      <w:rFonts w:hint="default"/>
                      <w:color w:val="auto"/>
                      <w:szCs w:val="21"/>
                    </w:rPr>
                    <w:t>/</w:t>
                  </w:r>
                </w:p>
              </w:tc>
            </w:tr>
          </w:tbl>
          <w:p w14:paraId="79305780">
            <w:pPr>
              <w:keepNext w:val="0"/>
              <w:keepLines w:val="0"/>
              <w:suppressLineNumbers w:val="0"/>
              <w:spacing w:before="120" w:beforeLines="50" w:beforeAutospacing="0" w:after="0" w:afterAutospacing="0" w:line="360" w:lineRule="auto"/>
              <w:ind w:left="0" w:right="0" w:firstLine="480" w:firstLineChars="200"/>
              <w:rPr>
                <w:rFonts w:hint="default" w:ascii="Times New Roman" w:hAnsi="Times New Roman" w:cs="Times New Roman"/>
                <w:bCs/>
                <w:color w:val="auto"/>
                <w:sz w:val="24"/>
                <w:szCs w:val="21"/>
                <w:highlight w:val="none"/>
              </w:rPr>
            </w:pPr>
            <w:r>
              <w:rPr>
                <w:rFonts w:hint="default"/>
                <w:bCs/>
                <w:color w:val="auto"/>
                <w:sz w:val="24"/>
                <w:szCs w:val="21"/>
              </w:rPr>
              <w:t>本项目危险废物储存容器总占地</w:t>
            </w:r>
            <w:r>
              <w:rPr>
                <w:rFonts w:hint="eastAsia"/>
                <w:bCs/>
                <w:color w:val="auto"/>
                <w:sz w:val="24"/>
                <w:szCs w:val="21"/>
                <w:lang w:val="en-US" w:eastAsia="zh-CN"/>
              </w:rPr>
              <w:t>10</w:t>
            </w:r>
            <w:r>
              <w:rPr>
                <w:rFonts w:hint="default"/>
                <w:bCs/>
                <w:color w:val="auto"/>
                <w:sz w:val="24"/>
                <w:szCs w:val="21"/>
              </w:rPr>
              <w:t>m</w:t>
            </w:r>
            <w:r>
              <w:rPr>
                <w:rFonts w:hint="default"/>
                <w:bCs/>
                <w:color w:val="auto"/>
                <w:sz w:val="24"/>
                <w:szCs w:val="21"/>
                <w:vertAlign w:val="superscript"/>
              </w:rPr>
              <w:t>2</w:t>
            </w:r>
            <w:r>
              <w:rPr>
                <w:rFonts w:hint="default"/>
                <w:bCs/>
                <w:color w:val="auto"/>
                <w:sz w:val="24"/>
                <w:szCs w:val="21"/>
              </w:rPr>
              <w:t>，新建危废库满足存放需求。</w:t>
            </w:r>
            <w:r>
              <w:rPr>
                <w:rFonts w:hint="default"/>
                <w:color w:val="auto"/>
                <w:sz w:val="24"/>
              </w:rPr>
              <w:t>企业需按照《危险废物贮存污染控制标准》（GB18597-2023）相关规定，规范建设危废库，具体措施如下：</w:t>
            </w:r>
          </w:p>
          <w:p w14:paraId="232C64F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本项目危险废物在厂内贮存时，执行《危险废物贮存污染控制标准》（GB18597-2023）中相关规定，规范建设危废库，具体措施如下：</w:t>
            </w:r>
          </w:p>
          <w:p w14:paraId="741F064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①贮存设施应根据危险废物的形态、物理化学性质、包装形式和污染物迁移途径，采取必要的防风、防晒、防雨、防漏、防渗、防腐以及其他环境污染防治措施，不应露天堆放危险废物。</w:t>
            </w:r>
          </w:p>
          <w:p w14:paraId="4EFB132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②贮存设施应根据危险废物的类别、数量、形态、物理化学性质和污染防治等要求设置必要的贮存分区，避免不相容的危险废物接触、混合。</w:t>
            </w:r>
          </w:p>
          <w:p w14:paraId="1943C23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③贮存设施或贮存分区内地面、墙面裙脚、堵截泄漏的围堰、接触危险废物的隔板和墙体等应采用坚固的材料建造，表面无裂缝。</w:t>
            </w:r>
          </w:p>
          <w:p w14:paraId="06936D4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w:t>
            </w:r>
            <w:r>
              <w:rPr>
                <w:rFonts w:hint="default" w:ascii="Times New Roman" w:hAnsi="Times New Roman" w:cs="Times New Roman"/>
                <w:color w:val="auto"/>
                <w:sz w:val="24"/>
                <w:highlight w:val="none"/>
                <w:vertAlign w:val="superscript"/>
              </w:rPr>
              <w:t>-7</w:t>
            </w:r>
            <w:r>
              <w:rPr>
                <w:rFonts w:hint="default" w:ascii="Times New Roman" w:hAnsi="Times New Roman" w:cs="Times New Roman"/>
                <w:color w:val="auto"/>
                <w:sz w:val="24"/>
                <w:highlight w:val="none"/>
              </w:rPr>
              <w:t>cm/s），或至少2 mm厚高密度聚乙烯膜等人工防渗材料（渗透系数不大于10</w:t>
            </w:r>
            <w:r>
              <w:rPr>
                <w:rFonts w:hint="default" w:ascii="Times New Roman" w:hAnsi="Times New Roman" w:cs="Times New Roman"/>
                <w:color w:val="auto"/>
                <w:sz w:val="24"/>
                <w:highlight w:val="none"/>
                <w:vertAlign w:val="superscript"/>
              </w:rPr>
              <w:t>-10</w:t>
            </w:r>
            <w:r>
              <w:rPr>
                <w:rFonts w:hint="default" w:ascii="Times New Roman" w:hAnsi="Times New Roman" w:cs="Times New Roman"/>
                <w:color w:val="auto"/>
                <w:sz w:val="24"/>
                <w:highlight w:val="none"/>
              </w:rPr>
              <w:t>cm/s），或其他防渗性能等效的材料。</w:t>
            </w:r>
          </w:p>
          <w:p w14:paraId="0DA987B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⑤同一贮存设施宜采用相同的防渗、防腐工艺（包括防渗、防腐结构或材料），防渗、防腐材料应覆盖所有可能与废物及其渗滤液、渗漏液等接触的构筑物表面；采用不同防渗、防腐工艺应分别建设贮存分区。</w:t>
            </w:r>
          </w:p>
          <w:p w14:paraId="19E3DE2E">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⑥危险废物存入贮存设施前应对危险废物类别和特性与危险废物标签等危险废物识别标志的一致性进行核验，不一致的或类别、特性不明的不应存入。</w:t>
            </w:r>
          </w:p>
          <w:p w14:paraId="55103BE3">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⑦应定期检查危险废物的贮存状况，及时清理贮存设施地面，更换破损泄漏的危险废物贮存容器和包装物，保证堆存危险废物的防雨、防风、防扬尘等设施功能完好。 </w:t>
            </w:r>
          </w:p>
          <w:p w14:paraId="1F120542">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⑧作业设备及车辆等结束作业离开贮存设施时，应对其残留的危险废物进行清理，清理的废物或清洗废水应收集处理。</w:t>
            </w:r>
          </w:p>
          <w:p w14:paraId="554A06B4">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⑨贮存设施运行期间，应按国家有关标准和规定建立危险废物管理台账并保存。</w:t>
            </w:r>
          </w:p>
          <w:p w14:paraId="4665C853">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⑩贮存设施所有者或运营者应建立贮存设施环境管理制度、管理人员岗位职责制度、设施运行操作制度、人员岗位培训制度等。</w:t>
            </w:r>
          </w:p>
          <w:p w14:paraId="37936481">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⑪贮存设施所有者或运营者应依据国家土壤和地下水污染防治的有关规定，结合贮存设施特点建立土壤和地下水污染隐患排查制度，并定期开展隐患排查；发现隐患应及时采取措施消除隐患，并建立档案。</w:t>
            </w:r>
          </w:p>
          <w:p w14:paraId="26468FE2">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⑫贮存设施所有者或运营者应建立贮存设施全部档案，包括设计、施工、验收、运行、监测和环境应急等，应按国家有关档案管理的法律法规进行整理和归档。采取上述措施后，能够确保本项目危险废物在厂内贮存时得到有效的处置，对环境影响较小。</w:t>
            </w:r>
          </w:p>
          <w:p w14:paraId="4D0FBDC6">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eastAsiaTheme="minorEastAsia"/>
                <w:color w:val="auto"/>
                <w:kern w:val="0"/>
                <w:sz w:val="24"/>
                <w:highlight w:val="none"/>
              </w:rPr>
            </w:pPr>
            <w:r>
              <w:rPr>
                <w:rFonts w:hint="default" w:ascii="Times New Roman" w:hAnsi="Times New Roman" w:cs="Times New Roman" w:eastAsiaTheme="minorEastAsia"/>
                <w:color w:val="auto"/>
                <w:kern w:val="0"/>
                <w:sz w:val="24"/>
                <w:highlight w:val="none"/>
              </w:rPr>
              <w:t>（2）危险废物运输及转移过程环境影响分析</w:t>
            </w:r>
          </w:p>
          <w:p w14:paraId="13A81F7D">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eastAsiaTheme="minorEastAsia"/>
                <w:bCs/>
                <w:color w:val="auto"/>
                <w:kern w:val="0"/>
                <w:sz w:val="24"/>
                <w:szCs w:val="20"/>
                <w:highlight w:val="none"/>
              </w:rPr>
            </w:pPr>
            <w:r>
              <w:rPr>
                <w:rFonts w:hint="default" w:ascii="Times New Roman" w:hAnsi="Times New Roman" w:cs="Times New Roman"/>
                <w:bCs/>
                <w:color w:val="auto"/>
                <w:kern w:val="0"/>
                <w:sz w:val="24"/>
                <w:szCs w:val="20"/>
                <w:highlight w:val="none"/>
              </w:rPr>
              <w:t>危险废物外运时严格按照生态环境部、公安部、交通运输部令第23号文件《危险废物转移管理办法》的相关规定报批危险废物转移计划，转移危险废物时按照规定填报危险废物电子转移联单，并依照国家有关规定公开危险废物转移相关污染环境防治信息。运输危险废物的人员应具有相应经营范围的有效危险货物运输许可证件。移出入、承运人、接受人应当依法制定突发环境事件的防范措施和应急预案，并报有关部门报告；发生危险废物突发环境事件时，应当立即采取有效措施消除或者减轻对环境的污染危害，并按相关规定向事故发生地有关部门报告，接受调查。运输过程中应当采取防扬散、防流失、防渗漏或者其他防止污染环境的措施，不得擅自倾倒、堆放、丢弃、遗撒危险废物，并对所造成的环境污染及生态破坏依法承担责任。做到妥善包装，设置相应的识别标志。</w:t>
            </w:r>
          </w:p>
          <w:p w14:paraId="4977F636">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eastAsiaTheme="minorEastAsia"/>
                <w:bCs/>
                <w:color w:val="auto"/>
                <w:kern w:val="0"/>
                <w:sz w:val="24"/>
                <w:szCs w:val="20"/>
                <w:highlight w:val="none"/>
              </w:rPr>
            </w:pPr>
            <w:r>
              <w:rPr>
                <w:rFonts w:hint="default" w:ascii="Times New Roman" w:hAnsi="Times New Roman" w:cs="Times New Roman" w:eastAsiaTheme="minorEastAsia"/>
                <w:bCs/>
                <w:color w:val="auto"/>
                <w:kern w:val="0"/>
                <w:sz w:val="24"/>
                <w:szCs w:val="20"/>
                <w:highlight w:val="none"/>
              </w:rPr>
              <w:t>综上所述，项目运输过程做好相关工作对外环境的影响是可以控制的。</w:t>
            </w:r>
          </w:p>
          <w:p w14:paraId="5A21FA99">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eastAsiaTheme="minorEastAsia"/>
                <w:bCs/>
                <w:color w:val="auto"/>
                <w:kern w:val="0"/>
                <w:sz w:val="24"/>
                <w:szCs w:val="20"/>
                <w:highlight w:val="none"/>
              </w:rPr>
            </w:pPr>
            <w:r>
              <w:rPr>
                <w:rFonts w:hint="default" w:ascii="Times New Roman" w:hAnsi="Times New Roman" w:cs="Times New Roman" w:eastAsiaTheme="minorEastAsia"/>
                <w:bCs/>
                <w:color w:val="auto"/>
                <w:kern w:val="0"/>
                <w:sz w:val="24"/>
                <w:szCs w:val="20"/>
                <w:highlight w:val="none"/>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p>
          <w:p w14:paraId="2937E781">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eastAsiaTheme="minorEastAsia"/>
                <w:bCs/>
                <w:color w:val="auto"/>
                <w:kern w:val="0"/>
                <w:sz w:val="24"/>
                <w:szCs w:val="20"/>
                <w:highlight w:val="none"/>
              </w:rPr>
            </w:pPr>
            <w:r>
              <w:rPr>
                <w:rFonts w:hint="default" w:ascii="Times New Roman" w:hAnsi="Times New Roman" w:cs="Times New Roman" w:eastAsiaTheme="minorEastAsia"/>
                <w:bCs/>
                <w:color w:val="auto"/>
                <w:kern w:val="0"/>
                <w:sz w:val="24"/>
                <w:szCs w:val="20"/>
                <w:highlight w:val="none"/>
              </w:rPr>
              <w:t>（3）委托利用或者处置的环境影响分析</w:t>
            </w:r>
          </w:p>
          <w:p w14:paraId="1CC57E3F">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eastAsiaTheme="minorEastAsia"/>
                <w:bCs/>
                <w:color w:val="auto"/>
                <w:kern w:val="0"/>
                <w:sz w:val="24"/>
                <w:szCs w:val="20"/>
                <w:highlight w:val="none"/>
              </w:rPr>
            </w:pPr>
            <w:r>
              <w:rPr>
                <w:rFonts w:hint="default" w:ascii="Times New Roman" w:hAnsi="Times New Roman" w:cs="Times New Roman" w:eastAsiaTheme="minorEastAsia"/>
                <w:bCs/>
                <w:color w:val="auto"/>
                <w:kern w:val="0"/>
                <w:sz w:val="24"/>
                <w:szCs w:val="20"/>
                <w:highlight w:val="none"/>
              </w:rPr>
              <w:t>根据安徽省环境保护厅公布的《安徽省危险废物经营许可证汇总统计表》，本次评价分析项目产生的危险废物有资质单位有能力接纳并利用、处置的部分单位如下：</w:t>
            </w:r>
          </w:p>
          <w:p w14:paraId="37390D3D">
            <w:pPr>
              <w:keepNext w:val="0"/>
              <w:keepLines w:val="0"/>
              <w:widowControl/>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w:t>
            </w:r>
            <w:r>
              <w:rPr>
                <w:rFonts w:hint="eastAsia" w:cs="Times New Roman"/>
                <w:b/>
                <w:color w:val="auto"/>
                <w:kern w:val="0"/>
                <w:sz w:val="24"/>
                <w:highlight w:val="none"/>
                <w:lang w:val="en-US" w:eastAsia="zh-CN"/>
              </w:rPr>
              <w:t>33</w:t>
            </w:r>
            <w:r>
              <w:rPr>
                <w:rFonts w:hint="default" w:ascii="Times New Roman" w:hAnsi="Times New Roman" w:cs="Times New Roman"/>
                <w:b/>
                <w:color w:val="auto"/>
                <w:kern w:val="0"/>
                <w:sz w:val="24"/>
                <w:highlight w:val="none"/>
              </w:rPr>
              <w:t xml:space="preserve">  拟建项目危险废物安徽省内资质单位情况</w:t>
            </w:r>
          </w:p>
          <w:tbl>
            <w:tblPr>
              <w:tblStyle w:val="61"/>
              <w:tblW w:w="83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671"/>
              <w:gridCol w:w="797"/>
              <w:gridCol w:w="2693"/>
              <w:gridCol w:w="997"/>
              <w:gridCol w:w="899"/>
              <w:gridCol w:w="609"/>
              <w:gridCol w:w="948"/>
            </w:tblGrid>
            <w:tr w14:paraId="7DD12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9" w:type="dxa"/>
                  <w:shd w:val="clear" w:color="auto" w:fill="auto"/>
                  <w:vAlign w:val="center"/>
                </w:tcPr>
                <w:p w14:paraId="21A79FAC">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建议处置单位</w:t>
                  </w:r>
                </w:p>
              </w:tc>
              <w:tc>
                <w:tcPr>
                  <w:tcW w:w="671" w:type="dxa"/>
                  <w:shd w:val="clear" w:color="auto" w:fill="auto"/>
                  <w:vAlign w:val="center"/>
                </w:tcPr>
                <w:p w14:paraId="453D130C">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建议处置单位地点</w:t>
                  </w:r>
                </w:p>
              </w:tc>
              <w:tc>
                <w:tcPr>
                  <w:tcW w:w="797" w:type="dxa"/>
                  <w:shd w:val="clear" w:color="auto" w:fill="auto"/>
                  <w:vAlign w:val="center"/>
                </w:tcPr>
                <w:p w14:paraId="7DF0F5C8">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设计处</w:t>
                  </w:r>
                </w:p>
                <w:p w14:paraId="7C8707C3">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理规模</w:t>
                  </w:r>
                </w:p>
                <w:p w14:paraId="139875F6">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t/a</w:t>
                  </w:r>
                </w:p>
              </w:tc>
              <w:tc>
                <w:tcPr>
                  <w:tcW w:w="2693" w:type="dxa"/>
                  <w:shd w:val="clear" w:color="auto" w:fill="auto"/>
                  <w:vAlign w:val="center"/>
                </w:tcPr>
                <w:p w14:paraId="6F0CBD63">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危废资质类别</w:t>
                  </w:r>
                </w:p>
              </w:tc>
              <w:tc>
                <w:tcPr>
                  <w:tcW w:w="997" w:type="dxa"/>
                  <w:shd w:val="clear" w:color="auto" w:fill="auto"/>
                  <w:vAlign w:val="center"/>
                </w:tcPr>
                <w:p w14:paraId="5293C258">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证书编号</w:t>
                  </w:r>
                </w:p>
              </w:tc>
              <w:tc>
                <w:tcPr>
                  <w:tcW w:w="899" w:type="dxa"/>
                  <w:shd w:val="clear" w:color="auto" w:fill="auto"/>
                  <w:vAlign w:val="center"/>
                </w:tcPr>
                <w:p w14:paraId="343941D3">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首次发证时间</w:t>
                  </w:r>
                </w:p>
              </w:tc>
              <w:tc>
                <w:tcPr>
                  <w:tcW w:w="609" w:type="dxa"/>
                  <w:shd w:val="clear" w:color="auto" w:fill="auto"/>
                  <w:vAlign w:val="center"/>
                </w:tcPr>
                <w:p w14:paraId="1809C5EF">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是否有效</w:t>
                  </w:r>
                </w:p>
              </w:tc>
              <w:tc>
                <w:tcPr>
                  <w:tcW w:w="948" w:type="dxa"/>
                  <w:shd w:val="clear" w:color="auto" w:fill="auto"/>
                  <w:vAlign w:val="center"/>
                </w:tcPr>
                <w:p w14:paraId="14027270">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对应项目危险废物类别</w:t>
                  </w:r>
                </w:p>
              </w:tc>
            </w:tr>
            <w:tr w14:paraId="29779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shd w:val="clear" w:color="auto" w:fill="auto"/>
                  <w:vAlign w:val="center"/>
                </w:tcPr>
                <w:p w14:paraId="4A1E3CED">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芜湖海创环保科技有限责任</w:t>
                  </w:r>
                </w:p>
                <w:p w14:paraId="0EAD61F0">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公司</w:t>
                  </w:r>
                </w:p>
              </w:tc>
              <w:tc>
                <w:tcPr>
                  <w:tcW w:w="671" w:type="dxa"/>
                  <w:shd w:val="clear" w:color="auto" w:fill="auto"/>
                  <w:vAlign w:val="center"/>
                </w:tcPr>
                <w:p w14:paraId="4BED945B">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芜湖市繁昌县</w:t>
                  </w:r>
                </w:p>
              </w:tc>
              <w:tc>
                <w:tcPr>
                  <w:tcW w:w="797" w:type="dxa"/>
                  <w:shd w:val="clear" w:color="auto" w:fill="auto"/>
                  <w:vAlign w:val="center"/>
                </w:tcPr>
                <w:p w14:paraId="22264CF5">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68000</w:t>
                  </w:r>
                </w:p>
              </w:tc>
              <w:tc>
                <w:tcPr>
                  <w:tcW w:w="2693" w:type="dxa"/>
                  <w:shd w:val="clear" w:color="auto" w:fill="auto"/>
                  <w:vAlign w:val="center"/>
                </w:tcPr>
                <w:p w14:paraId="5C1C2578">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HW02、HW04、HW06、HW08、HW09、HW11、HW12、HW13、HW17、HW18、HW22、HW34、HW39、HW15、HW18、</w:t>
                  </w:r>
                  <w:r>
                    <w:rPr>
                      <w:rFonts w:hint="eastAsia" w:ascii="Times New Roman" w:hAnsi="Times New Roman" w:cs="Times New Roman" w:eastAsiaTheme="minorEastAsia"/>
                      <w:color w:val="auto"/>
                      <w:kern w:val="0"/>
                      <w:szCs w:val="21"/>
                      <w:highlight w:val="none"/>
                      <w:lang w:eastAsia="zh-CN"/>
                    </w:rPr>
                    <w:t>HW</w:t>
                  </w:r>
                  <w:r>
                    <w:rPr>
                      <w:rFonts w:hint="eastAsia" w:ascii="Times New Roman" w:hAnsi="Times New Roman" w:cs="Times New Roman" w:eastAsiaTheme="minorEastAsia"/>
                      <w:color w:val="auto"/>
                      <w:kern w:val="0"/>
                      <w:szCs w:val="21"/>
                      <w:highlight w:val="none"/>
                      <w:lang w:val="en-US" w:eastAsia="zh-CN"/>
                    </w:rPr>
                    <w:t>19</w:t>
                  </w:r>
                  <w:r>
                    <w:rPr>
                      <w:rFonts w:hint="default" w:ascii="Times New Roman" w:hAnsi="Times New Roman" w:cs="Times New Roman" w:eastAsiaTheme="minorEastAsia"/>
                      <w:color w:val="auto"/>
                      <w:kern w:val="0"/>
                      <w:szCs w:val="21"/>
                      <w:highlight w:val="none"/>
                    </w:rPr>
                    <w:t>等16大类，280小类</w:t>
                  </w:r>
                </w:p>
              </w:tc>
              <w:tc>
                <w:tcPr>
                  <w:tcW w:w="997" w:type="dxa"/>
                  <w:shd w:val="clear" w:color="auto" w:fill="auto"/>
                  <w:vAlign w:val="center"/>
                </w:tcPr>
                <w:p w14:paraId="79B5A076">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340222002</w:t>
                  </w:r>
                </w:p>
              </w:tc>
              <w:tc>
                <w:tcPr>
                  <w:tcW w:w="899" w:type="dxa"/>
                  <w:shd w:val="clear" w:color="auto" w:fill="auto"/>
                  <w:vAlign w:val="center"/>
                </w:tcPr>
                <w:p w14:paraId="3EF29D84">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2017.12.7</w:t>
                  </w:r>
                </w:p>
              </w:tc>
              <w:tc>
                <w:tcPr>
                  <w:tcW w:w="609" w:type="dxa"/>
                  <w:shd w:val="clear" w:color="auto" w:fill="auto"/>
                  <w:vAlign w:val="center"/>
                </w:tcPr>
                <w:p w14:paraId="4E5DA799">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有效</w:t>
                  </w:r>
                </w:p>
              </w:tc>
              <w:tc>
                <w:tcPr>
                  <w:tcW w:w="948" w:type="dxa"/>
                  <w:shd w:val="clear" w:color="auto" w:fill="auto"/>
                  <w:vAlign w:val="center"/>
                </w:tcPr>
                <w:p w14:paraId="616552CE">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HW08、HW09、HW</w:t>
                  </w:r>
                  <w:r>
                    <w:rPr>
                      <w:rFonts w:hint="eastAsia" w:ascii="Times New Roman" w:hAnsi="Times New Roman" w:cs="Times New Roman"/>
                      <w:color w:val="000000" w:themeColor="text1"/>
                      <w:szCs w:val="21"/>
                      <w:lang w:val="en-US" w:eastAsia="zh-CN"/>
                      <w14:textFill>
                        <w14:solidFill>
                          <w14:schemeClr w14:val="tx1"/>
                        </w14:solidFill>
                      </w14:textFill>
                    </w:rPr>
                    <w:t>17</w:t>
                  </w:r>
                  <w:r>
                    <w:rPr>
                      <w:rFonts w:hint="default" w:ascii="Times New Roman" w:hAnsi="Times New Roman" w:cs="Times New Roman"/>
                      <w:color w:val="000000" w:themeColor="text1"/>
                      <w:szCs w:val="21"/>
                      <w14:textFill>
                        <w14:solidFill>
                          <w14:schemeClr w14:val="tx1"/>
                        </w14:solidFill>
                      </w14:textFill>
                    </w:rPr>
                    <w:t>、HW49</w:t>
                  </w:r>
                </w:p>
              </w:tc>
            </w:tr>
            <w:tr w14:paraId="117AC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shd w:val="clear" w:color="auto" w:fill="auto"/>
                  <w:vAlign w:val="center"/>
                </w:tcPr>
                <w:p w14:paraId="3F6D3A4D">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马鞍山澳新环保科技有限公</w:t>
                  </w:r>
                </w:p>
                <w:p w14:paraId="3E6B62EF">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司</w:t>
                  </w:r>
                </w:p>
              </w:tc>
              <w:tc>
                <w:tcPr>
                  <w:tcW w:w="671" w:type="dxa"/>
                  <w:shd w:val="clear" w:color="auto" w:fill="auto"/>
                  <w:vAlign w:val="center"/>
                </w:tcPr>
                <w:p w14:paraId="7BD30A8F">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马鞍山市雨山区</w:t>
                  </w:r>
                </w:p>
              </w:tc>
              <w:tc>
                <w:tcPr>
                  <w:tcW w:w="797" w:type="dxa"/>
                  <w:shd w:val="clear" w:color="auto" w:fill="auto"/>
                  <w:vAlign w:val="center"/>
                </w:tcPr>
                <w:p w14:paraId="5CB33F87">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33100</w:t>
                  </w:r>
                </w:p>
              </w:tc>
              <w:tc>
                <w:tcPr>
                  <w:tcW w:w="2693" w:type="dxa"/>
                  <w:shd w:val="clear" w:color="auto" w:fill="auto"/>
                  <w:vAlign w:val="center"/>
                </w:tcPr>
                <w:p w14:paraId="4A70F9C9">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HW01- HW06、HW08、HW09、HW11- HW14、HW14- HW18、HW21- HW23、HW29、HW31- HW10、HW15、HW16、HW18- HW50焚烧10000吨/年（含医疗废物1000吨）、物化处理13000吨/年、固化、稳定化及安全填埋10100吨/年。</w:t>
                  </w:r>
                </w:p>
              </w:tc>
              <w:tc>
                <w:tcPr>
                  <w:tcW w:w="997" w:type="dxa"/>
                  <w:shd w:val="clear" w:color="auto" w:fill="auto"/>
                  <w:vAlign w:val="center"/>
                </w:tcPr>
                <w:p w14:paraId="18DA413F">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340504001</w:t>
                  </w:r>
                </w:p>
              </w:tc>
              <w:tc>
                <w:tcPr>
                  <w:tcW w:w="899" w:type="dxa"/>
                  <w:shd w:val="clear" w:color="auto" w:fill="auto"/>
                  <w:vAlign w:val="center"/>
                </w:tcPr>
                <w:p w14:paraId="4B1F21C4">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2015.7.1</w:t>
                  </w:r>
                </w:p>
              </w:tc>
              <w:tc>
                <w:tcPr>
                  <w:tcW w:w="609" w:type="dxa"/>
                  <w:shd w:val="clear" w:color="auto" w:fill="auto"/>
                  <w:vAlign w:val="center"/>
                </w:tcPr>
                <w:p w14:paraId="236BABD4">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有效</w:t>
                  </w:r>
                </w:p>
              </w:tc>
              <w:tc>
                <w:tcPr>
                  <w:tcW w:w="948" w:type="dxa"/>
                  <w:shd w:val="clear" w:color="auto" w:fill="auto"/>
                  <w:vAlign w:val="center"/>
                </w:tcPr>
                <w:p w14:paraId="68CFD41E">
                  <w:pPr>
                    <w:keepNext w:val="0"/>
                    <w:keepLines w:val="0"/>
                    <w:suppressLineNumbers w:val="0"/>
                    <w:autoSpaceDE w:val="0"/>
                    <w:autoSpaceDN w:val="0"/>
                    <w:adjustRightInd w:val="0"/>
                    <w:spacing w:before="0" w:beforeAutospacing="0" w:after="0" w:afterAutospacing="0"/>
                    <w:ind w:left="-105" w:leftChars="-50" w:right="-105" w:rightChars="-5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HW08、HW09、HW</w:t>
                  </w:r>
                  <w:r>
                    <w:rPr>
                      <w:rFonts w:hint="eastAsia" w:ascii="Times New Roman" w:hAnsi="Times New Roman" w:cs="Times New Roman"/>
                      <w:color w:val="000000" w:themeColor="text1"/>
                      <w:szCs w:val="21"/>
                      <w:lang w:val="en-US" w:eastAsia="zh-CN"/>
                      <w14:textFill>
                        <w14:solidFill>
                          <w14:schemeClr w14:val="tx1"/>
                        </w14:solidFill>
                      </w14:textFill>
                    </w:rPr>
                    <w:t>17</w:t>
                  </w:r>
                  <w:r>
                    <w:rPr>
                      <w:rFonts w:hint="default" w:ascii="Times New Roman" w:hAnsi="Times New Roman" w:cs="Times New Roman"/>
                      <w:color w:val="000000" w:themeColor="text1"/>
                      <w:szCs w:val="21"/>
                      <w14:textFill>
                        <w14:solidFill>
                          <w14:schemeClr w14:val="tx1"/>
                        </w14:solidFill>
                      </w14:textFill>
                    </w:rPr>
                    <w:t>、HW49</w:t>
                  </w:r>
                </w:p>
              </w:tc>
            </w:tr>
          </w:tbl>
          <w:p w14:paraId="6AB29A84">
            <w:pPr>
              <w:keepNext w:val="0"/>
              <w:keepLines w:val="0"/>
              <w:suppressLineNumbers w:val="0"/>
              <w:autoSpaceDE w:val="0"/>
              <w:autoSpaceDN w:val="0"/>
              <w:adjustRightInd w:val="0"/>
              <w:spacing w:before="0" w:beforeAutospacing="0" w:after="0" w:afterAutospacing="0"/>
              <w:ind w:left="0" w:right="0" w:firstLine="422" w:firstLineChars="200"/>
              <w:jc w:val="left"/>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注：仅为安徽省内部分有资质处置企业。</w:t>
            </w:r>
          </w:p>
          <w:p w14:paraId="7F9E1083">
            <w:pPr>
              <w:keepNext w:val="0"/>
              <w:keepLines w:val="0"/>
              <w:pageBreakBefore w:val="0"/>
              <w:widowControl w:val="0"/>
              <w:suppressLineNumbers w:val="0"/>
              <w:kinsoku/>
              <w:wordWrap/>
              <w:overflowPunct/>
              <w:topLinePunct w:val="0"/>
              <w:autoSpaceDE w:val="0"/>
              <w:autoSpaceDN w:val="0"/>
              <w:bidi w:val="0"/>
              <w:adjustRightInd w:val="0"/>
              <w:snapToGrid/>
              <w:spacing w:before="120" w:beforeLines="50" w:beforeAutospacing="0" w:after="0" w:afterAutospacing="0" w:line="288" w:lineRule="auto"/>
              <w:ind w:left="0" w:right="0" w:firstLine="480" w:firstLineChars="200"/>
              <w:jc w:val="left"/>
              <w:textAlignment w:val="auto"/>
              <w:rPr>
                <w:rFonts w:hint="default" w:ascii="Times New Roman" w:hAnsi="Times New Roman" w:cs="Times New Roman" w:eastAsiaTheme="minorEastAsia"/>
                <w:color w:val="auto"/>
                <w:kern w:val="0"/>
                <w:sz w:val="24"/>
                <w:highlight w:val="none"/>
              </w:rPr>
            </w:pPr>
            <w:r>
              <w:rPr>
                <w:rFonts w:hint="default" w:ascii="Times New Roman" w:hAnsi="Times New Roman" w:cs="Times New Roman" w:eastAsiaTheme="minorEastAsia"/>
                <w:color w:val="auto"/>
                <w:kern w:val="0"/>
                <w:sz w:val="24"/>
                <w:highlight w:val="none"/>
              </w:rPr>
              <w:t>从上表可以看出，本项目产生的危险固体废物在安徽省内有多家适合的资质单位进行处理处置。</w:t>
            </w:r>
          </w:p>
          <w:p w14:paraId="328059B1">
            <w:pPr>
              <w:keepNext w:val="0"/>
              <w:keepLines w:val="0"/>
              <w:pageBreakBefore w:val="0"/>
              <w:widowControl w:val="0"/>
              <w:suppressLineNumbers w:val="0"/>
              <w:kinsoku/>
              <w:wordWrap/>
              <w:overflowPunct/>
              <w:topLinePunct w:val="0"/>
              <w:bidi w:val="0"/>
              <w:snapToGrid/>
              <w:spacing w:before="0" w:beforeAutospacing="0" w:after="0" w:afterAutospacing="0" w:line="288" w:lineRule="auto"/>
              <w:ind w:left="0" w:right="0" w:firstLine="480" w:firstLineChars="200"/>
              <w:textAlignment w:val="auto"/>
              <w:rPr>
                <w:rFonts w:hint="default" w:ascii="Times New Roman" w:hAnsi="Times New Roman" w:cs="Times New Roman"/>
                <w:color w:val="auto"/>
                <w:kern w:val="0"/>
                <w:sz w:val="24"/>
                <w:highlight w:val="none"/>
              </w:rPr>
            </w:pPr>
            <w:r>
              <w:rPr>
                <w:rFonts w:hint="default" w:ascii="Times New Roman" w:hAnsi="Times New Roman" w:cs="Times New Roman" w:eastAsiaTheme="minorEastAsia"/>
                <w:color w:val="auto"/>
                <w:kern w:val="0"/>
                <w:sz w:val="24"/>
                <w:highlight w:val="none"/>
              </w:rPr>
              <w:t>综上所述，本评价认为，在落实上述危险废物管理要求后，项目各类危废从收集、转运、运输、处理处置环节均可以得到有效的控制，能够确保妥善处置，不会对区域环境造成较大不利影响。</w:t>
            </w:r>
          </w:p>
        </w:tc>
      </w:tr>
      <w:tr w14:paraId="1B93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52" w:type="dxa"/>
            <w:vMerge w:val="continue"/>
            <w:shd w:val="clear" w:color="auto" w:fill="auto"/>
          </w:tcPr>
          <w:p w14:paraId="2720E673">
            <w:pPr>
              <w:keepNext w:val="0"/>
              <w:keepLines w:val="0"/>
              <w:suppressLineNumbers w:val="0"/>
              <w:tabs>
                <w:tab w:val="left" w:pos="1077"/>
              </w:tabs>
              <w:spacing w:before="0" w:beforeAutospacing="0" w:after="0" w:afterAutospacing="0"/>
              <w:ind w:left="0" w:right="0"/>
              <w:rPr>
                <w:rFonts w:hint="default" w:ascii="Times New Roman" w:hAnsi="Times New Roman" w:cs="Times New Roman"/>
                <w:color w:val="auto"/>
                <w:sz w:val="24"/>
                <w:highlight w:val="none"/>
              </w:rPr>
            </w:pPr>
          </w:p>
        </w:tc>
        <w:tc>
          <w:tcPr>
            <w:tcW w:w="8609" w:type="dxa"/>
            <w:shd w:val="clear" w:color="auto" w:fill="auto"/>
          </w:tcPr>
          <w:p w14:paraId="775FCD11">
            <w:pPr>
              <w:keepNext w:val="0"/>
              <w:keepLines w:val="0"/>
              <w:suppressLineNumbers w:val="0"/>
              <w:autoSpaceDE w:val="0"/>
              <w:autoSpaceDN w:val="0"/>
              <w:adjustRightInd w:val="0"/>
              <w:spacing w:before="100" w:beforeAutospacing="1" w:after="0" w:afterAutospacing="0" w:line="360" w:lineRule="auto"/>
              <w:ind w:left="0" w:right="0" w:firstLine="482" w:firstLineChars="200"/>
              <w:jc w:val="left"/>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highlight w:val="none"/>
              </w:rPr>
              <w:t>五、地下水、</w:t>
            </w:r>
            <w:r>
              <w:rPr>
                <w:rFonts w:hint="default" w:ascii="Times New Roman" w:hAnsi="Times New Roman" w:cs="Times New Roman"/>
                <w:b/>
                <w:bCs/>
                <w:color w:val="auto"/>
                <w:sz w:val="24"/>
                <w:szCs w:val="32"/>
                <w:highlight w:val="none"/>
              </w:rPr>
              <w:t>环境影响和保护措施</w:t>
            </w:r>
          </w:p>
          <w:p w14:paraId="786583C1">
            <w:pPr>
              <w:keepNext w:val="0"/>
              <w:keepLines w:val="0"/>
              <w:suppressLineNumbers w:val="0"/>
              <w:adjustRightInd w:val="0"/>
              <w:spacing w:before="0" w:beforeAutospacing="0" w:after="0" w:afterAutospacing="0" w:line="360" w:lineRule="auto"/>
              <w:ind w:left="0" w:right="0" w:firstLine="482" w:firstLineChars="200"/>
              <w:jc w:val="left"/>
              <w:textAlignment w:val="baseline"/>
              <w:rPr>
                <w:rFonts w:hint="default" w:ascii="Times New Roman" w:hAnsi="Times New Roman" w:cs="Times New Roman" w:eastAsiaTheme="minorEastAsia"/>
                <w:b/>
                <w:color w:val="auto"/>
                <w:sz w:val="24"/>
                <w:highlight w:val="none"/>
                <w:lang w:val="zh-CN"/>
              </w:rPr>
            </w:pPr>
            <w:r>
              <w:rPr>
                <w:rFonts w:hint="default" w:ascii="Times New Roman" w:hAnsi="Times New Roman" w:cs="Times New Roman"/>
                <w:b/>
                <w:color w:val="auto"/>
                <w:sz w:val="24"/>
                <w:highlight w:val="none"/>
              </w:rPr>
              <w:t>1、</w:t>
            </w:r>
            <w:r>
              <w:rPr>
                <w:rFonts w:hint="default" w:ascii="Times New Roman" w:hAnsi="Times New Roman" w:cs="Times New Roman"/>
                <w:b/>
                <w:color w:val="auto"/>
                <w:sz w:val="24"/>
                <w:highlight w:val="none"/>
                <w:lang w:val="zh-CN"/>
              </w:rPr>
              <w:t>地下水、土壤污染途径</w:t>
            </w:r>
          </w:p>
          <w:p w14:paraId="31924434">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sz w:val="24"/>
                <w:lang w:val="zh-CN"/>
                <w14:textFill>
                  <w14:solidFill>
                    <w14:schemeClr w14:val="tx1"/>
                  </w14:solidFill>
                </w14:textFill>
              </w:rPr>
              <w:t>根据工程分析可知，本项目施工期主要为设备安装，不涉及地下水、</w:t>
            </w:r>
            <w:r>
              <w:rPr>
                <w:rFonts w:hint="default" w:ascii="Times New Roman" w:hAnsi="Times New Roman" w:cs="Times New Roman"/>
                <w:color w:val="000000" w:themeColor="text1"/>
                <w:sz w:val="24"/>
                <w:lang w:val="en-US" w:eastAsia="zh-CN"/>
                <w14:textFill>
                  <w14:solidFill>
                    <w14:schemeClr w14:val="tx1"/>
                  </w14:solidFill>
                </w14:textFill>
              </w:rPr>
              <w:t>土壤</w:t>
            </w:r>
            <w:r>
              <w:rPr>
                <w:rFonts w:hint="default" w:ascii="Times New Roman" w:hAnsi="Times New Roman" w:cs="Times New Roman"/>
                <w:color w:val="000000" w:themeColor="text1"/>
                <w:sz w:val="24"/>
                <w:lang w:val="zh-CN"/>
                <w14:textFill>
                  <w14:solidFill>
                    <w14:schemeClr w14:val="tx1"/>
                  </w14:solidFill>
                </w14:textFill>
              </w:rPr>
              <w:t>污染影响。</w:t>
            </w:r>
          </w:p>
          <w:p w14:paraId="534F555B">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w:t>
            </w:r>
            <w:r>
              <w:rPr>
                <w:rFonts w:hint="default" w:ascii="Times New Roman" w:hAnsi="Times New Roman" w:cs="Times New Roman"/>
                <w:color w:val="000000" w:themeColor="text1"/>
                <w:sz w:val="24"/>
                <w:lang w:val="zh-CN"/>
                <w14:textFill>
                  <w14:solidFill>
                    <w14:schemeClr w14:val="tx1"/>
                  </w14:solidFill>
                </w14:textFill>
              </w:rPr>
              <w:t>营运期废气主要为颗粒物</w:t>
            </w:r>
            <w:r>
              <w:rPr>
                <w:rFonts w:hint="default"/>
                <w:color w:val="auto"/>
                <w:kern w:val="0"/>
                <w:sz w:val="24"/>
                <w:lang w:bidi="ar"/>
              </w:rPr>
              <w:t>、</w:t>
            </w:r>
            <w:r>
              <w:rPr>
                <w:rFonts w:hint="default" w:eastAsiaTheme="minorEastAsia"/>
                <w:snapToGrid w:val="0"/>
                <w:color w:val="auto"/>
                <w:kern w:val="0"/>
                <w:sz w:val="24"/>
              </w:rPr>
              <w:t>SO</w:t>
            </w:r>
            <w:r>
              <w:rPr>
                <w:rFonts w:hint="default" w:eastAsiaTheme="minorEastAsia"/>
                <w:snapToGrid w:val="0"/>
                <w:color w:val="auto"/>
                <w:kern w:val="0"/>
                <w:sz w:val="24"/>
                <w:vertAlign w:val="subscript"/>
              </w:rPr>
              <w:t>2</w:t>
            </w:r>
            <w:r>
              <w:rPr>
                <w:rFonts w:hint="default"/>
                <w:color w:val="auto"/>
                <w:kern w:val="0"/>
                <w:sz w:val="24"/>
                <w:lang w:bidi="ar"/>
              </w:rPr>
              <w:t>、</w:t>
            </w:r>
            <w:r>
              <w:rPr>
                <w:rFonts w:hint="default" w:eastAsiaTheme="minorEastAsia"/>
                <w:snapToGrid w:val="0"/>
                <w:color w:val="auto"/>
                <w:kern w:val="0"/>
                <w:sz w:val="24"/>
              </w:rPr>
              <w:t>NOx</w:t>
            </w:r>
            <w:r>
              <w:rPr>
                <w:rFonts w:hint="default" w:ascii="Times New Roman" w:hAnsi="Times New Roman" w:cs="Times New Roman"/>
                <w:color w:val="000000" w:themeColor="text1"/>
                <w:sz w:val="24"/>
                <w14:textFill>
                  <w14:solidFill>
                    <w14:schemeClr w14:val="tx1"/>
                  </w14:solidFill>
                </w14:textFill>
              </w:rPr>
              <w:t>和非甲烷总烃</w:t>
            </w:r>
            <w:r>
              <w:rPr>
                <w:rFonts w:hint="default" w:ascii="Times New Roman" w:hAnsi="Times New Roman" w:cs="Times New Roman"/>
                <w:color w:val="000000" w:themeColor="text1"/>
                <w:sz w:val="24"/>
                <w:lang w:val="zh-CN"/>
                <w14:textFill>
                  <w14:solidFill>
                    <w14:schemeClr w14:val="tx1"/>
                  </w14:solidFill>
                </w14:textFill>
              </w:rPr>
              <w:t>，对</w:t>
            </w:r>
            <w:r>
              <w:rPr>
                <w:rFonts w:hint="default" w:ascii="Times New Roman" w:hAnsi="Times New Roman" w:cs="Times New Roman"/>
                <w:color w:val="000000" w:themeColor="text1"/>
                <w:sz w:val="24"/>
                <w14:textFill>
                  <w14:solidFill>
                    <w14:schemeClr w14:val="tx1"/>
                  </w14:solidFill>
                </w14:textFill>
              </w:rPr>
              <w:t>地下水</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土壤</w:t>
            </w:r>
            <w:r>
              <w:rPr>
                <w:rFonts w:hint="default" w:ascii="Times New Roman" w:hAnsi="Times New Roman" w:cs="Times New Roman"/>
                <w:color w:val="000000" w:themeColor="text1"/>
                <w:sz w:val="24"/>
                <w14:textFill>
                  <w14:solidFill>
                    <w14:schemeClr w14:val="tx1"/>
                  </w14:solidFill>
                </w14:textFill>
              </w:rPr>
              <w:t>环境影响途径主要为受大气沉降影响。</w:t>
            </w:r>
          </w:p>
          <w:p w14:paraId="258A756D">
            <w:pPr>
              <w:keepNext w:val="0"/>
              <w:keepLines w:val="0"/>
              <w:suppressLineNumbers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本项目危废库、</w:t>
            </w:r>
            <w:r>
              <w:rPr>
                <w:rFonts w:hint="default"/>
                <w:color w:val="auto"/>
                <w:sz w:val="24"/>
              </w:rPr>
              <w:t>化学品仓库、喷漆区域、清洗区域、前处理区域、</w:t>
            </w:r>
            <w:r>
              <w:rPr>
                <w:rFonts w:hint="default" w:ascii="Times New Roman" w:hAnsi="Times New Roman" w:cs="Times New Roman"/>
                <w:color w:val="000000" w:themeColor="text1"/>
                <w:sz w:val="24"/>
                <w:lang w:eastAsia="zh-CN"/>
                <w14:textFill>
                  <w14:solidFill>
                    <w14:schemeClr w14:val="tx1"/>
                  </w14:solidFill>
                </w14:textFill>
              </w:rPr>
              <w:t>化学品仓库</w:t>
            </w:r>
            <w:r>
              <w:rPr>
                <w:rFonts w:hint="default"/>
                <w:color w:val="auto"/>
                <w:sz w:val="24"/>
              </w:rPr>
              <w:t>、</w:t>
            </w:r>
            <w:r>
              <w:rPr>
                <w:rFonts w:hint="eastAsia" w:ascii="Times New Roman" w:hAnsi="Times New Roman" w:cs="Times New Roman"/>
                <w:color w:val="000000" w:themeColor="text1"/>
                <w:sz w:val="24"/>
                <w:lang w:val="en-US" w:eastAsia="zh-CN"/>
                <w14:textFill>
                  <w14:solidFill>
                    <w14:schemeClr w14:val="tx1"/>
                  </w14:solidFill>
                </w14:textFill>
              </w:rPr>
              <w:t>污水处理站</w:t>
            </w:r>
            <w:r>
              <w:rPr>
                <w:rFonts w:hint="default" w:ascii="Times New Roman" w:hAnsi="Times New Roman" w:cs="Times New Roman"/>
                <w:color w:val="000000" w:themeColor="text1"/>
                <w:sz w:val="24"/>
                <w14:textFill>
                  <w14:solidFill>
                    <w14:schemeClr w14:val="tx1"/>
                  </w14:solidFill>
                </w14:textFill>
              </w:rPr>
              <w:t>对地下水</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土壤</w:t>
            </w:r>
            <w:r>
              <w:rPr>
                <w:rFonts w:hint="default" w:ascii="Times New Roman" w:hAnsi="Times New Roman" w:cs="Times New Roman"/>
                <w:color w:val="000000" w:themeColor="text1"/>
                <w:sz w:val="24"/>
                <w14:textFill>
                  <w14:solidFill>
                    <w14:schemeClr w14:val="tx1"/>
                  </w14:solidFill>
                </w14:textFill>
              </w:rPr>
              <w:t>环境的潜在影响主要是垂直入渗透。</w:t>
            </w:r>
          </w:p>
          <w:p w14:paraId="5BDB0D1B">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2、污染防治措施</w:t>
            </w:r>
          </w:p>
          <w:p w14:paraId="2399D5AF">
            <w:pPr>
              <w:keepNext/>
              <w:keepLines/>
              <w:suppressLineNumbers w:val="0"/>
              <w:spacing w:before="0" w:beforeAutospacing="0" w:after="0" w:afterAutospacing="0" w:line="360" w:lineRule="auto"/>
              <w:ind w:left="0" w:right="0" w:firstLine="354" w:firstLineChars="147"/>
              <w:outlineLvl w:val="2"/>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（1）源头控制措施</w:t>
            </w:r>
          </w:p>
          <w:p w14:paraId="6FAA71A2">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1 \* GB3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①</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严格按照国家相关规范要求，对厂区内各污水处理设备等采取相应措施，以防止和降低污染物的跑、冒、滴、漏，将污染物泄漏的环境风险事故降到最低程度。</w:t>
            </w:r>
          </w:p>
          <w:p w14:paraId="041D9EF1">
            <w:pPr>
              <w:keepNext w:val="0"/>
              <w:keepLines w:val="0"/>
              <w:suppressLineNumbers w:val="0"/>
              <w:spacing w:before="0" w:beforeAutospacing="0" w:after="0" w:afterAutospacing="0" w:line="360" w:lineRule="auto"/>
              <w:ind w:left="0" w:right="0" w:firstLine="48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2 \* GB3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②</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严格固体废物管理，不接触外界降水，使其不产生淋滤液，严防污染物泄漏到地下水中。</w:t>
            </w:r>
          </w:p>
          <w:p w14:paraId="5286FBAB">
            <w:pPr>
              <w:keepNext/>
              <w:keepLines/>
              <w:suppressLineNumbers w:val="0"/>
              <w:spacing w:before="0" w:beforeAutospacing="0" w:after="0" w:afterAutospacing="0" w:line="360" w:lineRule="auto"/>
              <w:ind w:left="0" w:right="0" w:firstLine="354" w:firstLineChars="147"/>
              <w:outlineLvl w:val="2"/>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（2）分区防渗措施</w:t>
            </w:r>
          </w:p>
          <w:p w14:paraId="4BD94442">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eastAsiaTheme="minorEastAsia"/>
                <w:color w:val="auto"/>
                <w:kern w:val="0"/>
                <w:sz w:val="24"/>
                <w:highlight w:val="none"/>
              </w:rPr>
              <w:t>企业针对可能对地下水造成影响的各环节</w:t>
            </w:r>
            <w:r>
              <w:rPr>
                <w:rFonts w:hint="default" w:ascii="Times New Roman" w:hAnsi="Times New Roman" w:cs="Times New Roman" w:eastAsiaTheme="minorEastAsia"/>
                <w:color w:val="auto"/>
                <w:sz w:val="24"/>
                <w:highlight w:val="none"/>
              </w:rPr>
              <w:t>《一般工业固体废物贮存和填埋污染控制标准》（GB18599-2020）</w:t>
            </w:r>
            <w:r>
              <w:rPr>
                <w:rFonts w:hint="default" w:ascii="Times New Roman" w:hAnsi="Times New Roman" w:cs="Times New Roman" w:eastAsiaTheme="minorEastAsia"/>
                <w:color w:val="auto"/>
                <w:kern w:val="0"/>
                <w:sz w:val="24"/>
                <w:highlight w:val="none"/>
              </w:rPr>
              <w:t>、</w:t>
            </w:r>
            <w:r>
              <w:rPr>
                <w:rFonts w:hint="default" w:ascii="Times New Roman" w:hAnsi="Times New Roman" w:cs="Times New Roman"/>
                <w:color w:val="auto"/>
                <w:sz w:val="24"/>
                <w:highlight w:val="none"/>
              </w:rPr>
              <w:t>《危险废物贮存污染控制标准》（GB18597-2023）</w:t>
            </w:r>
            <w:r>
              <w:rPr>
                <w:rFonts w:hint="default" w:ascii="Times New Roman" w:hAnsi="Times New Roman" w:cs="Times New Roman" w:eastAsiaTheme="minorEastAsia"/>
                <w:color w:val="auto"/>
                <w:kern w:val="0"/>
                <w:sz w:val="24"/>
                <w:highlight w:val="none"/>
              </w:rPr>
              <w:t>和《危险废物填埋污染控制标准》（GB18598-2019）等标准，将全厂划分为重点防渗区、一般防渗区和简单防渗区 。</w:t>
            </w:r>
            <w:r>
              <w:rPr>
                <w:rFonts w:hint="default" w:ascii="Times New Roman" w:hAnsi="Times New Roman" w:cs="Times New Roman"/>
                <w:color w:val="auto"/>
                <w:sz w:val="24"/>
                <w:highlight w:val="none"/>
              </w:rPr>
              <w:t>本项目地下水、土壤分区防渗措施下表。</w:t>
            </w:r>
          </w:p>
          <w:p w14:paraId="0BB77838">
            <w:pPr>
              <w:keepNext w:val="0"/>
              <w:keepLines w:val="0"/>
              <w:widowControl/>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w:t>
            </w:r>
            <w:r>
              <w:rPr>
                <w:rFonts w:hint="eastAsia" w:cs="Times New Roman"/>
                <w:b/>
                <w:color w:val="auto"/>
                <w:kern w:val="0"/>
                <w:sz w:val="24"/>
                <w:highlight w:val="none"/>
                <w:lang w:val="en-US" w:eastAsia="zh-CN"/>
              </w:rPr>
              <w:t>34</w:t>
            </w:r>
            <w:r>
              <w:rPr>
                <w:rFonts w:hint="default" w:ascii="Times New Roman" w:hAnsi="Times New Roman" w:cs="Times New Roman"/>
                <w:b/>
                <w:color w:val="auto"/>
                <w:kern w:val="0"/>
                <w:sz w:val="24"/>
                <w:highlight w:val="none"/>
              </w:rPr>
              <w:t xml:space="preserve">  地下水分区防渗措施一览表</w:t>
            </w:r>
          </w:p>
          <w:tbl>
            <w:tblPr>
              <w:tblStyle w:val="61"/>
              <w:tblW w:w="8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3324"/>
              <w:gridCol w:w="1209"/>
              <w:gridCol w:w="3185"/>
            </w:tblGrid>
            <w:tr w14:paraId="56FAD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10A4930C">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污染区</w:t>
                  </w:r>
                </w:p>
              </w:tc>
              <w:tc>
                <w:tcPr>
                  <w:tcW w:w="3324" w:type="dxa"/>
                  <w:shd w:val="clear" w:color="auto" w:fill="auto"/>
                  <w:noWrap/>
                  <w:vAlign w:val="center"/>
                </w:tcPr>
                <w:p w14:paraId="19EBB53A">
                  <w:pPr>
                    <w:keepNext w:val="0"/>
                    <w:keepLines w:val="0"/>
                    <w:widowControl/>
                    <w:suppressLineNumbers w:val="0"/>
                    <w:spacing w:before="0" w:beforeAutospacing="0" w:after="0" w:afterAutospacing="0"/>
                    <w:ind w:left="-50" w:right="-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构筑物名称</w:t>
                  </w:r>
                </w:p>
              </w:tc>
              <w:tc>
                <w:tcPr>
                  <w:tcW w:w="1209" w:type="dxa"/>
                  <w:shd w:val="clear" w:color="auto" w:fill="auto"/>
                  <w:noWrap/>
                  <w:vAlign w:val="center"/>
                </w:tcPr>
                <w:p w14:paraId="7D8D43F5">
                  <w:pPr>
                    <w:keepNext w:val="0"/>
                    <w:keepLines w:val="0"/>
                    <w:widowControl/>
                    <w:suppressLineNumbers w:val="0"/>
                    <w:spacing w:before="0" w:beforeAutospacing="0" w:after="0" w:afterAutospacing="0"/>
                    <w:ind w:left="-50" w:right="-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b/>
                      <w:color w:val="auto"/>
                      <w:szCs w:val="21"/>
                      <w:highlight w:val="none"/>
                    </w:rPr>
                    <w:t>防渗区域</w:t>
                  </w:r>
                </w:p>
              </w:tc>
              <w:tc>
                <w:tcPr>
                  <w:tcW w:w="3185" w:type="dxa"/>
                  <w:vAlign w:val="center"/>
                </w:tcPr>
                <w:p w14:paraId="4FB71EE1">
                  <w:pPr>
                    <w:keepNext w:val="0"/>
                    <w:keepLines w:val="0"/>
                    <w:widowControl/>
                    <w:suppressLineNumbers w:val="0"/>
                    <w:spacing w:before="0" w:beforeAutospacing="0" w:after="0" w:afterAutospacing="0"/>
                    <w:ind w:left="-50" w:right="-50"/>
                    <w:jc w:val="center"/>
                    <w:rPr>
                      <w:rFonts w:hint="default" w:ascii="Times New Roman" w:hAnsi="Times New Roman" w:cs="Times New Roman" w:eastAsiaTheme="minorEastAsia"/>
                      <w:b/>
                      <w:color w:val="auto"/>
                      <w:kern w:val="0"/>
                      <w:szCs w:val="21"/>
                      <w:highlight w:val="none"/>
                    </w:rPr>
                  </w:pPr>
                  <w:r>
                    <w:rPr>
                      <w:rFonts w:hint="default" w:ascii="Times New Roman" w:hAnsi="Times New Roman" w:cs="Times New Roman" w:eastAsiaTheme="minorEastAsia"/>
                      <w:b/>
                      <w:color w:val="auto"/>
                      <w:kern w:val="0"/>
                      <w:szCs w:val="21"/>
                      <w:highlight w:val="none"/>
                    </w:rPr>
                    <w:t>防渗技术要求</w:t>
                  </w:r>
                </w:p>
              </w:tc>
            </w:tr>
            <w:tr w14:paraId="68A9C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7E72FE34">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简单</w:t>
                  </w:r>
                </w:p>
                <w:p w14:paraId="141A1526">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szCs w:val="21"/>
                      <w:highlight w:val="none"/>
                    </w:rPr>
                    <w:t>防渗区</w:t>
                  </w:r>
                </w:p>
              </w:tc>
              <w:tc>
                <w:tcPr>
                  <w:tcW w:w="3324" w:type="dxa"/>
                  <w:shd w:val="clear" w:color="auto" w:fill="auto"/>
                  <w:noWrap/>
                  <w:vAlign w:val="center"/>
                </w:tcPr>
                <w:p w14:paraId="11975420">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重点、一般污染防治区之外的区域</w:t>
                  </w:r>
                </w:p>
              </w:tc>
              <w:tc>
                <w:tcPr>
                  <w:tcW w:w="1209" w:type="dxa"/>
                  <w:shd w:val="clear" w:color="auto" w:fill="auto"/>
                  <w:noWrap/>
                  <w:vAlign w:val="center"/>
                </w:tcPr>
                <w:p w14:paraId="1230D94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color w:val="auto"/>
                      <w:szCs w:val="21"/>
                      <w:highlight w:val="none"/>
                    </w:rPr>
                    <w:t>地面</w:t>
                  </w:r>
                </w:p>
              </w:tc>
              <w:tc>
                <w:tcPr>
                  <w:tcW w:w="3185" w:type="dxa"/>
                  <w:vAlign w:val="center"/>
                </w:tcPr>
                <w:p w14:paraId="7B0380AE">
                  <w:pPr>
                    <w:keepNext w:val="0"/>
                    <w:keepLines w:val="0"/>
                    <w:widowControl/>
                    <w:suppressLineNumbers w:val="0"/>
                    <w:spacing w:before="0" w:beforeAutospacing="0" w:after="0" w:afterAutospacing="0"/>
                    <w:ind w:left="-50" w:right="-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一般地面硬化</w:t>
                  </w:r>
                </w:p>
              </w:tc>
            </w:tr>
            <w:tr w14:paraId="755F0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4A5F48CF">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一般</w:t>
                  </w:r>
                </w:p>
                <w:p w14:paraId="06DD3C1F">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防渗区</w:t>
                  </w:r>
                </w:p>
              </w:tc>
              <w:tc>
                <w:tcPr>
                  <w:tcW w:w="3324" w:type="dxa"/>
                  <w:shd w:val="clear" w:color="auto" w:fill="auto"/>
                  <w:noWrap/>
                  <w:vAlign w:val="center"/>
                </w:tcPr>
                <w:p w14:paraId="5441F7BF">
                  <w:pPr>
                    <w:keepNext w:val="0"/>
                    <w:keepLines w:val="0"/>
                    <w:suppressLineNumbers w:val="0"/>
                    <w:adjustRightInd w:val="0"/>
                    <w:spacing w:before="0" w:beforeAutospacing="0" w:after="0" w:afterAutospacing="0"/>
                    <w:ind w:left="-50" w:right="-50"/>
                    <w:jc w:val="center"/>
                    <w:rPr>
                      <w:rFonts w:hint="eastAsia" w:ascii="Times New Roman" w:hAnsi="Times New Roman" w:cs="Times New Roman" w:eastAsiaTheme="minorEastAsia"/>
                      <w:color w:val="auto"/>
                      <w:kern w:val="0"/>
                      <w:szCs w:val="21"/>
                      <w:highlight w:val="none"/>
                      <w:lang w:eastAsia="zh-CN"/>
                    </w:rPr>
                  </w:pPr>
                  <w:r>
                    <w:rPr>
                      <w:rFonts w:hint="default" w:ascii="Times New Roman" w:hAnsi="Times New Roman" w:cs="Times New Roman" w:eastAsiaTheme="minorEastAsia"/>
                      <w:color w:val="auto"/>
                      <w:szCs w:val="21"/>
                      <w:highlight w:val="none"/>
                    </w:rPr>
                    <w:t>生产车间、一般固废暂存场所、厂区道路</w:t>
                  </w:r>
                  <w:r>
                    <w:rPr>
                      <w:rFonts w:hint="default"/>
                      <w:color w:val="auto"/>
                      <w:szCs w:val="21"/>
                    </w:rPr>
                    <w:t>、化粪池</w:t>
                  </w:r>
                </w:p>
              </w:tc>
              <w:tc>
                <w:tcPr>
                  <w:tcW w:w="1209" w:type="dxa"/>
                  <w:shd w:val="clear" w:color="auto" w:fill="auto"/>
                  <w:noWrap/>
                  <w:vAlign w:val="center"/>
                </w:tcPr>
                <w:p w14:paraId="4563B66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color w:val="auto"/>
                      <w:szCs w:val="21"/>
                      <w:highlight w:val="none"/>
                    </w:rPr>
                    <w:t>地面</w:t>
                  </w:r>
                </w:p>
              </w:tc>
              <w:tc>
                <w:tcPr>
                  <w:tcW w:w="3185" w:type="dxa"/>
                  <w:vAlign w:val="center"/>
                </w:tcPr>
                <w:p w14:paraId="3A6AD58C">
                  <w:pPr>
                    <w:keepNext w:val="0"/>
                    <w:keepLines w:val="0"/>
                    <w:widowControl/>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kern w:val="0"/>
                      <w:szCs w:val="21"/>
                      <w:highlight w:val="none"/>
                    </w:rPr>
                    <w:t>等效黏土防渗层Mb≥1.5m，K≤10</w:t>
                  </w:r>
                  <w:r>
                    <w:rPr>
                      <w:rFonts w:hint="default" w:ascii="Times New Roman" w:hAnsi="Times New Roman" w:cs="Times New Roman" w:eastAsiaTheme="minorEastAsia"/>
                      <w:color w:val="auto"/>
                      <w:kern w:val="0"/>
                      <w:szCs w:val="21"/>
                      <w:highlight w:val="none"/>
                      <w:vertAlign w:val="superscript"/>
                    </w:rPr>
                    <w:t>-7</w:t>
                  </w:r>
                  <w:r>
                    <w:rPr>
                      <w:rFonts w:hint="default" w:ascii="Times New Roman" w:hAnsi="Times New Roman" w:cs="Times New Roman" w:eastAsiaTheme="minorEastAsia"/>
                      <w:color w:val="auto"/>
                      <w:kern w:val="0"/>
                      <w:szCs w:val="21"/>
                      <w:highlight w:val="none"/>
                    </w:rPr>
                    <w:t>cm/s；或参照GB16889执行</w:t>
                  </w:r>
                </w:p>
              </w:tc>
            </w:tr>
            <w:tr w14:paraId="7A927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689" w:type="dxa"/>
                  <w:shd w:val="clear" w:color="auto" w:fill="auto"/>
                  <w:noWrap/>
                  <w:vAlign w:val="center"/>
                </w:tcPr>
                <w:p w14:paraId="1D0DB370">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重点</w:t>
                  </w:r>
                </w:p>
                <w:p w14:paraId="290B62E5">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eastAsiaTheme="minorEastAsia"/>
                      <w:color w:val="auto"/>
                      <w:szCs w:val="21"/>
                      <w:highlight w:val="none"/>
                    </w:rPr>
                    <w:t>防渗区</w:t>
                  </w:r>
                </w:p>
              </w:tc>
              <w:tc>
                <w:tcPr>
                  <w:tcW w:w="3324" w:type="dxa"/>
                  <w:shd w:val="clear" w:color="auto" w:fill="auto"/>
                  <w:noWrap/>
                  <w:vAlign w:val="center"/>
                </w:tcPr>
                <w:p w14:paraId="0ACD71D9">
                  <w:pPr>
                    <w:keepNext w:val="0"/>
                    <w:keepLines w:val="0"/>
                    <w:suppressLineNumbers w:val="0"/>
                    <w:adjustRightInd w:val="0"/>
                    <w:spacing w:before="0" w:beforeAutospacing="0" w:after="0" w:afterAutospacing="0"/>
                    <w:ind w:left="-50" w:right="-50"/>
                    <w:jc w:val="center"/>
                    <w:rPr>
                      <w:rFonts w:hint="eastAsia" w:ascii="Times New Roman" w:hAnsi="Times New Roman" w:eastAsia="宋体" w:cs="Times New Roman"/>
                      <w:color w:val="auto"/>
                      <w:szCs w:val="21"/>
                      <w:highlight w:val="none"/>
                      <w:lang w:eastAsia="zh-CN"/>
                    </w:rPr>
                  </w:pPr>
                  <w:r>
                    <w:rPr>
                      <w:rFonts w:hint="default"/>
                      <w:color w:val="auto"/>
                      <w:szCs w:val="21"/>
                    </w:rPr>
                    <w:t>危废暂存库、化学品仓库、喷漆区域、清洗区域、前处理区域、</w:t>
                  </w:r>
                  <w:r>
                    <w:rPr>
                      <w:rFonts w:hint="eastAsia"/>
                      <w:color w:val="auto"/>
                      <w:szCs w:val="21"/>
                      <w:lang w:val="en-US" w:eastAsia="zh-CN"/>
                    </w:rPr>
                    <w:t>化学品仓库</w:t>
                  </w:r>
                  <w:r>
                    <w:rPr>
                      <w:rFonts w:hint="default"/>
                      <w:color w:val="auto"/>
                      <w:szCs w:val="21"/>
                    </w:rPr>
                    <w:t>、污水处理站</w:t>
                  </w:r>
                </w:p>
              </w:tc>
              <w:tc>
                <w:tcPr>
                  <w:tcW w:w="1209" w:type="dxa"/>
                  <w:shd w:val="clear" w:color="auto" w:fill="auto"/>
                  <w:noWrap/>
                  <w:vAlign w:val="center"/>
                </w:tcPr>
                <w:p w14:paraId="1B8A7927">
                  <w:pPr>
                    <w:keepNext w:val="0"/>
                    <w:keepLines w:val="0"/>
                    <w:suppressLineNumbers w:val="0"/>
                    <w:adjustRightInd w:val="0"/>
                    <w:spacing w:before="0" w:beforeAutospacing="0" w:after="0" w:afterAutospacing="0"/>
                    <w:ind w:left="-50" w:right="-50"/>
                    <w:jc w:val="center"/>
                    <w:rPr>
                      <w:rFonts w:hint="default" w:ascii="Times New Roman" w:hAnsi="Times New Roman" w:cs="Times New Roman" w:eastAsiaTheme="minorEastAsia"/>
                      <w:color w:val="auto"/>
                      <w:kern w:val="0"/>
                      <w:szCs w:val="21"/>
                      <w:highlight w:val="none"/>
                    </w:rPr>
                  </w:pPr>
                  <w:r>
                    <w:rPr>
                      <w:rFonts w:hint="default" w:ascii="Times New Roman" w:hAnsi="Times New Roman" w:cs="Times New Roman"/>
                      <w:color w:val="auto"/>
                      <w:szCs w:val="21"/>
                      <w:highlight w:val="none"/>
                    </w:rPr>
                    <w:t>地面、裙脚、管沟</w:t>
                  </w:r>
                </w:p>
              </w:tc>
              <w:tc>
                <w:tcPr>
                  <w:tcW w:w="3185" w:type="dxa"/>
                  <w:vAlign w:val="center"/>
                </w:tcPr>
                <w:p w14:paraId="15CD3D9B">
                  <w:pPr>
                    <w:pStyle w:val="27"/>
                    <w:keepNext w:val="0"/>
                    <w:keepLines w:val="0"/>
                    <w:suppressLineNumbers w:val="0"/>
                    <w:spacing w:before="0" w:beforeAutospacing="0" w:after="0" w:afterAutospacing="0" w:line="240" w:lineRule="auto"/>
                    <w:ind w:left="0" w:right="0"/>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 w:val="21"/>
                      <w:szCs w:val="21"/>
                      <w:highlight w:val="none"/>
                    </w:rPr>
                    <w:t>等效黏土防渗层Mb≥6.0m，K≤10</w:t>
                  </w:r>
                  <w:r>
                    <w:rPr>
                      <w:rFonts w:hint="default" w:ascii="Times New Roman" w:hAnsi="Times New Roman" w:cs="Times New Roman" w:eastAsiaTheme="minorEastAsia"/>
                      <w:color w:val="auto"/>
                      <w:sz w:val="21"/>
                      <w:szCs w:val="21"/>
                      <w:highlight w:val="none"/>
                      <w:vertAlign w:val="superscript"/>
                    </w:rPr>
                    <w:t>-7</w:t>
                  </w:r>
                  <w:r>
                    <w:rPr>
                      <w:rFonts w:hint="default" w:ascii="Times New Roman" w:hAnsi="Times New Roman" w:cs="Times New Roman" w:eastAsiaTheme="minorEastAsia"/>
                      <w:color w:val="auto"/>
                      <w:sz w:val="21"/>
                      <w:szCs w:val="21"/>
                      <w:highlight w:val="none"/>
                    </w:rPr>
                    <w:t>cm/s；</w:t>
                  </w:r>
                  <w:r>
                    <w:rPr>
                      <w:rFonts w:hint="default" w:ascii="Times New Roman" w:hAnsi="Times New Roman" w:cs="Times New Roman"/>
                      <w:color w:val="auto"/>
                      <w:sz w:val="21"/>
                      <w:szCs w:val="21"/>
                      <w:highlight w:val="none"/>
                    </w:rPr>
                    <w:t>其中危废暂存库按照《危险废物贮存污染控制标准》（GB18597-2023），至少1m厚黏土层（渗透系数不大于10</w:t>
                  </w:r>
                  <w:r>
                    <w:rPr>
                      <w:rFonts w:hint="default" w:ascii="Times New Roman" w:hAnsi="Times New Roman" w:cs="Times New Roman"/>
                      <w:color w:val="auto"/>
                      <w:sz w:val="21"/>
                      <w:szCs w:val="21"/>
                      <w:highlight w:val="none"/>
                      <w:vertAlign w:val="superscript"/>
                    </w:rPr>
                    <w:t>-7</w:t>
                  </w:r>
                  <w:r>
                    <w:rPr>
                      <w:rFonts w:hint="default" w:ascii="Times New Roman" w:hAnsi="Times New Roman" w:cs="Times New Roman"/>
                      <w:color w:val="auto"/>
                      <w:sz w:val="21"/>
                      <w:szCs w:val="21"/>
                      <w:highlight w:val="none"/>
                    </w:rPr>
                    <w:t>cm/s）；或至少2mm厚高密度聚乙烯膜等人工防渗材料（渗透系数不大于10</w:t>
                  </w:r>
                  <w:r>
                    <w:rPr>
                      <w:rFonts w:hint="default" w:ascii="Times New Roman" w:hAnsi="Times New Roman" w:cs="Times New Roman"/>
                      <w:color w:val="auto"/>
                      <w:sz w:val="21"/>
                      <w:szCs w:val="21"/>
                      <w:highlight w:val="none"/>
                      <w:vertAlign w:val="superscript"/>
                    </w:rPr>
                    <w:t>-10</w:t>
                  </w:r>
                  <w:r>
                    <w:rPr>
                      <w:rFonts w:hint="default" w:ascii="Times New Roman" w:hAnsi="Times New Roman" w:cs="Times New Roman"/>
                      <w:color w:val="auto"/>
                      <w:sz w:val="21"/>
                      <w:szCs w:val="21"/>
                      <w:highlight w:val="none"/>
                    </w:rPr>
                    <w:t>cm/s）；</w:t>
                  </w:r>
                </w:p>
              </w:tc>
            </w:tr>
          </w:tbl>
          <w:p w14:paraId="1B97FD56">
            <w:pPr>
              <w:pStyle w:val="27"/>
              <w:keepNext w:val="0"/>
              <w:keepLines w:val="0"/>
              <w:widowControl w:val="0"/>
              <w:suppressLineNumbers w:val="0"/>
              <w:snapToGrid/>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在采取以上分区防渗措施后，可有效预防项目对地下水和土壤污染的发生。</w:t>
            </w:r>
          </w:p>
        </w:tc>
      </w:tr>
      <w:tr w14:paraId="6B17A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452" w:type="dxa"/>
            <w:vMerge w:val="continue"/>
            <w:shd w:val="clear" w:color="auto" w:fill="auto"/>
          </w:tcPr>
          <w:p w14:paraId="69BF9516">
            <w:pPr>
              <w:keepNext w:val="0"/>
              <w:keepLines w:val="0"/>
              <w:suppressLineNumbers w:val="0"/>
              <w:tabs>
                <w:tab w:val="left" w:pos="1077"/>
              </w:tabs>
              <w:spacing w:before="0" w:beforeAutospacing="0" w:after="0" w:afterAutospacing="0"/>
              <w:ind w:left="0" w:right="0"/>
              <w:rPr>
                <w:rFonts w:hint="default" w:ascii="Times New Roman" w:hAnsi="Times New Roman" w:cs="Times New Roman"/>
                <w:color w:val="auto"/>
                <w:sz w:val="24"/>
                <w:highlight w:val="none"/>
              </w:rPr>
            </w:pPr>
          </w:p>
        </w:tc>
        <w:tc>
          <w:tcPr>
            <w:tcW w:w="8609" w:type="dxa"/>
            <w:shd w:val="clear" w:color="auto" w:fill="auto"/>
          </w:tcPr>
          <w:p w14:paraId="02EA0C98">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cs="Times New Roman"/>
                <w:b/>
                <w:color w:val="auto"/>
                <w:kern w:val="0"/>
                <w:sz w:val="24"/>
                <w:highlight w:val="none"/>
              </w:rPr>
            </w:pPr>
            <w:r>
              <w:rPr>
                <w:rFonts w:hint="default" w:ascii="Times New Roman" w:hAnsi="Times New Roman" w:cs="Times New Roman"/>
                <w:b/>
                <w:bCs/>
                <w:color w:val="auto"/>
                <w:sz w:val="24"/>
                <w:highlight w:val="none"/>
              </w:rPr>
              <w:t>六、</w:t>
            </w:r>
            <w:r>
              <w:rPr>
                <w:rFonts w:hint="default" w:ascii="Times New Roman" w:hAnsi="Times New Roman" w:cs="Times New Roman"/>
                <w:b/>
                <w:color w:val="auto"/>
                <w:kern w:val="0"/>
                <w:sz w:val="24"/>
                <w:highlight w:val="none"/>
              </w:rPr>
              <w:t>环境风险分析</w:t>
            </w:r>
          </w:p>
          <w:p w14:paraId="3FDD6DCD">
            <w:pPr>
              <w:keepNext w:val="0"/>
              <w:keepLines w:val="0"/>
              <w:suppressLineNumbers w:val="0"/>
              <w:wordWrap w:val="0"/>
              <w:topLinePunct/>
              <w:spacing w:before="0" w:beforeAutospacing="0" w:after="0" w:afterAutospacing="0" w:line="360" w:lineRule="auto"/>
              <w:ind w:left="0" w:right="0" w:firstLine="482" w:firstLineChars="200"/>
              <w:textAlignment w:val="center"/>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1、风险源调查</w:t>
            </w:r>
          </w:p>
          <w:p w14:paraId="384BD36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本次评价将针对本项目涉及的原辅材料、三废、产品等进行物质危险性识别，根据《建设项目环境风险评价技术导则》（HJ 169-2018）附录B，本项目存在危险性的主要物质有</w:t>
            </w:r>
            <w:r>
              <w:rPr>
                <w:rFonts w:hint="eastAsia" w:ascii="Times New Roman" w:hAnsi="Times New Roman" w:cs="Times New Roman"/>
                <w:color w:val="000000" w:themeColor="text1"/>
                <w:sz w:val="24"/>
                <w:lang w:val="en-US" w:eastAsia="zh-CN"/>
                <w14:textFill>
                  <w14:solidFill>
                    <w14:schemeClr w14:val="tx1"/>
                  </w14:solidFill>
                </w14:textFill>
              </w:rPr>
              <w:t>水性底漆</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水性光亮剂</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中性脱脂剂</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硅烷处理剂</w:t>
            </w:r>
            <w:r>
              <w:rPr>
                <w:rFonts w:hint="default" w:ascii="Times New Roman" w:hAnsi="Times New Roman" w:cs="Times New Roman"/>
                <w:color w:val="000000" w:themeColor="text1"/>
                <w:sz w:val="24"/>
                <w14:textFill>
                  <w14:solidFill>
                    <w14:schemeClr w14:val="tx1"/>
                  </w14:solidFill>
                </w14:textFill>
              </w:rPr>
              <w:t>、塑粉、切削液、润滑油、液压油、</w:t>
            </w:r>
            <w:r>
              <w:rPr>
                <w:rFonts w:hint="eastAsia" w:ascii="Times New Roman" w:hAnsi="Times New Roman" w:cs="Times New Roman"/>
                <w:color w:val="000000" w:themeColor="text1"/>
                <w:sz w:val="24"/>
                <w:lang w:val="en-US" w:eastAsia="zh-CN"/>
                <w14:textFill>
                  <w14:solidFill>
                    <w14:schemeClr w14:val="tx1"/>
                  </w14:solidFill>
                </w14:textFill>
              </w:rPr>
              <w:t>天然气</w:t>
            </w:r>
            <w:r>
              <w:rPr>
                <w:rFonts w:hint="default" w:ascii="Times New Roman" w:hAnsi="Times New Roman" w:cs="Times New Roman"/>
                <w:color w:val="000000" w:themeColor="text1"/>
                <w:sz w:val="24"/>
                <w14:textFill>
                  <w14:solidFill>
                    <w14:schemeClr w14:val="tx1"/>
                  </w14:solidFill>
                </w14:textFill>
              </w:rPr>
              <w:t>和危险废物。</w:t>
            </w:r>
          </w:p>
          <w:p w14:paraId="4FF8D6E7">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2、风</w:t>
            </w:r>
            <w:r>
              <w:rPr>
                <w:rFonts w:hint="default" w:ascii="Times New Roman" w:hAnsi="Times New Roman" w:cs="Times New Roman"/>
                <w:b/>
                <w:bCs/>
                <w:color w:val="000000" w:themeColor="text1"/>
                <w:sz w:val="24"/>
                <w14:textFill>
                  <w14:solidFill>
                    <w14:schemeClr w14:val="tx1"/>
                  </w14:solidFill>
                </w14:textFill>
              </w:rPr>
              <w:t>险潜势初判</w:t>
            </w:r>
          </w:p>
          <w:p w14:paraId="18592B45">
            <w:pPr>
              <w:keepNext w:val="0"/>
              <w:keepLines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（1）危险物质数量与临界量比值（Q）</w:t>
            </w:r>
          </w:p>
          <w:p w14:paraId="2FDDB74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14:paraId="67CC138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当只涉及一种危险物质时，计算该物质的总量与其临界量比值，即为Q；</w:t>
            </w:r>
          </w:p>
          <w:p w14:paraId="1B14FC0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pict>
                <v:shape id="Object 4" o:spid="_x0000_s1058" o:spt="75" type="#_x0000_t75" style="position:absolute;left:0pt;margin-left:145.65pt;margin-top:25.7pt;height:39.7pt;width:141.25pt;mso-wrap-distance-bottom:0pt;mso-wrap-distance-top:0pt;z-index:251663360;mso-width-relative:page;mso-height-relative:page;" o:ole="t" filled="f" o:preferrelative="t" stroked="f" coordsize="21600,21600">
                  <v:path/>
                  <v:fill on="f" focussize="0,0"/>
                  <v:stroke on="f" joinstyle="miter"/>
                  <v:imagedata r:id="rId33" o:title=""/>
                  <o:lock v:ext="edit" aspectratio="t"/>
                  <w10:wrap type="topAndBottom"/>
                </v:shape>
                <o:OLEObject Type="Embed" ProgID="" ShapeID="Object 4" DrawAspect="Content" ObjectID="_1468075734" r:id="rId32">
                  <o:LockedField>false</o:LockedField>
                </o:OLEObject>
              </w:pict>
            </w:r>
            <w:r>
              <w:rPr>
                <w:rFonts w:hint="default" w:ascii="Times New Roman" w:hAnsi="Times New Roman" w:cs="Times New Roman"/>
                <w:color w:val="000000" w:themeColor="text1"/>
                <w:sz w:val="24"/>
                <w14:textFill>
                  <w14:solidFill>
                    <w14:schemeClr w14:val="tx1"/>
                  </w14:solidFill>
                </w14:textFill>
              </w:rPr>
              <w:t>当存在多种危险物质时，则按下式计算物质总量与其临界量比值(Q)：</w:t>
            </w:r>
          </w:p>
          <w:p w14:paraId="0F14786D">
            <w:pPr>
              <w:keepNext w:val="0"/>
              <w:keepLines w:val="0"/>
              <w:suppressLineNumbers w:val="0"/>
              <w:spacing w:before="120" w:beforeLines="50" w:beforeAutospacing="0" w:after="0" w:afterAutospacing="0" w:line="360" w:lineRule="auto"/>
              <w:ind w:left="0" w:right="0" w:firstLine="48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式中：q</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n</w:t>
            </w:r>
            <w:r>
              <w:rPr>
                <w:rFonts w:hint="default" w:ascii="Times New Roman" w:hAnsi="Times New Roman" w:cs="Times New Roman"/>
                <w:color w:val="000000" w:themeColor="text1"/>
                <w:sz w:val="24"/>
                <w14:textFill>
                  <w14:solidFill>
                    <w14:schemeClr w14:val="tx1"/>
                  </w14:solidFill>
                </w14:textFill>
              </w:rPr>
              <w:t>为每种危险物质的最大存在总量，t。</w:t>
            </w:r>
          </w:p>
          <w:p w14:paraId="1F5C9AB5">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n</w:t>
            </w:r>
            <w:r>
              <w:rPr>
                <w:rFonts w:hint="default" w:ascii="Times New Roman" w:hAnsi="Times New Roman" w:cs="Times New Roman"/>
                <w:color w:val="000000" w:themeColor="text1"/>
                <w:sz w:val="24"/>
                <w14:textFill>
                  <w14:solidFill>
                    <w14:schemeClr w14:val="tx1"/>
                  </w14:solidFill>
                </w14:textFill>
              </w:rPr>
              <w:t>为每种危险物质的临界量，t。</w:t>
            </w:r>
          </w:p>
          <w:p w14:paraId="3EA7D291">
            <w:pPr>
              <w:keepNext w:val="0"/>
              <w:keepLines w:val="0"/>
              <w:suppressLineNumbers w:val="0"/>
              <w:spacing w:before="0" w:beforeAutospacing="0" w:after="0" w:afterAutospacing="0" w:line="360" w:lineRule="auto"/>
              <w:ind w:left="0" w:right="0" w:firstLine="48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当Q＜1时，该项目环境风险潜势为</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1 \* ROMAN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I</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p>
          <w:p w14:paraId="4745E316">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当Q≥1时，将Q值划分为（1）1≤Q＜10；（2）10≤Q＜100；（3）Q≥100。</w:t>
            </w:r>
          </w:p>
          <w:p w14:paraId="5F2597BC">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根据《建设项目环境风险评价技术导则》相关要求，结合本项目涉及的突发环境事件风险物质及临界量，其中 Qi 值取值来源《建设项目环境风险评价技术导则》（HJ 169-2018）附录B，表B.1 突发环境风险物质及临界量。拟建项目生产过程中所需各种物料的贮存量、临界量及危险识别结果见下表所示。</w:t>
            </w:r>
          </w:p>
          <w:p w14:paraId="403AF1D8">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w:t>
            </w:r>
            <w:r>
              <w:rPr>
                <w:rFonts w:hint="eastAsia" w:ascii="Times New Roman" w:hAnsi="Times New Roman" w:cs="Times New Roman"/>
                <w:b/>
                <w:color w:val="000000" w:themeColor="text1"/>
                <w:kern w:val="0"/>
                <w:sz w:val="24"/>
                <w:lang w:val="en-US" w:eastAsia="zh-CN"/>
                <w14:textFill>
                  <w14:solidFill>
                    <w14:schemeClr w14:val="tx1"/>
                  </w14:solidFill>
                </w14:textFill>
              </w:rPr>
              <w:t>5</w:t>
            </w:r>
            <w:r>
              <w:rPr>
                <w:rFonts w:hint="default" w:ascii="Times New Roman" w:hAnsi="Times New Roman" w:cs="Times New Roman"/>
                <w:b/>
                <w:color w:val="000000" w:themeColor="text1"/>
                <w:kern w:val="0"/>
                <w:sz w:val="24"/>
                <w14:textFill>
                  <w14:solidFill>
                    <w14:schemeClr w14:val="tx1"/>
                  </w14:solidFill>
                </w14:textFill>
              </w:rPr>
              <w:t xml:space="preserve">   本项目Q值确定表</w:t>
            </w:r>
          </w:p>
          <w:tbl>
            <w:tblPr>
              <w:tblStyle w:val="61"/>
              <w:tblW w:w="85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6"/>
              <w:gridCol w:w="986"/>
              <w:gridCol w:w="1258"/>
              <w:gridCol w:w="1196"/>
              <w:gridCol w:w="1546"/>
              <w:gridCol w:w="1321"/>
              <w:gridCol w:w="674"/>
              <w:gridCol w:w="1005"/>
            </w:tblGrid>
            <w:tr w14:paraId="42BF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48" w:type="dxa"/>
                  <w:vAlign w:val="center"/>
                </w:tcPr>
                <w:p w14:paraId="305CD08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类别</w:t>
                  </w:r>
                </w:p>
              </w:tc>
              <w:tc>
                <w:tcPr>
                  <w:tcW w:w="2255" w:type="dxa"/>
                  <w:gridSpan w:val="2"/>
                  <w:vAlign w:val="center"/>
                </w:tcPr>
                <w:p w14:paraId="73B965F8">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风险物质</w:t>
                  </w:r>
                </w:p>
              </w:tc>
              <w:tc>
                <w:tcPr>
                  <w:tcW w:w="1159" w:type="dxa"/>
                  <w:vAlign w:val="center"/>
                </w:tcPr>
                <w:p w14:paraId="2A89D68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CAS号</w:t>
                  </w:r>
                </w:p>
              </w:tc>
              <w:tc>
                <w:tcPr>
                  <w:tcW w:w="1561" w:type="dxa"/>
                  <w:vAlign w:val="center"/>
                </w:tcPr>
                <w:p w14:paraId="04F6CCA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分布</w:t>
                  </w:r>
                </w:p>
              </w:tc>
              <w:tc>
                <w:tcPr>
                  <w:tcW w:w="1330" w:type="dxa"/>
                  <w:vAlign w:val="center"/>
                </w:tcPr>
                <w:p w14:paraId="0B153E6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最大储存量t</w:t>
                  </w:r>
                </w:p>
              </w:tc>
              <w:tc>
                <w:tcPr>
                  <w:tcW w:w="675" w:type="dxa"/>
                  <w:vAlign w:val="center"/>
                </w:tcPr>
                <w:p w14:paraId="490840F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临界量t</w:t>
                  </w:r>
                </w:p>
              </w:tc>
              <w:tc>
                <w:tcPr>
                  <w:tcW w:w="1004" w:type="dxa"/>
                  <w:vAlign w:val="center"/>
                </w:tcPr>
                <w:p w14:paraId="5CB2645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Qi值</w:t>
                  </w:r>
                </w:p>
              </w:tc>
            </w:tr>
            <w:tr w14:paraId="2E615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restart"/>
                  <w:vAlign w:val="center"/>
                </w:tcPr>
                <w:p w14:paraId="57296BB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原辅料</w:t>
                  </w:r>
                </w:p>
              </w:tc>
              <w:tc>
                <w:tcPr>
                  <w:tcW w:w="987" w:type="dxa"/>
                  <w:vMerge w:val="restart"/>
                  <w:shd w:val="clear" w:color="auto" w:fill="auto"/>
                  <w:vAlign w:val="center"/>
                </w:tcPr>
                <w:p w14:paraId="2508091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w:t>
                  </w:r>
                  <w:r>
                    <w:rPr>
                      <w:rFonts w:hint="eastAsia" w:ascii="Times New Roman" w:hAnsi="Times New Roman" w:cs="Times New Roman"/>
                      <w:color w:val="000000" w:themeColor="text1"/>
                      <w:szCs w:val="21"/>
                      <w:lang w:val="en-US" w:eastAsia="zh-CN"/>
                      <w14:textFill>
                        <w14:solidFill>
                          <w14:schemeClr w14:val="tx1"/>
                        </w14:solidFill>
                      </w14:textFill>
                    </w:rPr>
                    <w:t>光亮剂</w:t>
                  </w:r>
                  <w:r>
                    <w:rPr>
                      <w:rFonts w:hint="default" w:ascii="Times New Roman" w:hAnsi="Times New Roman" w:cs="Times New Roman"/>
                      <w:color w:val="000000" w:themeColor="text1"/>
                      <w:szCs w:val="21"/>
                      <w14:textFill>
                        <w14:solidFill>
                          <w14:schemeClr w14:val="tx1"/>
                        </w14:solidFill>
                      </w14:textFill>
                    </w:rPr>
                    <w:t>（</w:t>
                  </w:r>
                  <w:r>
                    <w:rPr>
                      <w:rFonts w:hint="eastAsia" w:ascii="Times New Roman" w:hAnsi="Times New Roman" w:cs="Times New Roman"/>
                      <w:color w:val="000000" w:themeColor="text1"/>
                      <w:szCs w:val="21"/>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t</w:t>
                  </w:r>
                  <w:r>
                    <w:rPr>
                      <w:rFonts w:hint="eastAsia" w:ascii="Times New Roman" w:hAnsi="Times New Roman" w:cs="Times New Roman"/>
                      <w:color w:val="000000" w:themeColor="text1"/>
                      <w:szCs w:val="21"/>
                      <w:lang w:val="en-US" w:eastAsia="zh-CN"/>
                      <w14:textFill>
                        <w14:solidFill>
                          <w14:schemeClr w14:val="tx1"/>
                        </w14:solidFill>
                      </w14:textFill>
                    </w:rPr>
                    <w:t>/a</w:t>
                  </w:r>
                  <w:r>
                    <w:rPr>
                      <w:rFonts w:hint="default" w:ascii="Times New Roman" w:hAnsi="Times New Roman" w:cs="Times New Roman"/>
                      <w:color w:val="000000" w:themeColor="text1"/>
                      <w:szCs w:val="21"/>
                      <w14:textFill>
                        <w14:solidFill>
                          <w14:schemeClr w14:val="tx1"/>
                        </w14:solidFill>
                      </w14:textFill>
                    </w:rPr>
                    <w:t>）</w:t>
                  </w:r>
                </w:p>
              </w:tc>
              <w:tc>
                <w:tcPr>
                  <w:tcW w:w="1268" w:type="dxa"/>
                  <w:shd w:val="clear" w:color="auto" w:fill="auto"/>
                  <w:vAlign w:val="center"/>
                </w:tcPr>
                <w:p w14:paraId="4051502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12%十二烷基苯磺酸</w:t>
                  </w:r>
                </w:p>
              </w:tc>
              <w:tc>
                <w:tcPr>
                  <w:tcW w:w="1159" w:type="dxa"/>
                  <w:vAlign w:val="center"/>
                </w:tcPr>
                <w:p w14:paraId="0A7CED1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"https://www.chemsrc.com/baike/895818.html"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27176-87-0</w:t>
                  </w:r>
                  <w:r>
                    <w:rPr>
                      <w:rFonts w:hint="default" w:ascii="Times New Roman" w:hAnsi="Times New Roman" w:cs="Times New Roman"/>
                      <w:color w:val="000000" w:themeColor="text1"/>
                      <w:sz w:val="21"/>
                      <w:szCs w:val="21"/>
                      <w14:textFill>
                        <w14:solidFill>
                          <w14:schemeClr w14:val="tx1"/>
                        </w14:solidFill>
                      </w14:textFill>
                    </w:rPr>
                    <w:fldChar w:fldCharType="end"/>
                  </w:r>
                </w:p>
              </w:tc>
              <w:tc>
                <w:tcPr>
                  <w:tcW w:w="1561" w:type="dxa"/>
                  <w:vMerge w:val="restart"/>
                  <w:vAlign w:val="center"/>
                </w:tcPr>
                <w:p w14:paraId="75A06E0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化学品仓库</w:t>
                  </w:r>
                </w:p>
              </w:tc>
              <w:tc>
                <w:tcPr>
                  <w:tcW w:w="1330" w:type="dxa"/>
                  <w:vAlign w:val="center"/>
                </w:tcPr>
                <w:p w14:paraId="26AA319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w:t>
                  </w:r>
                  <w:r>
                    <w:rPr>
                      <w:rFonts w:hint="eastAsia" w:ascii="Times New Roman" w:hAnsi="Times New Roman" w:cs="Times New Roman"/>
                      <w:color w:val="000000" w:themeColor="text1"/>
                      <w:szCs w:val="21"/>
                      <w:lang w:val="en-US" w:eastAsia="zh-CN"/>
                      <w14:textFill>
                        <w14:solidFill>
                          <w14:schemeClr w14:val="tx1"/>
                        </w14:solidFill>
                      </w14:textFill>
                    </w:rPr>
                    <w:t>6</w:t>
                  </w:r>
                </w:p>
              </w:tc>
              <w:tc>
                <w:tcPr>
                  <w:tcW w:w="675" w:type="dxa"/>
                  <w:vAlign w:val="center"/>
                </w:tcPr>
                <w:p w14:paraId="6A3CBA3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p>
              </w:tc>
              <w:tc>
                <w:tcPr>
                  <w:tcW w:w="1004" w:type="dxa"/>
                  <w:vAlign w:val="center"/>
                </w:tcPr>
                <w:p w14:paraId="36C13D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0.012</w:t>
                  </w:r>
                </w:p>
              </w:tc>
            </w:tr>
            <w:tr w14:paraId="4DEFA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vAlign w:val="center"/>
                </w:tcPr>
                <w:p w14:paraId="143CACD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87" w:type="dxa"/>
                  <w:vMerge w:val="continue"/>
                  <w:shd w:val="clear" w:color="auto" w:fill="auto"/>
                  <w:vAlign w:val="center"/>
                </w:tcPr>
                <w:p w14:paraId="295F41B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268" w:type="dxa"/>
                  <w:shd w:val="clear" w:color="auto" w:fill="auto"/>
                  <w:vAlign w:val="center"/>
                </w:tcPr>
                <w:p w14:paraId="7111460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pacing w:val="-2"/>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1.6%</w:t>
                  </w:r>
                  <w:r>
                    <w:rPr>
                      <w:rFonts w:hint="default"/>
                      <w:color w:val="000000" w:themeColor="text1"/>
                      <w:szCs w:val="21"/>
                      <w14:textFill>
                        <w14:solidFill>
                          <w14:schemeClr w14:val="tx1"/>
                        </w14:solidFill>
                      </w14:textFill>
                    </w:rPr>
                    <w:t>十二烷基硫酸钠</w:t>
                  </w:r>
                </w:p>
              </w:tc>
              <w:tc>
                <w:tcPr>
                  <w:tcW w:w="1159" w:type="dxa"/>
                  <w:shd w:val="clear" w:color="auto" w:fill="auto"/>
                  <w:vAlign w:val="center"/>
                </w:tcPr>
                <w:p w14:paraId="04AA472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205-788-1</w:t>
                  </w:r>
                </w:p>
              </w:tc>
              <w:tc>
                <w:tcPr>
                  <w:tcW w:w="1561" w:type="dxa"/>
                  <w:vMerge w:val="continue"/>
                  <w:vAlign w:val="center"/>
                </w:tcPr>
                <w:p w14:paraId="4A7046F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eastAsia="zh-CN"/>
                      <w14:textFill>
                        <w14:solidFill>
                          <w14:schemeClr w14:val="tx1"/>
                        </w14:solidFill>
                      </w14:textFill>
                    </w:rPr>
                  </w:pPr>
                </w:p>
              </w:tc>
              <w:tc>
                <w:tcPr>
                  <w:tcW w:w="1330" w:type="dxa"/>
                  <w:vAlign w:val="center"/>
                </w:tcPr>
                <w:p w14:paraId="7D26CC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0.008</w:t>
                  </w:r>
                </w:p>
              </w:tc>
              <w:tc>
                <w:tcPr>
                  <w:tcW w:w="675" w:type="dxa"/>
                  <w:vAlign w:val="center"/>
                </w:tcPr>
                <w:p w14:paraId="11F197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50</w:t>
                  </w:r>
                </w:p>
              </w:tc>
              <w:tc>
                <w:tcPr>
                  <w:tcW w:w="1004" w:type="dxa"/>
                  <w:vAlign w:val="center"/>
                </w:tcPr>
                <w:p w14:paraId="346F40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0.00016</w:t>
                  </w:r>
                </w:p>
              </w:tc>
            </w:tr>
            <w:tr w14:paraId="4FD33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vAlign w:val="center"/>
                </w:tcPr>
                <w:p w14:paraId="649D64E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21401C5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w:t>
                  </w:r>
                  <w:r>
                    <w:rPr>
                      <w:rFonts w:hint="eastAsia" w:ascii="Times New Roman" w:hAnsi="Times New Roman" w:cs="Times New Roman"/>
                      <w:color w:val="000000" w:themeColor="text1"/>
                      <w:szCs w:val="21"/>
                      <w:lang w:val="en-US" w:eastAsia="zh-CN"/>
                      <w14:textFill>
                        <w14:solidFill>
                          <w14:schemeClr w14:val="tx1"/>
                        </w14:solidFill>
                      </w14:textFill>
                    </w:rPr>
                    <w:t>底漆</w:t>
                  </w:r>
                </w:p>
              </w:tc>
              <w:tc>
                <w:tcPr>
                  <w:tcW w:w="1159" w:type="dxa"/>
                  <w:vAlign w:val="center"/>
                </w:tcPr>
                <w:p w14:paraId="338C9D6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561" w:type="dxa"/>
                  <w:vMerge w:val="continue"/>
                  <w:vAlign w:val="center"/>
                </w:tcPr>
                <w:p w14:paraId="3480850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30" w:type="dxa"/>
                  <w:vAlign w:val="center"/>
                </w:tcPr>
                <w:p w14:paraId="417BAE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1</w:t>
                  </w:r>
                </w:p>
              </w:tc>
              <w:tc>
                <w:tcPr>
                  <w:tcW w:w="675" w:type="dxa"/>
                  <w:vAlign w:val="center"/>
                </w:tcPr>
                <w:p w14:paraId="40D6491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1004" w:type="dxa"/>
                  <w:vAlign w:val="center"/>
                </w:tcPr>
                <w:p w14:paraId="77BE05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0.002</w:t>
                  </w:r>
                </w:p>
              </w:tc>
            </w:tr>
            <w:tr w14:paraId="1626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vAlign w:val="center"/>
                </w:tcPr>
                <w:p w14:paraId="75E18F2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693D88E8">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000000"/>
                      <w:sz w:val="21"/>
                      <w:szCs w:val="21"/>
                      <w:lang w:val="en-US" w:eastAsia="zh-CN"/>
                    </w:rPr>
                    <w:t>中性脱脂剂</w:t>
                  </w:r>
                </w:p>
              </w:tc>
              <w:tc>
                <w:tcPr>
                  <w:tcW w:w="1159" w:type="dxa"/>
                  <w:vAlign w:val="center"/>
                </w:tcPr>
                <w:p w14:paraId="78BA1FE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561" w:type="dxa"/>
                  <w:vMerge w:val="continue"/>
                  <w:vAlign w:val="center"/>
                </w:tcPr>
                <w:p w14:paraId="1766787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30" w:type="dxa"/>
                  <w:vAlign w:val="center"/>
                </w:tcPr>
                <w:p w14:paraId="512788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0.5</w:t>
                  </w:r>
                </w:p>
              </w:tc>
              <w:tc>
                <w:tcPr>
                  <w:tcW w:w="675" w:type="dxa"/>
                  <w:vAlign w:val="center"/>
                </w:tcPr>
                <w:p w14:paraId="74B617B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1004" w:type="dxa"/>
                  <w:vAlign w:val="center"/>
                </w:tcPr>
                <w:p w14:paraId="08B801B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0.01</w:t>
                  </w:r>
                </w:p>
              </w:tc>
            </w:tr>
            <w:tr w14:paraId="440BA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vAlign w:val="center"/>
                </w:tcPr>
                <w:p w14:paraId="6E38950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0BB98C3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000000"/>
                      <w:sz w:val="21"/>
                      <w:szCs w:val="21"/>
                      <w:lang w:val="en-US" w:eastAsia="zh-CN"/>
                    </w:rPr>
                    <w:t>硅烷处理剂</w:t>
                  </w:r>
                </w:p>
              </w:tc>
              <w:tc>
                <w:tcPr>
                  <w:tcW w:w="1159" w:type="dxa"/>
                  <w:vAlign w:val="center"/>
                </w:tcPr>
                <w:p w14:paraId="684460F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561" w:type="dxa"/>
                  <w:vMerge w:val="continue"/>
                  <w:vAlign w:val="center"/>
                </w:tcPr>
                <w:p w14:paraId="22488E7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30" w:type="dxa"/>
                  <w:vAlign w:val="center"/>
                </w:tcPr>
                <w:p w14:paraId="548D4D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0.8</w:t>
                  </w:r>
                </w:p>
              </w:tc>
              <w:tc>
                <w:tcPr>
                  <w:tcW w:w="675" w:type="dxa"/>
                  <w:vAlign w:val="center"/>
                </w:tcPr>
                <w:p w14:paraId="4BD2014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1004" w:type="dxa"/>
                  <w:vAlign w:val="center"/>
                </w:tcPr>
                <w:p w14:paraId="5287EFE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0.016</w:t>
                  </w:r>
                </w:p>
              </w:tc>
            </w:tr>
            <w:tr w14:paraId="5C911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shd w:val="clear" w:color="auto" w:fill="auto"/>
                  <w:vAlign w:val="center"/>
                </w:tcPr>
                <w:p w14:paraId="0DE4490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09D20A5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塑粉</w:t>
                  </w:r>
                </w:p>
              </w:tc>
              <w:tc>
                <w:tcPr>
                  <w:tcW w:w="1159" w:type="dxa"/>
                  <w:shd w:val="clear" w:color="auto" w:fill="auto"/>
                  <w:vAlign w:val="center"/>
                </w:tcPr>
                <w:p w14:paraId="59E3E7C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1561" w:type="dxa"/>
                  <w:shd w:val="clear" w:color="auto" w:fill="auto"/>
                  <w:vAlign w:val="center"/>
                </w:tcPr>
                <w:p w14:paraId="173E8E6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辅料区</w:t>
                  </w:r>
                </w:p>
              </w:tc>
              <w:tc>
                <w:tcPr>
                  <w:tcW w:w="1330" w:type="dxa"/>
                  <w:shd w:val="clear" w:color="auto" w:fill="auto"/>
                  <w:vAlign w:val="center"/>
                </w:tcPr>
                <w:p w14:paraId="55EA2DE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3</w:t>
                  </w:r>
                </w:p>
              </w:tc>
              <w:tc>
                <w:tcPr>
                  <w:tcW w:w="675" w:type="dxa"/>
                  <w:shd w:val="clear" w:color="auto" w:fill="auto"/>
                  <w:vAlign w:val="center"/>
                </w:tcPr>
                <w:p w14:paraId="13F0F0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50</w:t>
                  </w:r>
                </w:p>
              </w:tc>
              <w:tc>
                <w:tcPr>
                  <w:tcW w:w="1004" w:type="dxa"/>
                  <w:shd w:val="clear" w:color="auto" w:fill="auto"/>
                  <w:vAlign w:val="center"/>
                </w:tcPr>
                <w:p w14:paraId="1D54E2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0.06</w:t>
                  </w:r>
                </w:p>
              </w:tc>
            </w:tr>
            <w:tr w14:paraId="1B288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shd w:val="clear" w:color="auto" w:fill="auto"/>
                  <w:vAlign w:val="center"/>
                </w:tcPr>
                <w:p w14:paraId="460A7B0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1B1E88D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切削液</w:t>
                  </w:r>
                </w:p>
              </w:tc>
              <w:tc>
                <w:tcPr>
                  <w:tcW w:w="1159" w:type="dxa"/>
                  <w:shd w:val="clear" w:color="auto" w:fill="auto"/>
                  <w:vAlign w:val="center"/>
                </w:tcPr>
                <w:p w14:paraId="7D7597D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shd w:val="clear" w:color="auto" w:fill="FFFFFF"/>
                      <w14:textFill>
                        <w14:solidFill>
                          <w14:schemeClr w14:val="tx1"/>
                        </w14:solidFill>
                      </w14:textFill>
                    </w:rPr>
                    <w:t>/</w:t>
                  </w:r>
                </w:p>
              </w:tc>
              <w:tc>
                <w:tcPr>
                  <w:tcW w:w="1561" w:type="dxa"/>
                  <w:shd w:val="clear" w:color="auto" w:fill="auto"/>
                  <w:vAlign w:val="center"/>
                </w:tcPr>
                <w:p w14:paraId="23501D1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辅料区</w:t>
                  </w:r>
                </w:p>
              </w:tc>
              <w:tc>
                <w:tcPr>
                  <w:tcW w:w="1330" w:type="dxa"/>
                  <w:shd w:val="clear" w:color="auto" w:fill="auto"/>
                  <w:vAlign w:val="center"/>
                </w:tcPr>
                <w:p w14:paraId="537864C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w:t>
                  </w:r>
                  <w:r>
                    <w:rPr>
                      <w:rFonts w:hint="eastAsia" w:ascii="Times New Roman" w:hAnsi="Times New Roman" w:eastAsia="宋体" w:cs="Times New Roman"/>
                      <w:color w:val="000000" w:themeColor="text1"/>
                      <w:szCs w:val="21"/>
                      <w:lang w:val="en-US" w:eastAsia="zh-CN"/>
                      <w14:textFill>
                        <w14:solidFill>
                          <w14:schemeClr w14:val="tx1"/>
                        </w14:solidFill>
                      </w14:textFill>
                    </w:rPr>
                    <w:t>3</w:t>
                  </w:r>
                </w:p>
              </w:tc>
              <w:tc>
                <w:tcPr>
                  <w:tcW w:w="675" w:type="dxa"/>
                  <w:shd w:val="clear" w:color="auto" w:fill="auto"/>
                  <w:vAlign w:val="center"/>
                </w:tcPr>
                <w:p w14:paraId="4CBFF2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2500</w:t>
                  </w:r>
                </w:p>
              </w:tc>
              <w:tc>
                <w:tcPr>
                  <w:tcW w:w="1004" w:type="dxa"/>
                  <w:shd w:val="clear" w:color="auto" w:fill="auto"/>
                  <w:vAlign w:val="center"/>
                </w:tcPr>
                <w:p w14:paraId="7AD367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0.00012</w:t>
                  </w:r>
                </w:p>
              </w:tc>
            </w:tr>
            <w:tr w14:paraId="185AE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shd w:val="clear" w:color="auto" w:fill="auto"/>
                  <w:vAlign w:val="center"/>
                </w:tcPr>
                <w:p w14:paraId="7C938D0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439604A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润滑油</w:t>
                  </w:r>
                </w:p>
              </w:tc>
              <w:tc>
                <w:tcPr>
                  <w:tcW w:w="1159" w:type="dxa"/>
                  <w:shd w:val="clear" w:color="auto" w:fill="auto"/>
                  <w:vAlign w:val="center"/>
                </w:tcPr>
                <w:p w14:paraId="6D3C929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74869-22-0‌‌</w:t>
                  </w:r>
                </w:p>
              </w:tc>
              <w:tc>
                <w:tcPr>
                  <w:tcW w:w="1561" w:type="dxa"/>
                  <w:vMerge w:val="restart"/>
                  <w:shd w:val="clear" w:color="auto" w:fill="auto"/>
                  <w:vAlign w:val="center"/>
                </w:tcPr>
                <w:p w14:paraId="47D09F9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油类储存区</w:t>
                  </w:r>
                </w:p>
              </w:tc>
              <w:tc>
                <w:tcPr>
                  <w:tcW w:w="1330" w:type="dxa"/>
                  <w:shd w:val="clear" w:color="auto" w:fill="auto"/>
                  <w:vAlign w:val="center"/>
                </w:tcPr>
                <w:p w14:paraId="298764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0.17</w:t>
                  </w:r>
                </w:p>
              </w:tc>
              <w:tc>
                <w:tcPr>
                  <w:tcW w:w="675" w:type="dxa"/>
                  <w:shd w:val="clear" w:color="auto" w:fill="auto"/>
                  <w:vAlign w:val="center"/>
                </w:tcPr>
                <w:p w14:paraId="4A1665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2500</w:t>
                  </w:r>
                </w:p>
              </w:tc>
              <w:tc>
                <w:tcPr>
                  <w:tcW w:w="1004" w:type="dxa"/>
                  <w:shd w:val="clear" w:color="auto" w:fill="auto"/>
                  <w:vAlign w:val="center"/>
                </w:tcPr>
                <w:p w14:paraId="58322FA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0.000068</w:t>
                  </w:r>
                </w:p>
              </w:tc>
            </w:tr>
            <w:tr w14:paraId="21B96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shd w:val="clear" w:color="auto" w:fill="auto"/>
                  <w:vAlign w:val="center"/>
                </w:tcPr>
                <w:p w14:paraId="727F07F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0E609AE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液压油</w:t>
                  </w:r>
                </w:p>
              </w:tc>
              <w:tc>
                <w:tcPr>
                  <w:tcW w:w="1159" w:type="dxa"/>
                  <w:shd w:val="clear" w:color="auto" w:fill="auto"/>
                  <w:vAlign w:val="center"/>
                </w:tcPr>
                <w:p w14:paraId="2B22FDD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shd w:val="clear" w:color="auto" w:fill="FFFFFF"/>
                      <w14:textFill>
                        <w14:solidFill>
                          <w14:schemeClr w14:val="tx1"/>
                        </w14:solidFill>
                      </w14:textFill>
                    </w:rPr>
                    <w:t>/</w:t>
                  </w:r>
                </w:p>
              </w:tc>
              <w:tc>
                <w:tcPr>
                  <w:tcW w:w="1561" w:type="dxa"/>
                  <w:vMerge w:val="continue"/>
                  <w:shd w:val="clear" w:color="auto" w:fill="auto"/>
                  <w:vAlign w:val="center"/>
                </w:tcPr>
                <w:p w14:paraId="7871C36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30" w:type="dxa"/>
                  <w:shd w:val="clear" w:color="auto" w:fill="auto"/>
                  <w:vAlign w:val="center"/>
                </w:tcPr>
                <w:p w14:paraId="3F612D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eastAsia" w:cs="Times New Roman"/>
                      <w:color w:val="000000"/>
                      <w:kern w:val="0"/>
                      <w:sz w:val="21"/>
                      <w:szCs w:val="21"/>
                      <w:lang w:val="en-US" w:eastAsia="zh-CN" w:bidi="ar-SA"/>
                    </w:rPr>
                    <w:t>0.17</w:t>
                  </w:r>
                </w:p>
              </w:tc>
              <w:tc>
                <w:tcPr>
                  <w:tcW w:w="675" w:type="dxa"/>
                  <w:shd w:val="clear" w:color="auto" w:fill="auto"/>
                  <w:vAlign w:val="center"/>
                </w:tcPr>
                <w:p w14:paraId="0E20B87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2500</w:t>
                  </w:r>
                </w:p>
              </w:tc>
              <w:tc>
                <w:tcPr>
                  <w:tcW w:w="1004" w:type="dxa"/>
                  <w:shd w:val="clear" w:color="auto" w:fill="auto"/>
                  <w:vAlign w:val="center"/>
                </w:tcPr>
                <w:p w14:paraId="185220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0.000068</w:t>
                  </w:r>
                </w:p>
              </w:tc>
            </w:tr>
            <w:tr w14:paraId="14ECF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48" w:type="dxa"/>
                  <w:vMerge w:val="continue"/>
                  <w:shd w:val="clear" w:color="auto" w:fill="auto"/>
                  <w:vAlign w:val="center"/>
                </w:tcPr>
                <w:p w14:paraId="195CBC4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255" w:type="dxa"/>
                  <w:gridSpan w:val="2"/>
                  <w:shd w:val="clear" w:color="auto" w:fill="auto"/>
                  <w:vAlign w:val="center"/>
                </w:tcPr>
                <w:p w14:paraId="4537133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天然气（甲烷）</w:t>
                  </w:r>
                </w:p>
              </w:tc>
              <w:tc>
                <w:tcPr>
                  <w:tcW w:w="1159" w:type="dxa"/>
                  <w:shd w:val="clear" w:color="auto" w:fill="auto"/>
                  <w:vAlign w:val="center"/>
                </w:tcPr>
                <w:p w14:paraId="75BD3E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default"/>
                      <w:color w:val="auto"/>
                      <w:kern w:val="0"/>
                      <w:szCs w:val="21"/>
                      <w:lang w:bidi="ar"/>
                    </w:rPr>
                    <w:t>74-82-8</w:t>
                  </w:r>
                </w:p>
              </w:tc>
              <w:tc>
                <w:tcPr>
                  <w:tcW w:w="1561" w:type="dxa"/>
                  <w:shd w:val="clear" w:color="auto" w:fill="auto"/>
                  <w:vAlign w:val="center"/>
                </w:tcPr>
                <w:p w14:paraId="28D834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kern w:val="0"/>
                      <w:szCs w:val="21"/>
                    </w:rPr>
                    <w:t>市政燃气管道</w:t>
                  </w:r>
                  <w:r>
                    <w:rPr>
                      <w:rFonts w:hint="default"/>
                      <w:color w:val="auto"/>
                      <w:szCs w:val="21"/>
                    </w:rPr>
                    <w:t>接入，不储存</w:t>
                  </w:r>
                </w:p>
              </w:tc>
              <w:tc>
                <w:tcPr>
                  <w:tcW w:w="1330" w:type="dxa"/>
                  <w:shd w:val="clear" w:color="auto" w:fill="auto"/>
                  <w:vAlign w:val="center"/>
                </w:tcPr>
                <w:p w14:paraId="267D06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20min在线量0.</w:t>
                  </w:r>
                  <w:r>
                    <w:rPr>
                      <w:rFonts w:hint="eastAsia"/>
                      <w:color w:val="auto"/>
                      <w:szCs w:val="21"/>
                      <w:lang w:val="en-US" w:eastAsia="zh-CN"/>
                    </w:rPr>
                    <w:t>0924</w:t>
                  </w:r>
                </w:p>
              </w:tc>
              <w:tc>
                <w:tcPr>
                  <w:tcW w:w="675" w:type="dxa"/>
                  <w:shd w:val="clear" w:color="auto" w:fill="auto"/>
                  <w:vAlign w:val="center"/>
                </w:tcPr>
                <w:p w14:paraId="3E11A3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50</w:t>
                  </w:r>
                </w:p>
              </w:tc>
              <w:tc>
                <w:tcPr>
                  <w:tcW w:w="1004" w:type="dxa"/>
                  <w:shd w:val="clear" w:color="auto" w:fill="auto"/>
                  <w:vAlign w:val="center"/>
                </w:tcPr>
                <w:p w14:paraId="52CF8A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0.001848</w:t>
                  </w:r>
                </w:p>
              </w:tc>
            </w:tr>
            <w:tr w14:paraId="18F7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48" w:type="dxa"/>
                  <w:vAlign w:val="center"/>
                </w:tcPr>
                <w:p w14:paraId="60936DF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w:t>
                  </w:r>
                </w:p>
              </w:tc>
              <w:tc>
                <w:tcPr>
                  <w:tcW w:w="2255" w:type="dxa"/>
                  <w:gridSpan w:val="2"/>
                  <w:vAlign w:val="center"/>
                </w:tcPr>
                <w:p w14:paraId="12EEDE6C">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1159" w:type="dxa"/>
                  <w:vAlign w:val="center"/>
                </w:tcPr>
                <w:p w14:paraId="70D79D76">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561" w:type="dxa"/>
                  <w:vAlign w:val="center"/>
                </w:tcPr>
                <w:p w14:paraId="1AC0BBF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危废库</w:t>
                  </w:r>
                </w:p>
              </w:tc>
              <w:tc>
                <w:tcPr>
                  <w:tcW w:w="1330" w:type="dxa"/>
                  <w:vAlign w:val="center"/>
                </w:tcPr>
                <w:p w14:paraId="6EF7D58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lang w:val="en-US"/>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1.503</w:t>
                  </w:r>
                </w:p>
              </w:tc>
              <w:tc>
                <w:tcPr>
                  <w:tcW w:w="675" w:type="dxa"/>
                  <w:vAlign w:val="center"/>
                </w:tcPr>
                <w:p w14:paraId="34C8BF3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1004" w:type="dxa"/>
                  <w:vAlign w:val="center"/>
                </w:tcPr>
                <w:p w14:paraId="145B98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0.03006</w:t>
                  </w:r>
                </w:p>
              </w:tc>
            </w:tr>
            <w:tr w14:paraId="3712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528" w:type="dxa"/>
                  <w:gridSpan w:val="7"/>
                  <w:vAlign w:val="center"/>
                </w:tcPr>
                <w:p w14:paraId="6F22D7F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合并</w:t>
                  </w:r>
                </w:p>
              </w:tc>
              <w:tc>
                <w:tcPr>
                  <w:tcW w:w="1004" w:type="dxa"/>
                  <w:vAlign w:val="center"/>
                </w:tcPr>
                <w:p w14:paraId="26C38D5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0.132324</w:t>
                  </w:r>
                </w:p>
              </w:tc>
            </w:tr>
          </w:tbl>
          <w:p w14:paraId="578A97F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根据上表内容，本项目涉及各种物料的存储量均不超过相应的临界量，对照《危险化学品重大危险源辨识》（GB18218-2009）中相关要求，q1/Q1+ q2/Q2……+ qn/Qn=</w:t>
            </w:r>
            <w:r>
              <w:rPr>
                <w:rFonts w:hint="eastAsia" w:ascii="Times New Roman" w:hAnsi="Times New Roman" w:cs="Times New Roman"/>
                <w:color w:val="000000" w:themeColor="text1"/>
                <w:sz w:val="24"/>
                <w:lang w:eastAsia="zh-CN"/>
                <w14:textFill>
                  <w14:solidFill>
                    <w14:schemeClr w14:val="tx1"/>
                  </w14:solidFill>
                </w14:textFill>
              </w:rPr>
              <w:t>0.132324</w:t>
            </w:r>
            <w:r>
              <w:rPr>
                <w:rFonts w:hint="default" w:ascii="Times New Roman" w:hAnsi="Times New Roman" w:cs="Times New Roman"/>
                <w:color w:val="000000" w:themeColor="text1"/>
                <w:sz w:val="24"/>
                <w14:textFill>
                  <w14:solidFill>
                    <w14:schemeClr w14:val="tx1"/>
                  </w14:solidFill>
                </w14:textFill>
              </w:rPr>
              <w:t>，Q＜1，项目环境风险潜势为Ⅰ。</w:t>
            </w:r>
          </w:p>
          <w:p w14:paraId="7AF4D44A">
            <w:pPr>
              <w:keepNext/>
              <w:keepLines/>
              <w:suppressLineNumbers w:val="0"/>
              <w:spacing w:before="0" w:beforeAutospacing="0" w:after="0" w:afterAutospacing="0" w:line="360" w:lineRule="auto"/>
              <w:ind w:left="0" w:right="0" w:firstLine="352" w:firstLineChars="147"/>
              <w:outlineLvl w:val="2"/>
              <w:rPr>
                <w:rFonts w:hint="default" w:ascii="Times New Roman" w:hAnsi="Times New Roman" w:cs="Times New Roman"/>
                <w:bCs/>
                <w:color w:val="000000" w:themeColor="text1"/>
                <w:sz w:val="24"/>
                <w:szCs w:val="32"/>
                <w14:textFill>
                  <w14:solidFill>
                    <w14:schemeClr w14:val="tx1"/>
                  </w14:solidFill>
                </w14:textFill>
              </w:rPr>
            </w:pPr>
            <w:r>
              <w:rPr>
                <w:rFonts w:hint="default" w:ascii="Times New Roman" w:hAnsi="Times New Roman" w:cs="Times New Roman"/>
                <w:bCs/>
                <w:color w:val="000000" w:themeColor="text1"/>
                <w:sz w:val="24"/>
                <w:szCs w:val="32"/>
                <w14:textFill>
                  <w14:solidFill>
                    <w14:schemeClr w14:val="tx1"/>
                  </w14:solidFill>
                </w14:textFill>
              </w:rPr>
              <w:t>（2）评价工作等级</w:t>
            </w:r>
          </w:p>
          <w:p w14:paraId="1D811ADD">
            <w:pPr>
              <w:keepNext w:val="0"/>
              <w:keepLines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根据《建设项目环境风险评价技术导则》（HJ 169-2018），环境风险评价工作等级划分为一级、两级、三级。根据建设项目涉及的物质及工艺系统危险性和所在地的环境敏感性确定环境风险潜势，确定评价工作等级。风险潜势为IV及以上，进行一级评价；风险潜势为II，进行两级评价；风险潜势为II，进行三级评价；风险潜势为I，可开展简单分析。</w:t>
            </w:r>
          </w:p>
          <w:p w14:paraId="7CF04D0C">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w:t>
            </w:r>
            <w:r>
              <w:rPr>
                <w:rFonts w:hint="eastAsia" w:ascii="Times New Roman" w:hAnsi="Times New Roman" w:cs="Times New Roman"/>
                <w:b/>
                <w:color w:val="000000" w:themeColor="text1"/>
                <w:kern w:val="0"/>
                <w:sz w:val="24"/>
                <w:lang w:val="en-US" w:eastAsia="zh-CN"/>
                <w14:textFill>
                  <w14:solidFill>
                    <w14:schemeClr w14:val="tx1"/>
                  </w14:solidFill>
                </w14:textFill>
              </w:rPr>
              <w:t>6</w:t>
            </w:r>
            <w:r>
              <w:rPr>
                <w:rFonts w:hint="default" w:ascii="Times New Roman" w:hAnsi="Times New Roman" w:cs="Times New Roman"/>
                <w:b/>
                <w:color w:val="000000" w:themeColor="text1"/>
                <w:kern w:val="0"/>
                <w:sz w:val="24"/>
                <w14:textFill>
                  <w14:solidFill>
                    <w14:schemeClr w14:val="tx1"/>
                  </w14:solidFill>
                </w14:textFill>
              </w:rPr>
              <w:t xml:space="preserve">  环境风险评价工作等级</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0"/>
              <w:gridCol w:w="1623"/>
              <w:gridCol w:w="1623"/>
              <w:gridCol w:w="1623"/>
              <w:gridCol w:w="1623"/>
            </w:tblGrid>
            <w:tr w14:paraId="59F5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shd w:val="clear" w:color="auto" w:fill="auto"/>
                  <w:vAlign w:val="center"/>
                </w:tcPr>
                <w:p w14:paraId="29C8D17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环境风险潜势</w:t>
                  </w:r>
                </w:p>
              </w:tc>
              <w:tc>
                <w:tcPr>
                  <w:tcW w:w="951" w:type="pct"/>
                  <w:shd w:val="clear" w:color="auto" w:fill="auto"/>
                  <w:vAlign w:val="center"/>
                </w:tcPr>
                <w:p w14:paraId="1819029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4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IV</w:t>
                  </w:r>
                  <w:r>
                    <w:rPr>
                      <w:rFonts w:hint="default" w:ascii="Times New Roman" w:hAnsi="Times New Roman" w:cs="Times New Roman"/>
                      <w:color w:val="000000" w:themeColor="text1"/>
                      <w:kern w:val="0"/>
                      <w14:textFill>
                        <w14:solidFill>
                          <w14:schemeClr w14:val="tx1"/>
                        </w14:solidFill>
                      </w14:textFill>
                    </w:rPr>
                    <w:fldChar w:fldCharType="end"/>
                  </w:r>
                  <w:r>
                    <w:rPr>
                      <w:rFonts w:hint="default" w:ascii="Times New Roman" w:hAnsi="Times New Roman" w:cs="Times New Roman"/>
                      <w:color w:val="000000" w:themeColor="text1"/>
                      <w:kern w:val="0"/>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4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IV</w:t>
                  </w:r>
                  <w:r>
                    <w:rPr>
                      <w:rFonts w:hint="default" w:ascii="Times New Roman" w:hAnsi="Times New Roman" w:cs="Times New Roman"/>
                      <w:color w:val="000000" w:themeColor="text1"/>
                      <w:kern w:val="0"/>
                      <w14:textFill>
                        <w14:solidFill>
                          <w14:schemeClr w14:val="tx1"/>
                        </w14:solidFill>
                      </w14:textFill>
                    </w:rPr>
                    <w:fldChar w:fldCharType="end"/>
                  </w:r>
                  <w:r>
                    <w:rPr>
                      <w:rFonts w:hint="default" w:ascii="Times New Roman" w:hAnsi="Times New Roman" w:cs="Times New Roman"/>
                      <w:color w:val="000000" w:themeColor="text1"/>
                      <w:kern w:val="0"/>
                      <w:vertAlign w:val="superscript"/>
                      <w14:textFill>
                        <w14:solidFill>
                          <w14:schemeClr w14:val="tx1"/>
                        </w14:solidFill>
                      </w14:textFill>
                    </w:rPr>
                    <w:t>+</w:t>
                  </w:r>
                </w:p>
              </w:tc>
              <w:tc>
                <w:tcPr>
                  <w:tcW w:w="951" w:type="pct"/>
                  <w:shd w:val="clear" w:color="auto" w:fill="auto"/>
                  <w:vAlign w:val="center"/>
                </w:tcPr>
                <w:p w14:paraId="12847F4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3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III</w:t>
                  </w:r>
                  <w:r>
                    <w:rPr>
                      <w:rFonts w:hint="default" w:ascii="Times New Roman" w:hAnsi="Times New Roman" w:cs="Times New Roman"/>
                      <w:color w:val="000000" w:themeColor="text1"/>
                      <w:kern w:val="0"/>
                      <w14:textFill>
                        <w14:solidFill>
                          <w14:schemeClr w14:val="tx1"/>
                        </w14:solidFill>
                      </w14:textFill>
                    </w:rPr>
                    <w:fldChar w:fldCharType="end"/>
                  </w:r>
                </w:p>
              </w:tc>
              <w:tc>
                <w:tcPr>
                  <w:tcW w:w="951" w:type="pct"/>
                  <w:shd w:val="clear" w:color="auto" w:fill="auto"/>
                  <w:vAlign w:val="center"/>
                </w:tcPr>
                <w:p w14:paraId="00143B7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2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II</w:t>
                  </w:r>
                  <w:r>
                    <w:rPr>
                      <w:rFonts w:hint="default" w:ascii="Times New Roman" w:hAnsi="Times New Roman" w:cs="Times New Roman"/>
                      <w:color w:val="000000" w:themeColor="text1"/>
                      <w:kern w:val="0"/>
                      <w14:textFill>
                        <w14:solidFill>
                          <w14:schemeClr w14:val="tx1"/>
                        </w14:solidFill>
                      </w14:textFill>
                    </w:rPr>
                    <w:fldChar w:fldCharType="end"/>
                  </w:r>
                </w:p>
              </w:tc>
              <w:tc>
                <w:tcPr>
                  <w:tcW w:w="951" w:type="pct"/>
                  <w:shd w:val="clear" w:color="auto" w:fill="BFBFBF"/>
                  <w:vAlign w:val="center"/>
                </w:tcPr>
                <w:p w14:paraId="2338ED5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1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w:t>
                  </w:r>
                  <w:r>
                    <w:rPr>
                      <w:rFonts w:hint="default" w:ascii="Times New Roman" w:hAnsi="Times New Roman" w:cs="Times New Roman"/>
                      <w:color w:val="000000" w:themeColor="text1"/>
                      <w:kern w:val="0"/>
                      <w14:textFill>
                        <w14:solidFill>
                          <w14:schemeClr w14:val="tx1"/>
                        </w14:solidFill>
                      </w14:textFill>
                    </w:rPr>
                    <w:fldChar w:fldCharType="end"/>
                  </w:r>
                </w:p>
              </w:tc>
            </w:tr>
            <w:tr w14:paraId="16A79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shd w:val="clear" w:color="auto" w:fill="auto"/>
                  <w:vAlign w:val="center"/>
                </w:tcPr>
                <w:p w14:paraId="47733F5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评价工作等级</w:t>
                  </w:r>
                </w:p>
              </w:tc>
              <w:tc>
                <w:tcPr>
                  <w:tcW w:w="951" w:type="pct"/>
                  <w:shd w:val="clear" w:color="auto" w:fill="auto"/>
                  <w:vAlign w:val="center"/>
                </w:tcPr>
                <w:p w14:paraId="2B50E1C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一</w:t>
                  </w:r>
                </w:p>
              </w:tc>
              <w:tc>
                <w:tcPr>
                  <w:tcW w:w="951" w:type="pct"/>
                  <w:shd w:val="clear" w:color="auto" w:fill="auto"/>
                  <w:vAlign w:val="center"/>
                </w:tcPr>
                <w:p w14:paraId="58F1DFC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二</w:t>
                  </w:r>
                </w:p>
              </w:tc>
              <w:tc>
                <w:tcPr>
                  <w:tcW w:w="951" w:type="pct"/>
                  <w:shd w:val="clear" w:color="auto" w:fill="auto"/>
                  <w:vAlign w:val="center"/>
                </w:tcPr>
                <w:p w14:paraId="52231C1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三</w:t>
                  </w:r>
                </w:p>
              </w:tc>
              <w:tc>
                <w:tcPr>
                  <w:tcW w:w="951" w:type="pct"/>
                  <w:shd w:val="clear" w:color="auto" w:fill="BFBFBF"/>
                  <w:vAlign w:val="center"/>
                </w:tcPr>
                <w:p w14:paraId="27F900F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简单分析</w:t>
                  </w:r>
                </w:p>
              </w:tc>
            </w:tr>
          </w:tbl>
          <w:p w14:paraId="3622BE16">
            <w:pPr>
              <w:keepNext w:val="0"/>
              <w:keepLines w:val="0"/>
              <w:suppressLineNumbers w:val="0"/>
              <w:spacing w:before="120" w:beforeLines="5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根据导则要求，环境风险评价作简单分析，在描述危险物质、环境影响途径、环境危害后果、风险防范措施等方面给出定性的说明。</w:t>
            </w:r>
          </w:p>
          <w:p w14:paraId="6DE331F9">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3、影响途径</w:t>
            </w:r>
          </w:p>
          <w:p w14:paraId="4001117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①地表水风险分析</w:t>
            </w:r>
          </w:p>
          <w:p w14:paraId="0407232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项目所使用的</w:t>
            </w:r>
            <w:r>
              <w:rPr>
                <w:rFonts w:hint="eastAsia" w:ascii="Times New Roman" w:hAnsi="Times New Roman" w:cs="Times New Roman"/>
                <w:color w:val="000000" w:themeColor="text1"/>
                <w:sz w:val="24"/>
                <w:lang w:val="en-US" w:eastAsia="zh-CN"/>
                <w14:textFill>
                  <w14:solidFill>
                    <w14:schemeClr w14:val="tx1"/>
                  </w14:solidFill>
                </w14:textFill>
              </w:rPr>
              <w:t>水性底漆</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水性光亮剂</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中性脱脂剂</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硅烷处理剂</w:t>
            </w:r>
            <w:r>
              <w:rPr>
                <w:rFonts w:hint="default" w:ascii="Times New Roman" w:hAnsi="Times New Roman" w:cs="Times New Roman"/>
                <w:color w:val="000000" w:themeColor="text1"/>
                <w:sz w:val="24"/>
                <w14:textFill>
                  <w14:solidFill>
                    <w14:schemeClr w14:val="tx1"/>
                  </w14:solidFill>
                </w14:textFill>
              </w:rPr>
              <w:t>、塑粉、切削液、润滑油、液压油和危险废物等发生泄漏，若进入地表水体，将严重污染地表水水质。</w:t>
            </w:r>
          </w:p>
          <w:p w14:paraId="20DC2F6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w:t>
            </w:r>
            <w:r>
              <w:rPr>
                <w:rFonts w:hint="default" w:ascii="Times New Roman" w:hAnsi="Times New Roman" w:cs="Times New Roman"/>
                <w:color w:val="000000" w:themeColor="text1"/>
                <w:sz w:val="24"/>
                <w14:textFill>
                  <w14:solidFill>
                    <w14:schemeClr w14:val="tx1"/>
                  </w14:solidFill>
                </w14:textFill>
              </w:rPr>
              <w:t>地下水环境风险分析</w:t>
            </w:r>
          </w:p>
          <w:p w14:paraId="3A12C6D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项目所使用的</w:t>
            </w:r>
            <w:r>
              <w:rPr>
                <w:rFonts w:hint="eastAsia" w:ascii="Times New Roman" w:hAnsi="Times New Roman" w:cs="Times New Roman"/>
                <w:color w:val="000000" w:themeColor="text1"/>
                <w:sz w:val="24"/>
                <w:lang w:eastAsia="zh-CN"/>
                <w14:textFill>
                  <w14:solidFill>
                    <w14:schemeClr w14:val="tx1"/>
                  </w14:solidFill>
                </w14:textFill>
              </w:rPr>
              <w:t>水性底漆、水性光亮剂、中性脱脂剂、硅烷处理剂、塑粉、切削液、润滑油、液压油</w:t>
            </w:r>
            <w:r>
              <w:rPr>
                <w:rFonts w:hint="default" w:ascii="Times New Roman" w:hAnsi="Times New Roman" w:cs="Times New Roman"/>
                <w:color w:val="000000" w:themeColor="text1"/>
                <w:sz w:val="24"/>
                <w14:textFill>
                  <w14:solidFill>
                    <w14:schemeClr w14:val="tx1"/>
                  </w14:solidFill>
                </w14:textFill>
              </w:rPr>
              <w:t>和危险废物等发生泄漏，若渗漏进入土壤，污染物进入地层包气带，随着大气降水下渗进入地下含水层，形成一个污团从上向下扩散，对区域地下水环境造成污染。</w:t>
            </w:r>
          </w:p>
          <w:p w14:paraId="7D63638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w:t>
            </w:r>
            <w:r>
              <w:rPr>
                <w:rFonts w:hint="eastAsia" w:ascii="Times New Roman" w:hAnsi="Times New Roman" w:cs="Times New Roman"/>
                <w:color w:val="000000" w:themeColor="text1"/>
                <w:sz w:val="24"/>
                <w:lang w:eastAsia="zh-CN"/>
                <w14:textFill>
                  <w14:solidFill>
                    <w14:schemeClr w14:val="tx1"/>
                  </w14:solidFill>
                </w14:textFill>
              </w:rPr>
              <w:t>水性底漆、水性光亮剂、中性脱脂剂、硅烷处理剂、塑粉、切削液、润滑油、液压油</w:t>
            </w:r>
            <w:r>
              <w:rPr>
                <w:rFonts w:hint="default" w:ascii="Times New Roman" w:hAnsi="Times New Roman" w:cs="Times New Roman"/>
                <w:color w:val="000000" w:themeColor="text1"/>
                <w:sz w:val="24"/>
                <w14:textFill>
                  <w14:solidFill>
                    <w14:schemeClr w14:val="tx1"/>
                  </w14:solidFill>
                </w14:textFill>
              </w:rPr>
              <w:t>和危险废物贮存和转运过程中产生的环境风险</w:t>
            </w:r>
          </w:p>
          <w:p w14:paraId="68EDECB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项目使用的</w:t>
            </w:r>
            <w:r>
              <w:rPr>
                <w:rFonts w:hint="eastAsia" w:ascii="Times New Roman" w:hAnsi="Times New Roman" w:cs="Times New Roman"/>
                <w:color w:val="000000" w:themeColor="text1"/>
                <w:sz w:val="24"/>
                <w:lang w:eastAsia="zh-CN"/>
                <w14:textFill>
                  <w14:solidFill>
                    <w14:schemeClr w14:val="tx1"/>
                  </w14:solidFill>
                </w14:textFill>
              </w:rPr>
              <w:t>水性底漆、水性光亮剂、中性脱脂剂、硅烷处理剂、塑粉、切削液、润滑油、液压油</w:t>
            </w:r>
            <w:r>
              <w:rPr>
                <w:rFonts w:hint="default" w:ascii="Times New Roman" w:hAnsi="Times New Roman" w:cs="Times New Roman"/>
                <w:color w:val="000000" w:themeColor="text1"/>
                <w:sz w:val="24"/>
                <w14:textFill>
                  <w14:solidFill>
                    <w14:schemeClr w14:val="tx1"/>
                  </w14:solidFill>
                </w14:textFill>
              </w:rPr>
              <w:t>和危险废物含有部分有毒有害物质，如不加强管理、随意丢弃，或者转运过程中出现泄漏，流散到人们生活环境中，就会污染水源、土地，严重危害人们的身体健康。所以应加强本项目</w:t>
            </w:r>
            <w:r>
              <w:rPr>
                <w:rFonts w:hint="eastAsia" w:ascii="Times New Roman" w:hAnsi="Times New Roman" w:cs="Times New Roman"/>
                <w:color w:val="000000" w:themeColor="text1"/>
                <w:sz w:val="24"/>
                <w:lang w:eastAsia="zh-CN"/>
                <w14:textFill>
                  <w14:solidFill>
                    <w14:schemeClr w14:val="tx1"/>
                  </w14:solidFill>
                </w14:textFill>
              </w:rPr>
              <w:t>水性底漆、水性光亮剂、中性脱脂剂、硅烷处理剂、塑粉、切削液、润滑油、液压油</w:t>
            </w:r>
            <w:r>
              <w:rPr>
                <w:rFonts w:hint="default" w:ascii="Times New Roman" w:hAnsi="Times New Roman" w:cs="Times New Roman"/>
                <w:color w:val="000000" w:themeColor="text1"/>
                <w:sz w:val="24"/>
                <w14:textFill>
                  <w14:solidFill>
                    <w14:schemeClr w14:val="tx1"/>
                  </w14:solidFill>
                </w14:textFill>
              </w:rPr>
              <w:t>和危险废物及危废的暂存与转运的管理。</w:t>
            </w:r>
          </w:p>
          <w:p w14:paraId="0A9EE4A7">
            <w:pPr>
              <w:keepNext w:val="0"/>
              <w:keepLines w:val="0"/>
              <w:suppressLineNumbers w:val="0"/>
              <w:wordWrap w:val="0"/>
              <w:topLinePunct/>
              <w:spacing w:before="0" w:beforeAutospacing="0" w:after="0" w:afterAutospacing="0" w:line="360" w:lineRule="auto"/>
              <w:ind w:left="0" w:right="0" w:firstLine="482" w:firstLineChars="200"/>
              <w:contextualSpacing/>
              <w:textAlignment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4、环境风险防范措施</w:t>
            </w:r>
          </w:p>
          <w:p w14:paraId="0CB688AD">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（1）贮运安全防范措施</w:t>
            </w:r>
          </w:p>
          <w:p w14:paraId="51A61C8E">
            <w:pPr>
              <w:keepNext w:val="0"/>
              <w:keepLines w:val="0"/>
              <w:suppressLineNumbers w:val="0"/>
              <w:adjustRightInd w:val="0"/>
              <w:spacing w:before="0" w:beforeAutospacing="0" w:after="0" w:afterAutospacing="0" w:line="360" w:lineRule="auto"/>
              <w:ind w:left="0" w:right="0" w:firstLine="480" w:firstLineChars="200"/>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r>
              <w:rPr>
                <w:rFonts w:hint="eastAsia" w:ascii="Times New Roman" w:hAnsi="Times New Roman" w:cs="Times New Roman"/>
                <w:color w:val="000000" w:themeColor="text1"/>
                <w:sz w:val="24"/>
                <w:lang w:eastAsia="zh-CN"/>
                <w14:textFill>
                  <w14:solidFill>
                    <w14:schemeClr w14:val="tx1"/>
                  </w14:solidFill>
                </w14:textFill>
              </w:rPr>
              <w:t>水性底漆、水性光亮剂、中性脱脂剂、硅烷处理剂、塑粉、切削液、润滑油、液压油</w:t>
            </w:r>
            <w:r>
              <w:rPr>
                <w:rFonts w:hint="default" w:ascii="Times New Roman" w:hAnsi="Times New Roman" w:cs="Times New Roman"/>
                <w:color w:val="000000" w:themeColor="text1"/>
                <w:sz w:val="24"/>
                <w14:textFill>
                  <w14:solidFill>
                    <w14:schemeClr w14:val="tx1"/>
                  </w14:solidFill>
                </w14:textFill>
              </w:rPr>
              <w:t>转运要求</w:t>
            </w:r>
          </w:p>
          <w:p w14:paraId="6CA246E7">
            <w:pPr>
              <w:keepNext w:val="0"/>
              <w:keepLines w:val="0"/>
              <w:suppressLineNumbers w:val="0"/>
              <w:adjustRightInd w:val="0"/>
              <w:spacing w:before="0" w:beforeAutospacing="0" w:after="0" w:afterAutospacing="0" w:line="360" w:lineRule="auto"/>
              <w:ind w:left="0" w:right="0" w:firstLine="480" w:firstLineChars="200"/>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①转移时必须轻拿轻放，防止碰撞、拖拉和倾倒。装卸和搬运的员工应经常进行安全教育培训，并且要有一定业务知识和固定的人员来担任。</w:t>
            </w:r>
          </w:p>
          <w:p w14:paraId="28870B86">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②遇湿容易引起燃烧、爆炸或产生有毒气体的原料，不宜在阴雨天运输，若必须运输时，除具有良好的装卸条件外，还应有防潮遮雨措施。</w:t>
            </w:r>
          </w:p>
          <w:p w14:paraId="5FD1D40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2）泄漏风险防范措施</w:t>
            </w:r>
          </w:p>
          <w:p w14:paraId="0FC084F6">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①做防渗处理，设置围堰且围堰容积不小于储存物料的储存体积。</w:t>
            </w:r>
          </w:p>
          <w:p w14:paraId="67B99879">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②建立严格的取用制度，取用专人负责，禁止无关人员接触。</w:t>
            </w:r>
          </w:p>
          <w:p w14:paraId="561B4242">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③储存于阴凉、通风仓库内。远离火种、热源。</w:t>
            </w:r>
          </w:p>
          <w:p w14:paraId="6EC9B1D2">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④应与易燃或可燃物等分开存放。</w:t>
            </w:r>
          </w:p>
          <w:p w14:paraId="4AB7A8F2">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⑤使用或运输过程中发生泄漏，建议应急处理人员穿戴穿防护服、防护面具等设备对其进行清理，严禁直接接触泄漏物品。</w:t>
            </w:r>
          </w:p>
          <w:p w14:paraId="02D915DF">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3）加强</w:t>
            </w:r>
            <w:r>
              <w:rPr>
                <w:rFonts w:hint="eastAsia" w:ascii="Times New Roman" w:hAnsi="Times New Roman" w:cs="Times New Roman"/>
                <w:color w:val="000000" w:themeColor="text1"/>
                <w:sz w:val="24"/>
                <w:lang w:eastAsia="zh-CN"/>
                <w14:textFill>
                  <w14:solidFill>
                    <w14:schemeClr w14:val="tx1"/>
                  </w14:solidFill>
                </w14:textFill>
              </w:rPr>
              <w:t>水性底漆、水性光亮剂、中性脱脂剂、硅烷处理剂、塑粉、切削液、润滑油、液压油</w:t>
            </w:r>
            <w:r>
              <w:rPr>
                <w:rFonts w:hint="default" w:ascii="Times New Roman" w:hAnsi="Times New Roman" w:cs="Times New Roman"/>
                <w:color w:val="000000" w:themeColor="text1"/>
                <w:kern w:val="0"/>
                <w:sz w:val="24"/>
                <w14:textFill>
                  <w14:solidFill>
                    <w14:schemeClr w14:val="tx1"/>
                  </w14:solidFill>
                </w14:textFill>
              </w:rPr>
              <w:t>的管理</w:t>
            </w:r>
          </w:p>
          <w:p w14:paraId="5D28CA3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应加强管理，由专人负责。加强防火，达到消防、安全等有关部门的要求。加强对职工的安全教育，制定严格的工作守则和个人卫生措施，所有操作人员必须了解所有化学品的有害作用及对患者的急救措施，以保证生产的正常运行和员工的身体健康。</w:t>
            </w:r>
          </w:p>
          <w:p w14:paraId="00E1FD98">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（2）危废暂存库风险防范措施</w:t>
            </w:r>
          </w:p>
          <w:p w14:paraId="78CA6C62">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危废库设置要求：</w:t>
            </w:r>
          </w:p>
          <w:p w14:paraId="08ACE657">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危废暂存间按照《危险废物贮存污染控制标准》（GB18597-2023）要求建设，按照《危险废物识别标志设施技术规范》（HJ1276-2022）、《环境保护图形标志》（GB15562-1995）的规定设置警示标志。</w:t>
            </w:r>
          </w:p>
          <w:p w14:paraId="6C0D447C">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①危废暂存库应采取必要的防风、防晒、防雨、防漏、防渗、防腐以及其他环境污染防治措施，各危险废物分类分区贮存。</w:t>
            </w:r>
          </w:p>
          <w:p w14:paraId="540941A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②用于盛放液态危险废物场所须有泄漏液体的收集装置；危废暂存房内设置围堰，围堰大小可满足液态危险废物泄漏时的收集需要。</w:t>
            </w:r>
          </w:p>
          <w:p w14:paraId="02299B23">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③用于存放液体、半固体危险废物的地方，需用环氧树脂做防渗处理，地面无裂隙，防渗系数≤10</w:t>
            </w:r>
            <w:r>
              <w:rPr>
                <w:rFonts w:hint="default" w:ascii="Times New Roman" w:hAnsi="Times New Roman" w:cs="Times New Roman"/>
                <w:color w:val="000000" w:themeColor="text1"/>
                <w:kern w:val="0"/>
                <w:sz w:val="24"/>
                <w:vertAlign w:val="superscript"/>
                <w14:textFill>
                  <w14:solidFill>
                    <w14:schemeClr w14:val="tx1"/>
                  </w14:solidFill>
                </w14:textFill>
              </w:rPr>
              <w:t>-7</w:t>
            </w:r>
            <w:r>
              <w:rPr>
                <w:rFonts w:hint="default" w:ascii="Times New Roman" w:hAnsi="Times New Roman" w:cs="Times New Roman"/>
                <w:color w:val="000000" w:themeColor="text1"/>
                <w:kern w:val="0"/>
                <w:sz w:val="24"/>
                <w14:textFill>
                  <w14:solidFill>
                    <w14:schemeClr w14:val="tx1"/>
                  </w14:solidFill>
                </w14:textFill>
              </w:rPr>
              <w:t>cm/s；</w:t>
            </w:r>
          </w:p>
          <w:p w14:paraId="113148E9">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④不相容的危险废物堆放区必须有隔离间隔断；</w:t>
            </w:r>
          </w:p>
          <w:p w14:paraId="2AC6D928">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⑤贮存易燃易爆的危险废物的场所应配备消防设备；</w:t>
            </w:r>
          </w:p>
          <w:p w14:paraId="29859B17">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⑥危险废物贮存设施周围应设置围墙或其它防护栅栏，危险废物贮存设施内清理出来的泄漏物，一律按危险废物处理；</w:t>
            </w:r>
          </w:p>
          <w:p w14:paraId="059B86B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⑦危废应当使用防渗漏运送工具，将危险废物收集、运送至暂时贮存地点。</w:t>
            </w:r>
          </w:p>
          <w:p w14:paraId="3A8CE224">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（3）危废库围堰设置</w:t>
            </w:r>
          </w:p>
          <w:p w14:paraId="49CC64F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项目需要在危废暂存房内设置围堰。项目危废暂存房内主要存放项目产生的危险废物，其中液态物质可能会造成溢流，厂区危废暂存房建筑面积为15m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，内设置10cm高的围堰，可以满足截流需求。</w:t>
            </w:r>
          </w:p>
          <w:p w14:paraId="414ACC39">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综上所述，项目不存在重大危险源，风险事故对外环境影响较小，项目落实环境风险防范措施基础上，其环境风险是可接受的。</w:t>
            </w:r>
          </w:p>
          <w:p w14:paraId="6D8974C8">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4）火灾爆炸风险风险防范措施</w:t>
            </w:r>
          </w:p>
          <w:p w14:paraId="4D5200D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①物料贮运要求</w:t>
            </w:r>
          </w:p>
          <w:p w14:paraId="5DF6E60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A、物料分类储存，储存场所、储存物料应远离热源与火种，不可与易燃物公共贮存。</w:t>
            </w:r>
          </w:p>
          <w:p w14:paraId="63E3CE5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B、冲击或撞击有可能引起火灾爆炸的物料搬运时要轻拿轻放，避免碰撞和撞击。</w:t>
            </w:r>
          </w:p>
          <w:p w14:paraId="3570E9F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②火源地管理</w:t>
            </w:r>
          </w:p>
          <w:p w14:paraId="47CC0E8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A、控制明火。</w:t>
            </w:r>
          </w:p>
          <w:p w14:paraId="7A55550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B、设备维修检查，需进行维修焊接，应经安全部门确认、准许，并有记录在案，有监管人员在场方可进行施工。</w:t>
            </w:r>
          </w:p>
          <w:p w14:paraId="36AC22D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C、原料包装桶与明火、散发火花地点及周围构筑物之间的距离应满足规范要求。</w:t>
            </w:r>
          </w:p>
          <w:p w14:paraId="04C28E5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D、明火、散发火花地点应远离天然气管道设置。</w:t>
            </w:r>
          </w:p>
          <w:p w14:paraId="36DC7F5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③火灾的控制</w:t>
            </w:r>
          </w:p>
          <w:p w14:paraId="440D381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A、严格按防火、防爆设计规范的要求进行设计，按规范设置消防系统，配置相应的灭火装置和设施。</w:t>
            </w:r>
          </w:p>
          <w:p w14:paraId="4A2DB94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B、原辅材料存储区地面应采用不会产生火花的材料，其技术要求应符合现行的国家标准《地面与楼面工程施工及验收规范》的规定。</w:t>
            </w:r>
          </w:p>
          <w:p w14:paraId="57289F7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C、按《爆炸和火灾危险环境电力装置设计规范》选用电气设备，并采取静电接地措施。在较高建、构筑物上设避雷装置。</w:t>
            </w:r>
          </w:p>
          <w:p w14:paraId="4C7B9D6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D、车间及仓库必须配备干粉灭火器。</w:t>
            </w:r>
          </w:p>
          <w:p w14:paraId="3D52898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④设置火灾报警系统</w:t>
            </w:r>
          </w:p>
          <w:p w14:paraId="2273E035">
            <w:pPr>
              <w:keepNext w:val="0"/>
              <w:keepLines w:val="0"/>
              <w:suppressLineNumbers w:val="0"/>
              <w:wordWrap w:val="0"/>
              <w:topLinePunct/>
              <w:spacing w:before="0" w:beforeAutospacing="0" w:after="0" w:afterAutospacing="0" w:line="360" w:lineRule="auto"/>
              <w:ind w:left="0" w:right="0" w:firstLine="480" w:firstLineChars="200"/>
              <w:contextualSpacing/>
              <w:jc w:val="left"/>
              <w:textAlignment w:val="center"/>
              <w:rPr>
                <w:rFonts w:hint="default" w:ascii="Times New Roman" w:hAnsi="Times New Roman" w:cs="Times New Roman"/>
                <w:color w:val="000000" w:themeColor="text1"/>
                <w:sz w:val="24"/>
                <w:szCs w:val="32"/>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综上所述，项目不存在重大危险源，风险事故对外环境影响较小，项目落实环境风险防范措施基础上，其环境风险是可接受的。</w:t>
            </w:r>
          </w:p>
          <w:p w14:paraId="526D2001">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w:t>
            </w:r>
            <w:r>
              <w:rPr>
                <w:rFonts w:hint="eastAsia" w:ascii="Times New Roman" w:hAnsi="Times New Roman" w:cs="Times New Roman"/>
                <w:b/>
                <w:color w:val="000000" w:themeColor="text1"/>
                <w:kern w:val="0"/>
                <w:sz w:val="24"/>
                <w:lang w:val="en-US" w:eastAsia="zh-CN"/>
                <w14:textFill>
                  <w14:solidFill>
                    <w14:schemeClr w14:val="tx1"/>
                  </w14:solidFill>
                </w14:textFill>
              </w:rPr>
              <w:t>7</w:t>
            </w:r>
            <w:r>
              <w:rPr>
                <w:rFonts w:hint="default" w:ascii="Times New Roman" w:hAnsi="Times New Roman" w:cs="Times New Roman"/>
                <w:b/>
                <w:color w:val="000000" w:themeColor="text1"/>
                <w:kern w:val="0"/>
                <w:sz w:val="24"/>
                <w14:textFill>
                  <w14:solidFill>
                    <w14:schemeClr w14:val="tx1"/>
                  </w14:solidFill>
                </w14:textFill>
              </w:rPr>
              <w:t xml:space="preserve">  建设项目环境风险简单分析内容一览表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6"/>
              <w:gridCol w:w="1454"/>
              <w:gridCol w:w="1176"/>
              <w:gridCol w:w="654"/>
              <w:gridCol w:w="391"/>
              <w:gridCol w:w="1044"/>
              <w:gridCol w:w="2147"/>
            </w:tblGrid>
            <w:tr w14:paraId="78A37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77" w:type="pct"/>
                  <w:vAlign w:val="center"/>
                </w:tcPr>
                <w:p w14:paraId="3F719C88">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建设项目名称</w:t>
                  </w:r>
                </w:p>
              </w:tc>
              <w:tc>
                <w:tcPr>
                  <w:tcW w:w="4023" w:type="pct"/>
                  <w:gridSpan w:val="6"/>
                  <w:vAlign w:val="center"/>
                </w:tcPr>
                <w:p w14:paraId="048EE2E7">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汽车零部件、通讯五金部件及光电设备配件加工项目</w:t>
                  </w:r>
                </w:p>
              </w:tc>
            </w:tr>
            <w:tr w14:paraId="2848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31CEA2A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建设地点</w:t>
                  </w:r>
                </w:p>
              </w:tc>
              <w:tc>
                <w:tcPr>
                  <w:tcW w:w="852" w:type="pct"/>
                  <w:vAlign w:val="center"/>
                </w:tcPr>
                <w:p w14:paraId="5F43CC25">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（安徽）省</w:t>
                  </w:r>
                </w:p>
              </w:tc>
              <w:tc>
                <w:tcPr>
                  <w:tcW w:w="689" w:type="pct"/>
                  <w:vAlign w:val="center"/>
                </w:tcPr>
                <w:p w14:paraId="46FB869A">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（芜湖）市</w:t>
                  </w:r>
                </w:p>
              </w:tc>
              <w:tc>
                <w:tcPr>
                  <w:tcW w:w="612" w:type="pct"/>
                  <w:gridSpan w:val="2"/>
                  <w:vAlign w:val="center"/>
                </w:tcPr>
                <w:p w14:paraId="3A678FA6">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（湾沚）区</w:t>
                  </w:r>
                </w:p>
              </w:tc>
              <w:tc>
                <w:tcPr>
                  <w:tcW w:w="612" w:type="pct"/>
                  <w:vAlign w:val="center"/>
                </w:tcPr>
                <w:p w14:paraId="31FE94A5">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（/）县</w:t>
                  </w:r>
                </w:p>
              </w:tc>
              <w:tc>
                <w:tcPr>
                  <w:tcW w:w="1258" w:type="pct"/>
                  <w:vAlign w:val="center"/>
                </w:tcPr>
                <w:p w14:paraId="0E994068">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（/）园区</w:t>
                  </w:r>
                </w:p>
              </w:tc>
            </w:tr>
            <w:tr w14:paraId="3317A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0270130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地理坐标</w:t>
                  </w:r>
                </w:p>
              </w:tc>
              <w:tc>
                <w:tcPr>
                  <w:tcW w:w="1924" w:type="pct"/>
                  <w:gridSpan w:val="3"/>
                  <w:vAlign w:val="center"/>
                </w:tcPr>
                <w:p w14:paraId="2096733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东经E118°34′</w:t>
                  </w:r>
                  <w:r>
                    <w:rPr>
                      <w:rFonts w:hint="eastAsia" w:cs="Times New Roman"/>
                      <w:color w:val="000000" w:themeColor="text1"/>
                      <w:szCs w:val="21"/>
                      <w:lang w:val="en-US" w:eastAsia="zh-CN"/>
                      <w14:textFill>
                        <w14:solidFill>
                          <w14:schemeClr w14:val="tx1"/>
                        </w14:solidFill>
                      </w14:textFill>
                    </w:rPr>
                    <w:t>45.143</w:t>
                  </w:r>
                  <w:r>
                    <w:rPr>
                      <w:rFonts w:hint="default" w:ascii="Times New Roman" w:hAnsi="Times New Roman" w:cs="Times New Roman"/>
                      <w:color w:val="000000" w:themeColor="text1"/>
                      <w:szCs w:val="21"/>
                      <w14:textFill>
                        <w14:solidFill>
                          <w14:schemeClr w14:val="tx1"/>
                        </w14:solidFill>
                      </w14:textFill>
                    </w:rPr>
                    <w:t>″</w:t>
                  </w:r>
                </w:p>
              </w:tc>
              <w:tc>
                <w:tcPr>
                  <w:tcW w:w="2099" w:type="pct"/>
                  <w:gridSpan w:val="3"/>
                  <w:vAlign w:val="center"/>
                </w:tcPr>
                <w:p w14:paraId="46CFF5D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北纬N31°1</w:t>
                  </w:r>
                  <w:r>
                    <w:rPr>
                      <w:rFonts w:hint="eastAsia" w:ascii="Times New Roman" w:hAnsi="Times New Roman" w:cs="Times New Roman"/>
                      <w:color w:val="000000" w:themeColor="text1"/>
                      <w:szCs w:val="21"/>
                      <w:lang w:val="en-US" w:eastAsia="zh-CN"/>
                      <w14:textFill>
                        <w14:solidFill>
                          <w14:schemeClr w14:val="tx1"/>
                        </w14:solidFill>
                      </w14:textFill>
                    </w:rPr>
                    <w:t>0</w:t>
                  </w:r>
                  <w:r>
                    <w:rPr>
                      <w:rFonts w:hint="default" w:ascii="Times New Roman" w:hAnsi="Times New Roman" w:cs="Times New Roman"/>
                      <w:color w:val="000000" w:themeColor="text1"/>
                      <w:szCs w:val="21"/>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39.483</w:t>
                  </w:r>
                  <w:r>
                    <w:rPr>
                      <w:rFonts w:hint="default" w:ascii="Times New Roman" w:hAnsi="Times New Roman" w:cs="Times New Roman"/>
                      <w:color w:val="000000" w:themeColor="text1"/>
                      <w:szCs w:val="21"/>
                      <w14:textFill>
                        <w14:solidFill>
                          <w14:schemeClr w14:val="tx1"/>
                        </w14:solidFill>
                      </w14:textFill>
                    </w:rPr>
                    <w:t>″</w:t>
                  </w:r>
                </w:p>
              </w:tc>
            </w:tr>
            <w:tr w14:paraId="0C98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2D2F62E2">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主要危险物质及分布</w:t>
                  </w:r>
                </w:p>
              </w:tc>
              <w:tc>
                <w:tcPr>
                  <w:tcW w:w="6764" w:type="dxa"/>
                  <w:gridSpan w:val="6"/>
                  <w:vAlign w:val="center"/>
                </w:tcPr>
                <w:p w14:paraId="0DF1553E">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辅料区：塑粉、切削液</w:t>
                  </w:r>
                </w:p>
                <w:p w14:paraId="7E5FD687">
                  <w:pPr>
                    <w:keepNext w:val="0"/>
                    <w:keepLines w:val="0"/>
                    <w:suppressLineNumbers w:val="0"/>
                    <w:spacing w:before="0" w:beforeAutospacing="0" w:after="0" w:afterAutospacing="0"/>
                    <w:ind w:left="0" w:right="0"/>
                    <w:rPr>
                      <w:rFonts w:hint="default" w:ascii="Times New Roman" w:hAnsi="Times New Roman" w:eastAsia="宋体" w:cs="Times New Roman"/>
                      <w:bCs/>
                      <w:snapToGrid w:val="0"/>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化学品仓库</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bCs/>
                      <w:snapToGrid w:val="0"/>
                      <w:color w:val="000000" w:themeColor="text1"/>
                      <w:szCs w:val="21"/>
                      <w14:textFill>
                        <w14:solidFill>
                          <w14:schemeClr w14:val="tx1"/>
                        </w14:solidFill>
                      </w14:textFill>
                    </w:rPr>
                    <w:t>水性底漆、水性</w:t>
                  </w:r>
                  <w:r>
                    <w:rPr>
                      <w:rFonts w:hint="eastAsia" w:ascii="Times New Roman" w:hAnsi="Times New Roman" w:cs="Times New Roman"/>
                      <w:bCs/>
                      <w:snapToGrid w:val="0"/>
                      <w:color w:val="000000" w:themeColor="text1"/>
                      <w:szCs w:val="21"/>
                      <w:lang w:val="en-US" w:eastAsia="zh-CN"/>
                      <w14:textFill>
                        <w14:solidFill>
                          <w14:schemeClr w14:val="tx1"/>
                        </w14:solidFill>
                      </w14:textFill>
                    </w:rPr>
                    <w:t>光亮剂</w:t>
                  </w:r>
                  <w:r>
                    <w:rPr>
                      <w:rFonts w:hint="default" w:ascii="Times New Roman" w:hAnsi="Times New Roman" w:cs="Times New Roman"/>
                      <w:bCs/>
                      <w:snapToGrid w:val="0"/>
                      <w:color w:val="000000" w:themeColor="text1"/>
                      <w:szCs w:val="21"/>
                      <w14:textFill>
                        <w14:solidFill>
                          <w14:schemeClr w14:val="tx1"/>
                        </w14:solidFill>
                      </w14:textFill>
                    </w:rPr>
                    <w:t>、</w:t>
                  </w:r>
                  <w:r>
                    <w:rPr>
                      <w:rFonts w:hint="eastAsia" w:ascii="Times New Roman" w:hAnsi="Times New Roman" w:cs="Times New Roman"/>
                      <w:bCs/>
                      <w:snapToGrid w:val="0"/>
                      <w:color w:val="000000" w:themeColor="text1"/>
                      <w:szCs w:val="21"/>
                      <w:lang w:val="en-US" w:eastAsia="zh-CN"/>
                      <w14:textFill>
                        <w14:solidFill>
                          <w14:schemeClr w14:val="tx1"/>
                        </w14:solidFill>
                      </w14:textFill>
                    </w:rPr>
                    <w:t>中性脱脂剂</w:t>
                  </w:r>
                  <w:r>
                    <w:rPr>
                      <w:rFonts w:hint="default" w:ascii="Times New Roman" w:hAnsi="Times New Roman" w:cs="Times New Roman"/>
                      <w:bCs/>
                      <w:snapToGrid w:val="0"/>
                      <w:color w:val="000000" w:themeColor="text1"/>
                      <w:szCs w:val="21"/>
                      <w14:textFill>
                        <w14:solidFill>
                          <w14:schemeClr w14:val="tx1"/>
                        </w14:solidFill>
                      </w14:textFill>
                    </w:rPr>
                    <w:t>、</w:t>
                  </w:r>
                  <w:r>
                    <w:rPr>
                      <w:rFonts w:hint="eastAsia" w:ascii="Times New Roman" w:hAnsi="Times New Roman" w:cs="Times New Roman"/>
                      <w:bCs/>
                      <w:snapToGrid w:val="0"/>
                      <w:color w:val="000000" w:themeColor="text1"/>
                      <w:szCs w:val="21"/>
                      <w:lang w:val="en-US" w:eastAsia="zh-CN"/>
                      <w14:textFill>
                        <w14:solidFill>
                          <w14:schemeClr w14:val="tx1"/>
                        </w14:solidFill>
                      </w14:textFill>
                    </w:rPr>
                    <w:t>硅烷处理剂</w:t>
                  </w:r>
                </w:p>
                <w:p w14:paraId="3DB60349">
                  <w:pPr>
                    <w:keepNext w:val="0"/>
                    <w:keepLines w:val="0"/>
                    <w:suppressLineNumbers w:val="0"/>
                    <w:spacing w:before="0" w:beforeAutospacing="0" w:after="0" w:afterAutospacing="0"/>
                    <w:ind w:left="0" w:right="0"/>
                    <w:rPr>
                      <w:rFonts w:hint="default" w:ascii="Times New Roman" w:hAnsi="Times New Roman" w:cs="Times New Roman"/>
                      <w:bCs/>
                      <w:snapToGrid w:val="0"/>
                      <w:color w:val="000000" w:themeColor="text1"/>
                      <w:szCs w:val="21"/>
                      <w14:textFill>
                        <w14:solidFill>
                          <w14:schemeClr w14:val="tx1"/>
                        </w14:solidFill>
                      </w14:textFill>
                    </w:rPr>
                  </w:pPr>
                  <w:r>
                    <w:rPr>
                      <w:rFonts w:hint="default" w:ascii="Times New Roman" w:hAnsi="Times New Roman" w:cs="Times New Roman"/>
                      <w:bCs/>
                      <w:snapToGrid w:val="0"/>
                      <w:color w:val="000000" w:themeColor="text1"/>
                      <w:szCs w:val="21"/>
                      <w14:textFill>
                        <w14:solidFill>
                          <w14:schemeClr w14:val="tx1"/>
                        </w14:solidFill>
                      </w14:textFill>
                    </w:rPr>
                    <w:t>油类储存区：液压油、润滑油</w:t>
                  </w:r>
                </w:p>
                <w:p w14:paraId="0AA8E64F">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危废库：危险废物</w:t>
                  </w:r>
                </w:p>
                <w:p w14:paraId="2692C6DE">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管道：天然气</w:t>
                  </w:r>
                </w:p>
              </w:tc>
            </w:tr>
            <w:tr w14:paraId="74196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4099B6E4">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环境影响途径及危害后果（大气、地表水、地下水等）</w:t>
                  </w:r>
                </w:p>
              </w:tc>
              <w:tc>
                <w:tcPr>
                  <w:tcW w:w="6764" w:type="dxa"/>
                  <w:gridSpan w:val="6"/>
                  <w:vAlign w:val="center"/>
                </w:tcPr>
                <w:p w14:paraId="640A2FC7">
                  <w:pPr>
                    <w:keepNext w:val="0"/>
                    <w:keepLines w:val="0"/>
                    <w:widowControl/>
                    <w:suppressLineNumbers w:val="0"/>
                    <w:autoSpaceDE w:val="0"/>
                    <w:autoSpaceDN w:val="0"/>
                    <w:snapToGrid w:val="0"/>
                    <w:spacing w:before="0" w:beforeAutospacing="0" w:after="0" w:afterAutospacing="0"/>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污染大气环境：油类、化学品等易燃易爆物质遇高温明火等原因发生火灾、爆炸事故时，燃烧产生的CO、烟尘产物等进入大气，将对空气环境造成影响。</w:t>
                  </w:r>
                </w:p>
                <w:p w14:paraId="75D7D528">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污染地下水环境：有毒有害物质在储存或厂内转移过程中由于操作不当、防渗材料破裂等原因将对地下水环境造成影响；</w:t>
                  </w:r>
                  <w:r>
                    <w:rPr>
                      <w:rFonts w:hint="default" w:ascii="Times New Roman" w:hAnsi="Times New Roman" w:cs="Times New Roman"/>
                      <w:color w:val="000000" w:themeColor="text1"/>
                      <w:kern w:val="0"/>
                      <w:szCs w:val="21"/>
                      <w:lang w:bidi="ar"/>
                      <w14:textFill>
                        <w14:solidFill>
                          <w14:schemeClr w14:val="tx1"/>
                        </w14:solidFill>
                      </w14:textFill>
                    </w:rPr>
                    <w:t xml:space="preserve">危险废物贮存场所管理不善，导致危险废物无组织流散，造成的地表水、地下水及土壤环境污染事故。 </w:t>
                  </w:r>
                </w:p>
              </w:tc>
            </w:tr>
            <w:tr w14:paraId="65583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77" w:type="pct"/>
                  <w:vAlign w:val="center"/>
                </w:tcPr>
                <w:p w14:paraId="0D91546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风险防范要求</w:t>
                  </w:r>
                </w:p>
              </w:tc>
              <w:tc>
                <w:tcPr>
                  <w:tcW w:w="4023" w:type="pct"/>
                  <w:gridSpan w:val="6"/>
                  <w:vAlign w:val="center"/>
                </w:tcPr>
                <w:p w14:paraId="1B60A2F4">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总图及建筑风险防范，建设火灾报警系统，加强生产管理。并配备风险防范物资，制定突发环境事件应急预案并定期演练。</w:t>
                  </w:r>
                </w:p>
              </w:tc>
            </w:tr>
          </w:tbl>
          <w:p w14:paraId="6F4FBD28">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0C3D7629">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45F408F7">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78167100">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3DD45272">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003563C5">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128F31E8">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0A21ACDB">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284CFA2F">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7EA65854">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6FB4EA32">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7C6BEC98">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5CCA7D09">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279A7BEF">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0FDD354D">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p w14:paraId="0CB509E2">
            <w:pPr>
              <w:pStyle w:val="29"/>
              <w:keepNext w:val="0"/>
              <w:keepLines w:val="0"/>
              <w:suppressLineNumbers w:val="0"/>
              <w:spacing w:before="0" w:beforeAutospacing="0" w:afterAutospacing="0"/>
              <w:ind w:left="0" w:leftChars="0" w:right="1470"/>
              <w:rPr>
                <w:rFonts w:hint="default" w:ascii="Times New Roman" w:hAnsi="Times New Roman" w:cs="Times New Roman"/>
                <w:color w:val="auto"/>
                <w:highlight w:val="none"/>
              </w:rPr>
            </w:pPr>
          </w:p>
        </w:tc>
      </w:tr>
    </w:tbl>
    <w:p w14:paraId="16CE2859">
      <w:pPr>
        <w:rPr>
          <w:rFonts w:hint="default" w:ascii="Times New Roman" w:hAnsi="Times New Roman" w:cs="Times New Roman"/>
          <w:color w:val="auto"/>
          <w:highlight w:val="none"/>
        </w:rPr>
        <w:sectPr>
          <w:pgSz w:w="11905" w:h="16838"/>
          <w:pgMar w:top="1701" w:right="1531" w:bottom="2126" w:left="1531" w:header="851" w:footer="850" w:gutter="0"/>
          <w:pgBorders>
            <w:top w:val="none" w:sz="0" w:space="0"/>
            <w:left w:val="none" w:sz="0" w:space="0"/>
            <w:bottom w:val="none" w:sz="0" w:space="0"/>
            <w:right w:val="none" w:sz="0" w:space="0"/>
          </w:pgBorders>
          <w:cols w:space="0" w:num="1"/>
          <w:docGrid w:linePitch="312" w:charSpace="0"/>
        </w:sectPr>
      </w:pPr>
      <w:r>
        <w:rPr>
          <w:rFonts w:hint="default" w:ascii="Times New Roman" w:hAnsi="Times New Roman" w:cs="Times New Roman"/>
          <w:color w:val="auto"/>
          <w:highlight w:val="none"/>
        </w:rPr>
        <w:br w:type="page"/>
      </w:r>
    </w:p>
    <w:tbl>
      <w:tblPr>
        <w:tblStyle w:val="62"/>
        <w:tblW w:w="1305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057"/>
      </w:tblGrid>
      <w:tr w14:paraId="42A161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192" w:hRule="atLeast"/>
        </w:trPr>
        <w:tc>
          <w:tcPr>
            <w:tcW w:w="13057" w:type="dxa"/>
          </w:tcPr>
          <w:p w14:paraId="23F44ECB">
            <w:pPr>
              <w:keepNext w:val="0"/>
              <w:keepLines w:val="0"/>
              <w:suppressLineNumbers w:val="0"/>
              <w:spacing w:before="240" w:beforeLines="10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七、建设项目 “三同时”验收一览表</w:t>
            </w:r>
          </w:p>
          <w:p w14:paraId="049E6B3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snapToGrid w:val="0"/>
                <w:color w:val="auto"/>
                <w:sz w:val="24"/>
                <w:highlight w:val="none"/>
              </w:rPr>
            </w:pPr>
            <w:r>
              <w:rPr>
                <w:rFonts w:hint="default" w:ascii="Times New Roman" w:hAnsi="Times New Roman" w:cs="Times New Roman"/>
                <w:snapToGrid w:val="0"/>
                <w:color w:val="auto"/>
                <w:sz w:val="24"/>
                <w:highlight w:val="none"/>
              </w:rPr>
              <w:t>根据建设项目环境保护管理制度的规定，建设项目的污染治理设施必须与主体工程“同时设计、同时施工、同时投入运行”。因此，本项目的污染治理设施必须严格执行“三同时”制度，在各种污染治理设施未按要求完工之前，项目不得投入运行。</w:t>
            </w:r>
          </w:p>
          <w:p w14:paraId="2CC7270E">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auto"/>
                <w:kern w:val="0"/>
                <w:sz w:val="24"/>
                <w:highlight w:val="none"/>
                <w:lang w:val="zh-CN"/>
              </w:rPr>
            </w:pPr>
            <w:r>
              <w:rPr>
                <w:rFonts w:hint="default" w:ascii="Times New Roman" w:hAnsi="Times New Roman" w:cs="Times New Roman"/>
                <w:b/>
                <w:color w:val="auto"/>
                <w:kern w:val="0"/>
                <w:sz w:val="24"/>
                <w:highlight w:val="none"/>
                <w:lang w:val="zh-CN"/>
              </w:rPr>
              <w:t>表</w:t>
            </w:r>
            <w:r>
              <w:rPr>
                <w:rFonts w:hint="default" w:ascii="Times New Roman" w:hAnsi="Times New Roman" w:cs="Times New Roman"/>
                <w:b/>
                <w:color w:val="auto"/>
                <w:kern w:val="0"/>
                <w:sz w:val="24"/>
                <w:highlight w:val="none"/>
              </w:rPr>
              <w:t>4-</w:t>
            </w:r>
            <w:r>
              <w:rPr>
                <w:rFonts w:hint="eastAsia" w:cs="Times New Roman"/>
                <w:b/>
                <w:color w:val="auto"/>
                <w:kern w:val="0"/>
                <w:sz w:val="24"/>
                <w:highlight w:val="none"/>
                <w:lang w:val="en-US" w:eastAsia="zh-CN"/>
              </w:rPr>
              <w:t>38</w:t>
            </w:r>
            <w:r>
              <w:rPr>
                <w:rFonts w:hint="default" w:ascii="Times New Roman" w:hAnsi="Times New Roman" w:cs="Times New Roman"/>
                <w:b/>
                <w:color w:val="auto"/>
                <w:kern w:val="0"/>
                <w:sz w:val="24"/>
                <w:highlight w:val="none"/>
                <w:lang w:val="zh-CN"/>
              </w:rPr>
              <w:t xml:space="preserve">  建设项目环保投资及</w:t>
            </w:r>
            <w:r>
              <w:rPr>
                <w:rFonts w:hint="default"/>
              </w:rPr>
              <w:commentReference w:id="38"/>
            </w:r>
            <w:r>
              <w:rPr>
                <w:rFonts w:hint="default" w:ascii="Times New Roman" w:hAnsi="Times New Roman" w:cs="Times New Roman"/>
                <w:b/>
                <w:color w:val="auto"/>
                <w:kern w:val="0"/>
                <w:sz w:val="24"/>
                <w:highlight w:val="none"/>
                <w:lang w:val="zh-CN"/>
              </w:rPr>
              <w:t>“三同时”验收一览表</w:t>
            </w:r>
          </w:p>
          <w:tbl>
            <w:tblPr>
              <w:tblStyle w:val="61"/>
              <w:tblW w:w="12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481"/>
              <w:gridCol w:w="1377"/>
              <w:gridCol w:w="1350"/>
              <w:gridCol w:w="3566"/>
              <w:gridCol w:w="4251"/>
              <w:gridCol w:w="531"/>
              <w:gridCol w:w="637"/>
            </w:tblGrid>
            <w:tr w14:paraId="3579B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638" w:type="dxa"/>
                  <w:vAlign w:val="center"/>
                </w:tcPr>
                <w:p w14:paraId="624A42AC">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b/>
                      <w:color w:val="auto"/>
                      <w:szCs w:val="21"/>
                      <w:highlight w:val="none"/>
                      <w:lang w:val="zh-CN"/>
                    </w:rPr>
                  </w:pPr>
                  <w:r>
                    <w:rPr>
                      <w:rFonts w:hint="default" w:ascii="Times New Roman" w:hAnsi="Times New Roman" w:cs="Times New Roman"/>
                      <w:b/>
                      <w:color w:val="auto"/>
                      <w:szCs w:val="21"/>
                      <w:highlight w:val="none"/>
                      <w:lang w:val="zh-CN"/>
                    </w:rPr>
                    <w:t>类别</w:t>
                  </w:r>
                </w:p>
              </w:tc>
              <w:tc>
                <w:tcPr>
                  <w:tcW w:w="3208" w:type="dxa"/>
                  <w:gridSpan w:val="3"/>
                  <w:vAlign w:val="center"/>
                </w:tcPr>
                <w:p w14:paraId="288EEC5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b/>
                      <w:color w:val="auto"/>
                      <w:szCs w:val="21"/>
                      <w:highlight w:val="none"/>
                      <w:lang w:val="zh-CN"/>
                    </w:rPr>
                  </w:pPr>
                  <w:r>
                    <w:rPr>
                      <w:rFonts w:hint="default" w:ascii="Times New Roman" w:hAnsi="Times New Roman" w:cs="Times New Roman"/>
                      <w:b/>
                      <w:color w:val="auto"/>
                      <w:szCs w:val="21"/>
                      <w:highlight w:val="none"/>
                      <w:lang w:val="zh-CN"/>
                    </w:rPr>
                    <w:t>治理对象</w:t>
                  </w:r>
                </w:p>
              </w:tc>
              <w:tc>
                <w:tcPr>
                  <w:tcW w:w="3566" w:type="dxa"/>
                  <w:vAlign w:val="center"/>
                </w:tcPr>
                <w:p w14:paraId="3180B7A6">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b/>
                      <w:color w:val="auto"/>
                      <w:szCs w:val="21"/>
                      <w:highlight w:val="none"/>
                      <w:lang w:val="zh-CN"/>
                    </w:rPr>
                  </w:pPr>
                  <w:r>
                    <w:rPr>
                      <w:rFonts w:hint="default" w:ascii="Times New Roman" w:hAnsi="Times New Roman" w:cs="Times New Roman"/>
                      <w:b/>
                      <w:color w:val="auto"/>
                      <w:szCs w:val="21"/>
                      <w:highlight w:val="none"/>
                      <w:lang w:val="zh-CN"/>
                    </w:rPr>
                    <w:t>环保设施名称</w:t>
                  </w:r>
                </w:p>
              </w:tc>
              <w:tc>
                <w:tcPr>
                  <w:tcW w:w="4251" w:type="dxa"/>
                  <w:vAlign w:val="center"/>
                </w:tcPr>
                <w:p w14:paraId="49985B5D">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b/>
                      <w:color w:val="auto"/>
                      <w:szCs w:val="21"/>
                      <w:highlight w:val="none"/>
                      <w:lang w:val="zh-CN"/>
                    </w:rPr>
                  </w:pPr>
                  <w:r>
                    <w:rPr>
                      <w:rFonts w:hint="default" w:ascii="Times New Roman" w:hAnsi="Times New Roman" w:cs="Times New Roman"/>
                      <w:b/>
                      <w:color w:val="auto"/>
                      <w:szCs w:val="21"/>
                      <w:highlight w:val="none"/>
                      <w:lang w:val="zh-CN"/>
                    </w:rPr>
                    <w:t>治理效果</w:t>
                  </w:r>
                </w:p>
              </w:tc>
              <w:tc>
                <w:tcPr>
                  <w:tcW w:w="531" w:type="dxa"/>
                  <w:vAlign w:val="center"/>
                </w:tcPr>
                <w:p w14:paraId="136ABF96">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投资</w:t>
                  </w:r>
                </w:p>
                <w:p w14:paraId="712AB0D9">
                  <w:pPr>
                    <w:keepNext w:val="0"/>
                    <w:keepLines w:val="0"/>
                    <w:suppressLineNumbers w:val="0"/>
                    <w:spacing w:before="0" w:beforeAutospacing="0" w:after="0" w:afterAutospacing="0"/>
                    <w:ind w:left="-105" w:leftChars="-50" w:right="-105" w:rightChars="-5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（万元）</w:t>
                  </w:r>
                </w:p>
              </w:tc>
              <w:tc>
                <w:tcPr>
                  <w:tcW w:w="637" w:type="dxa"/>
                  <w:vAlign w:val="center"/>
                </w:tcPr>
                <w:p w14:paraId="123D87A8">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b/>
                      <w:color w:val="auto"/>
                      <w:szCs w:val="21"/>
                      <w:highlight w:val="none"/>
                      <w:lang w:val="zh-CN"/>
                    </w:rPr>
                  </w:pPr>
                  <w:r>
                    <w:rPr>
                      <w:rFonts w:hint="default" w:ascii="Times New Roman" w:hAnsi="Times New Roman" w:cs="Times New Roman"/>
                      <w:b/>
                      <w:color w:val="auto"/>
                      <w:szCs w:val="21"/>
                      <w:highlight w:val="none"/>
                      <w:lang w:val="zh-CN"/>
                    </w:rPr>
                    <w:t>进度</w:t>
                  </w:r>
                </w:p>
              </w:tc>
            </w:tr>
            <w:tr w14:paraId="3E5B1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38" w:type="dxa"/>
                  <w:vMerge w:val="restart"/>
                  <w:vAlign w:val="center"/>
                </w:tcPr>
                <w:p w14:paraId="3C7FEBF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废气</w:t>
                  </w:r>
                </w:p>
                <w:p w14:paraId="0821BC8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18"/>
                      <w:highlight w:val="none"/>
                      <w:lang w:val="zh-CN"/>
                    </w:rPr>
                  </w:pPr>
                  <w:r>
                    <w:rPr>
                      <w:rFonts w:hint="default" w:ascii="Times New Roman" w:hAnsi="Times New Roman" w:cs="Times New Roman"/>
                      <w:color w:val="auto"/>
                      <w:szCs w:val="21"/>
                      <w:highlight w:val="none"/>
                      <w:lang w:val="zh-CN"/>
                    </w:rPr>
                    <w:t>治理</w:t>
                  </w:r>
                </w:p>
              </w:tc>
              <w:tc>
                <w:tcPr>
                  <w:tcW w:w="1858" w:type="dxa"/>
                  <w:gridSpan w:val="2"/>
                  <w:shd w:val="clear" w:color="auto" w:fill="auto"/>
                  <w:vAlign w:val="center"/>
                </w:tcPr>
                <w:p w14:paraId="665E4D7D">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highlight w:val="none"/>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抛光粉尘</w:t>
                  </w:r>
                  <w:r>
                    <w:rPr>
                      <w:rFonts w:hint="default"/>
                      <w:color w:val="auto"/>
                      <w:szCs w:val="21"/>
                    </w:rPr>
                    <w:t>排放口（DA001）</w:t>
                  </w:r>
                </w:p>
              </w:tc>
              <w:tc>
                <w:tcPr>
                  <w:tcW w:w="1350" w:type="dxa"/>
                  <w:shd w:val="clear" w:color="auto" w:fill="auto"/>
                  <w:vAlign w:val="center"/>
                </w:tcPr>
                <w:p w14:paraId="144205D2">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颗粒物</w:t>
                  </w:r>
                </w:p>
              </w:tc>
              <w:tc>
                <w:tcPr>
                  <w:tcW w:w="3566" w:type="dxa"/>
                  <w:shd w:val="clear" w:color="auto" w:fill="auto"/>
                  <w:vAlign w:val="center"/>
                </w:tcPr>
                <w:p w14:paraId="64EC358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eastAsia="宋体" w:cs="Times New Roman"/>
                      <w:color w:val="000000"/>
                      <w:szCs w:val="21"/>
                      <w:lang w:val="en-US" w:eastAsia="zh-CN"/>
                    </w:rPr>
                    <w:t>人工去毛刺、打磨、抛光粉尘经集气罩收集+布袋除尘器处理后和</w:t>
                  </w:r>
                  <w:r>
                    <w:rPr>
                      <w:rFonts w:hint="default" w:ascii="Times New Roman" w:hAnsi="Times New Roman" w:eastAsia="宋体" w:cs="Times New Roman"/>
                      <w:color w:val="000000"/>
                      <w:szCs w:val="21"/>
                      <w:lang w:val="en-US" w:eastAsia="zh-CN"/>
                    </w:rPr>
                    <w:t>经设备密闭+集气管道收集</w:t>
                  </w:r>
                  <w:r>
                    <w:rPr>
                      <w:rFonts w:hint="eastAsia" w:ascii="Times New Roman" w:hAnsi="Times New Roman" w:eastAsia="宋体" w:cs="Times New Roman"/>
                      <w:color w:val="000000"/>
                      <w:szCs w:val="21"/>
                      <w:lang w:val="en-US" w:eastAsia="zh-CN"/>
                    </w:rPr>
                    <w:t>+</w:t>
                  </w:r>
                  <w:r>
                    <w:rPr>
                      <w:rFonts w:hint="default" w:ascii="Times New Roman" w:hAnsi="Times New Roman" w:eastAsia="宋体" w:cs="Times New Roman"/>
                      <w:color w:val="000000"/>
                      <w:szCs w:val="21"/>
                      <w:lang w:val="en-US" w:eastAsia="zh-CN"/>
                    </w:rPr>
                    <w:t>设备自带布袋除尘器处理</w:t>
                  </w:r>
                  <w:r>
                    <w:rPr>
                      <w:rFonts w:hint="eastAsia" w:ascii="Times New Roman" w:hAnsi="Times New Roman" w:eastAsia="宋体" w:cs="Times New Roman"/>
                      <w:color w:val="000000"/>
                      <w:szCs w:val="21"/>
                      <w:lang w:val="en-US" w:eastAsia="zh-CN"/>
                    </w:rPr>
                    <w:t>的喷砂、抛丸粉尘一并</w:t>
                  </w:r>
                  <w:r>
                    <w:rPr>
                      <w:rFonts w:hint="default" w:ascii="Times New Roman" w:hAnsi="Times New Roman" w:eastAsia="宋体" w:cs="Times New Roman"/>
                      <w:color w:val="000000"/>
                      <w:szCs w:val="21"/>
                      <w:lang w:val="en-US" w:eastAsia="zh-CN"/>
                    </w:rPr>
                    <w:t>通过1根</w:t>
                  </w:r>
                  <w:r>
                    <w:rPr>
                      <w:rFonts w:hint="eastAsia" w:ascii="Times New Roman" w:hAnsi="Times New Roman" w:eastAsia="宋体" w:cs="Times New Roman"/>
                      <w:color w:val="000000"/>
                      <w:szCs w:val="21"/>
                      <w:lang w:val="en-US" w:eastAsia="zh-CN"/>
                    </w:rPr>
                    <w:t>15m</w:t>
                  </w:r>
                  <w:r>
                    <w:rPr>
                      <w:rFonts w:hint="default" w:ascii="Times New Roman" w:hAnsi="Times New Roman" w:eastAsia="宋体" w:cs="Times New Roman"/>
                      <w:color w:val="000000"/>
                      <w:szCs w:val="21"/>
                      <w:lang w:val="en-US" w:eastAsia="zh-CN"/>
                    </w:rPr>
                    <w:t>高的排气筒DA0</w:t>
                  </w:r>
                  <w:r>
                    <w:rPr>
                      <w:rFonts w:hint="eastAsia" w:ascii="Times New Roman" w:hAnsi="Times New Roman" w:eastAsia="宋体" w:cs="Times New Roman"/>
                      <w:color w:val="000000"/>
                      <w:szCs w:val="21"/>
                      <w:lang w:val="en-US" w:eastAsia="zh-CN"/>
                    </w:rPr>
                    <w:t>01</w:t>
                  </w:r>
                  <w:r>
                    <w:rPr>
                      <w:rFonts w:hint="default" w:ascii="Times New Roman" w:hAnsi="Times New Roman" w:eastAsia="宋体" w:cs="Times New Roman"/>
                      <w:bCs/>
                      <w:color w:val="auto"/>
                      <w:szCs w:val="21"/>
                      <w:highlight w:val="none"/>
                      <w:lang w:val="en-US" w:eastAsia="zh-CN"/>
                    </w:rPr>
                    <w:t>排放</w:t>
                  </w:r>
                </w:p>
              </w:tc>
              <w:tc>
                <w:tcPr>
                  <w:tcW w:w="4251" w:type="dxa"/>
                  <w:shd w:val="clear" w:color="auto" w:fill="auto"/>
                  <w:vAlign w:val="center"/>
                </w:tcPr>
                <w:p w14:paraId="20805A3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000000" w:themeColor="text1"/>
                      <w:kern w:val="0"/>
                      <w:sz w:val="21"/>
                      <w:szCs w:val="21"/>
                      <w14:textFill>
                        <w14:solidFill>
                          <w14:schemeClr w14:val="tx1"/>
                        </w14:solidFill>
                      </w14:textFill>
                    </w:rPr>
                    <w:t>《大气污染物综合排放标准》（GB 16297-1996）表2</w:t>
                  </w:r>
                </w:p>
              </w:tc>
              <w:tc>
                <w:tcPr>
                  <w:tcW w:w="531" w:type="dxa"/>
                  <w:vAlign w:val="center"/>
                </w:tcPr>
                <w:p w14:paraId="663F891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20</w:t>
                  </w:r>
                </w:p>
              </w:tc>
              <w:tc>
                <w:tcPr>
                  <w:tcW w:w="637" w:type="dxa"/>
                  <w:vMerge w:val="restart"/>
                  <w:vAlign w:val="center"/>
                </w:tcPr>
                <w:p w14:paraId="7B82C366">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与建设项目同时设计、同时施工，同时投入运行</w:t>
                  </w:r>
                </w:p>
              </w:tc>
            </w:tr>
            <w:tr w14:paraId="71CA4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4815A6D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1858" w:type="dxa"/>
                  <w:gridSpan w:val="2"/>
                  <w:vMerge w:val="restart"/>
                  <w:shd w:val="clear" w:color="auto" w:fill="auto"/>
                  <w:vAlign w:val="center"/>
                </w:tcPr>
                <w:p w14:paraId="6F73702B">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r>
                    <w:rPr>
                      <w:rFonts w:hint="default"/>
                      <w:color w:val="auto"/>
                      <w:kern w:val="0"/>
                      <w:szCs w:val="21"/>
                    </w:rPr>
                    <w:t>废气</w:t>
                  </w:r>
                  <w:r>
                    <w:rPr>
                      <w:rFonts w:hint="default"/>
                      <w:color w:val="auto"/>
                      <w:szCs w:val="21"/>
                    </w:rPr>
                    <w:t>排放口（DA002）</w:t>
                  </w:r>
                </w:p>
              </w:tc>
              <w:tc>
                <w:tcPr>
                  <w:tcW w:w="1350" w:type="dxa"/>
                  <w:shd w:val="clear" w:color="auto" w:fill="auto"/>
                  <w:vAlign w:val="center"/>
                </w:tcPr>
                <w:p w14:paraId="55F10BA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szCs w:val="21"/>
                    </w:rPr>
                    <w:t>非甲烷总烃</w:t>
                  </w:r>
                </w:p>
              </w:tc>
              <w:tc>
                <w:tcPr>
                  <w:tcW w:w="3566" w:type="dxa"/>
                  <w:vMerge w:val="restart"/>
                  <w:shd w:val="clear" w:color="auto" w:fill="auto"/>
                  <w:vAlign w:val="center"/>
                </w:tcPr>
                <w:p w14:paraId="0A6BA98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①</w:t>
                  </w:r>
                  <w:r>
                    <w:rPr>
                      <w:rFonts w:hint="eastAsia" w:ascii="Times New Roman" w:hAnsi="Times New Roman" w:eastAsia="宋体" w:cs="Times New Roman"/>
                      <w:bCs/>
                      <w:color w:val="auto"/>
                      <w:szCs w:val="21"/>
                      <w:highlight w:val="none"/>
                      <w:lang w:val="en-US" w:eastAsia="zh-CN"/>
                    </w:rPr>
                    <w:t>喷粉固化工序：喷粉</w:t>
                  </w:r>
                  <w:r>
                    <w:rPr>
                      <w:rFonts w:hint="default" w:ascii="Times New Roman" w:hAnsi="Times New Roman" w:eastAsia="宋体" w:cs="Times New Roman"/>
                      <w:bCs/>
                      <w:color w:val="auto"/>
                      <w:szCs w:val="21"/>
                      <w:highlight w:val="none"/>
                      <w:lang w:val="en-US" w:eastAsia="zh-CN"/>
                    </w:rPr>
                    <w:t>粉末固化通道密闭+进出口处设置集气罩收集</w:t>
                  </w:r>
                  <w:r>
                    <w:rPr>
                      <w:rFonts w:hint="eastAsia" w:ascii="Times New Roman" w:hAnsi="Times New Roman" w:eastAsia="宋体" w:cs="Times New Roman"/>
                      <w:bCs/>
                      <w:color w:val="auto"/>
                      <w:szCs w:val="21"/>
                      <w:highlight w:val="none"/>
                      <w:lang w:val="en-US" w:eastAsia="zh-CN"/>
                    </w:rPr>
                    <w:t>；</w:t>
                  </w:r>
                </w:p>
                <w:p w14:paraId="3F34E90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②</w:t>
                  </w:r>
                  <w:r>
                    <w:rPr>
                      <w:rFonts w:hint="eastAsia" w:ascii="Times New Roman" w:hAnsi="Times New Roman" w:eastAsia="宋体" w:cs="Times New Roman"/>
                      <w:bCs/>
                      <w:color w:val="auto"/>
                      <w:szCs w:val="21"/>
                      <w:highlight w:val="none"/>
                      <w:lang w:val="en-US" w:eastAsia="zh-CN"/>
                    </w:rPr>
                    <w:t>喷漆烘干工序：喷漆烘干通道密闭</w:t>
                  </w:r>
                  <w:r>
                    <w:rPr>
                      <w:rFonts w:hint="default" w:ascii="Times New Roman" w:hAnsi="Times New Roman" w:eastAsia="宋体" w:cs="Times New Roman"/>
                      <w:bCs/>
                      <w:color w:val="auto"/>
                      <w:szCs w:val="21"/>
                      <w:highlight w:val="none"/>
                      <w:lang w:val="en-US" w:eastAsia="zh-CN"/>
                    </w:rPr>
                    <w:t>+进出口处设置集气罩收集</w:t>
                  </w:r>
                  <w:r>
                    <w:rPr>
                      <w:rFonts w:hint="eastAsia" w:ascii="Times New Roman" w:hAnsi="Times New Roman" w:eastAsia="宋体" w:cs="Times New Roman"/>
                      <w:bCs/>
                      <w:color w:val="auto"/>
                      <w:szCs w:val="21"/>
                      <w:highlight w:val="none"/>
                      <w:lang w:val="en-US" w:eastAsia="zh-CN"/>
                    </w:rPr>
                    <w:t>；</w:t>
                  </w:r>
                </w:p>
                <w:p w14:paraId="05701F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③</w:t>
                  </w:r>
                  <w:r>
                    <w:rPr>
                      <w:rFonts w:hint="eastAsia" w:ascii="Times New Roman" w:hAnsi="Times New Roman" w:eastAsia="宋体" w:cs="Times New Roman"/>
                      <w:bCs/>
                      <w:color w:val="auto"/>
                      <w:szCs w:val="21"/>
                      <w:highlight w:val="none"/>
                      <w:lang w:val="en-US" w:eastAsia="zh-CN"/>
                    </w:rPr>
                    <w:t>前处理烘干工序：前处理烘干通道密闭</w:t>
                  </w:r>
                  <w:r>
                    <w:rPr>
                      <w:rFonts w:hint="default" w:ascii="Times New Roman" w:hAnsi="Times New Roman" w:eastAsia="宋体" w:cs="Times New Roman"/>
                      <w:bCs/>
                      <w:color w:val="auto"/>
                      <w:szCs w:val="21"/>
                      <w:highlight w:val="none"/>
                      <w:lang w:val="en-US" w:eastAsia="zh-CN"/>
                    </w:rPr>
                    <w:t>+进出口处设置集气罩收集</w:t>
                  </w:r>
                  <w:r>
                    <w:rPr>
                      <w:rFonts w:hint="eastAsia" w:ascii="Times New Roman" w:hAnsi="Times New Roman" w:eastAsia="宋体" w:cs="Times New Roman"/>
                      <w:bCs/>
                      <w:color w:val="auto"/>
                      <w:szCs w:val="21"/>
                      <w:highlight w:val="none"/>
                      <w:lang w:val="en-US" w:eastAsia="zh-CN"/>
                    </w:rPr>
                    <w:t>；</w:t>
                  </w:r>
                </w:p>
                <w:p w14:paraId="0A26F0E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r>
                    <w:rPr>
                      <w:rFonts w:hint="eastAsia" w:ascii="Times New Roman" w:hAnsi="Times New Roman" w:eastAsia="宋体" w:cs="Times New Roman"/>
                      <w:bCs/>
                      <w:color w:val="auto"/>
                      <w:szCs w:val="21"/>
                      <w:highlight w:val="none"/>
                      <w:lang w:val="en-US" w:eastAsia="zh-CN"/>
                    </w:rPr>
                    <w:t>天然气燃烧设置低氮燃烧，以上废气分别收集后经</w:t>
                  </w:r>
                  <w:r>
                    <w:rPr>
                      <w:rFonts w:hint="default" w:ascii="Times New Roman" w:hAnsi="Times New Roman" w:eastAsia="宋体" w:cs="Times New Roman"/>
                      <w:bCs/>
                      <w:color w:val="auto"/>
                      <w:szCs w:val="21"/>
                      <w:highlight w:val="none"/>
                      <w:lang w:val="en-US" w:eastAsia="zh-CN"/>
                    </w:rPr>
                    <w:t>过滤棉+两级活性炭吸附装置处理后</w:t>
                  </w:r>
                  <w:r>
                    <w:rPr>
                      <w:rFonts w:hint="eastAsia" w:ascii="Times New Roman" w:hAnsi="Times New Roman" w:eastAsia="宋体" w:cs="Times New Roman"/>
                      <w:bCs/>
                      <w:color w:val="auto"/>
                      <w:szCs w:val="21"/>
                      <w:highlight w:val="none"/>
                      <w:lang w:val="en-US" w:eastAsia="zh-CN"/>
                    </w:rPr>
                    <w:t>一并</w:t>
                  </w:r>
                  <w:r>
                    <w:rPr>
                      <w:rFonts w:hint="default" w:ascii="Times New Roman" w:hAnsi="Times New Roman" w:eastAsia="宋体" w:cs="Times New Roman"/>
                      <w:bCs/>
                      <w:color w:val="auto"/>
                      <w:szCs w:val="21"/>
                      <w:highlight w:val="none"/>
                      <w:lang w:val="en-US" w:eastAsia="zh-CN"/>
                    </w:rPr>
                    <w:t>通过1根</w:t>
                  </w:r>
                  <w:r>
                    <w:rPr>
                      <w:rFonts w:hint="eastAsia" w:ascii="Times New Roman" w:hAnsi="Times New Roman" w:eastAsia="宋体" w:cs="Times New Roman"/>
                      <w:bCs/>
                      <w:color w:val="auto"/>
                      <w:szCs w:val="21"/>
                      <w:highlight w:val="none"/>
                      <w:lang w:val="en-US" w:eastAsia="zh-CN"/>
                    </w:rPr>
                    <w:t>15</w:t>
                  </w:r>
                  <w:r>
                    <w:rPr>
                      <w:rFonts w:hint="default" w:ascii="Times New Roman" w:hAnsi="Times New Roman" w:eastAsia="宋体" w:cs="Times New Roman"/>
                      <w:bCs/>
                      <w:color w:val="auto"/>
                      <w:szCs w:val="21"/>
                      <w:highlight w:val="none"/>
                      <w:lang w:val="en-US" w:eastAsia="zh-CN"/>
                    </w:rPr>
                    <w:t>m高的排气筒DA00</w:t>
                  </w:r>
                  <w:r>
                    <w:rPr>
                      <w:rFonts w:hint="eastAsia" w:ascii="Times New Roman" w:hAnsi="Times New Roman" w:eastAsia="宋体" w:cs="Times New Roman"/>
                      <w:bCs/>
                      <w:color w:val="auto"/>
                      <w:szCs w:val="21"/>
                      <w:highlight w:val="none"/>
                      <w:lang w:val="en-US" w:eastAsia="zh-CN"/>
                    </w:rPr>
                    <w:t>2</w:t>
                  </w:r>
                  <w:r>
                    <w:rPr>
                      <w:rFonts w:hint="default" w:ascii="Times New Roman" w:hAnsi="Times New Roman" w:eastAsia="宋体" w:cs="Times New Roman"/>
                      <w:bCs/>
                      <w:color w:val="auto"/>
                      <w:szCs w:val="21"/>
                      <w:highlight w:val="none"/>
                      <w:lang w:val="en-US" w:eastAsia="zh-CN"/>
                    </w:rPr>
                    <w:t>排放</w:t>
                  </w:r>
                </w:p>
              </w:tc>
              <w:tc>
                <w:tcPr>
                  <w:tcW w:w="4251" w:type="dxa"/>
                  <w:shd w:val="clear" w:color="auto" w:fill="auto"/>
                  <w:vAlign w:val="center"/>
                </w:tcPr>
                <w:p w14:paraId="52BA2CD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000000" w:themeColor="text1"/>
                      <w:kern w:val="0"/>
                      <w:sz w:val="21"/>
                      <w:szCs w:val="21"/>
                      <w14:textFill>
                        <w14:solidFill>
                          <w14:schemeClr w14:val="tx1"/>
                        </w14:solidFill>
                      </w14:textFill>
                    </w:rPr>
                    <w:t>《固定源挥发性有机物综合排放标准第6部分：其他行业》（DB34/4812.6-2024）表1</w:t>
                  </w:r>
                </w:p>
              </w:tc>
              <w:tc>
                <w:tcPr>
                  <w:tcW w:w="531" w:type="dxa"/>
                  <w:vMerge w:val="restart"/>
                  <w:vAlign w:val="center"/>
                </w:tcPr>
                <w:p w14:paraId="3066E8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40</w:t>
                  </w:r>
                </w:p>
              </w:tc>
              <w:tc>
                <w:tcPr>
                  <w:tcW w:w="637" w:type="dxa"/>
                  <w:vMerge w:val="continue"/>
                  <w:vAlign w:val="center"/>
                </w:tcPr>
                <w:p w14:paraId="18E5F9CA">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3F081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71EBFFD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1858" w:type="dxa"/>
                  <w:gridSpan w:val="2"/>
                  <w:vMerge w:val="continue"/>
                  <w:shd w:val="clear" w:color="auto" w:fill="auto"/>
                  <w:vAlign w:val="center"/>
                </w:tcPr>
                <w:p w14:paraId="5489BC01">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350" w:type="dxa"/>
                  <w:shd w:val="clear" w:color="auto" w:fill="auto"/>
                  <w:vAlign w:val="center"/>
                </w:tcPr>
                <w:p w14:paraId="76AAD17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kern w:val="0"/>
                      <w:szCs w:val="21"/>
                    </w:rPr>
                    <w:t>颗粒物</w:t>
                  </w:r>
                </w:p>
              </w:tc>
              <w:tc>
                <w:tcPr>
                  <w:tcW w:w="3566" w:type="dxa"/>
                  <w:vMerge w:val="continue"/>
                  <w:shd w:val="clear" w:color="auto" w:fill="auto"/>
                  <w:vAlign w:val="center"/>
                </w:tcPr>
                <w:p w14:paraId="4F6F72E0">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p>
              </w:tc>
              <w:tc>
                <w:tcPr>
                  <w:tcW w:w="4251" w:type="dxa"/>
                  <w:vMerge w:val="restart"/>
                  <w:shd w:val="clear" w:color="auto" w:fill="auto"/>
                  <w:vAlign w:val="center"/>
                </w:tcPr>
                <w:p w14:paraId="6EBF8952">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color w:val="auto"/>
                    </w:rPr>
                    <w:t>《工业炉窑大气污染综合治理方案》（环大气[2019]56号）排放限值</w:t>
                  </w:r>
                </w:p>
              </w:tc>
              <w:tc>
                <w:tcPr>
                  <w:tcW w:w="531" w:type="dxa"/>
                  <w:vMerge w:val="continue"/>
                  <w:vAlign w:val="center"/>
                </w:tcPr>
                <w:p w14:paraId="6447949E">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37" w:type="dxa"/>
                  <w:vMerge w:val="continue"/>
                  <w:vAlign w:val="center"/>
                </w:tcPr>
                <w:p w14:paraId="0B6553E1">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0AA14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5780D68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1858" w:type="dxa"/>
                  <w:gridSpan w:val="2"/>
                  <w:vMerge w:val="continue"/>
                  <w:shd w:val="clear" w:color="auto" w:fill="auto"/>
                  <w:vAlign w:val="center"/>
                </w:tcPr>
                <w:p w14:paraId="5FAF435A">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350" w:type="dxa"/>
                  <w:shd w:val="clear" w:color="auto" w:fill="auto"/>
                  <w:vAlign w:val="center"/>
                </w:tcPr>
                <w:p w14:paraId="560E13E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lang w:val="en-US" w:eastAsia="zh-CN" w:bidi="ar"/>
                    </w:rPr>
                  </w:pPr>
                  <w:r>
                    <w:rPr>
                      <w:rFonts w:hint="default" w:eastAsiaTheme="minorEastAsia"/>
                      <w:snapToGrid w:val="0"/>
                      <w:color w:val="auto"/>
                      <w:kern w:val="0"/>
                      <w:szCs w:val="21"/>
                    </w:rPr>
                    <w:t>SO</w:t>
                  </w:r>
                  <w:r>
                    <w:rPr>
                      <w:rFonts w:hint="default" w:eastAsiaTheme="minorEastAsia"/>
                      <w:snapToGrid w:val="0"/>
                      <w:color w:val="auto"/>
                      <w:kern w:val="0"/>
                      <w:szCs w:val="21"/>
                      <w:vertAlign w:val="subscript"/>
                    </w:rPr>
                    <w:t>2</w:t>
                  </w:r>
                </w:p>
              </w:tc>
              <w:tc>
                <w:tcPr>
                  <w:tcW w:w="3566" w:type="dxa"/>
                  <w:vMerge w:val="continue"/>
                  <w:shd w:val="clear" w:color="auto" w:fill="auto"/>
                  <w:vAlign w:val="center"/>
                </w:tcPr>
                <w:p w14:paraId="5B1658A4">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p>
              </w:tc>
              <w:tc>
                <w:tcPr>
                  <w:tcW w:w="4251" w:type="dxa"/>
                  <w:vMerge w:val="continue"/>
                  <w:shd w:val="clear" w:color="auto" w:fill="auto"/>
                  <w:vAlign w:val="center"/>
                </w:tcPr>
                <w:p w14:paraId="24EE239C">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531" w:type="dxa"/>
                  <w:vMerge w:val="continue"/>
                  <w:vAlign w:val="center"/>
                </w:tcPr>
                <w:p w14:paraId="499E5244">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37" w:type="dxa"/>
                  <w:vMerge w:val="continue"/>
                  <w:vAlign w:val="center"/>
                </w:tcPr>
                <w:p w14:paraId="79E0BD05">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2B179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7F38459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1858" w:type="dxa"/>
                  <w:gridSpan w:val="2"/>
                  <w:vMerge w:val="continue"/>
                  <w:shd w:val="clear" w:color="auto" w:fill="auto"/>
                  <w:vAlign w:val="center"/>
                </w:tcPr>
                <w:p w14:paraId="2A449DFC">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350" w:type="dxa"/>
                  <w:shd w:val="clear" w:color="auto" w:fill="auto"/>
                  <w:vAlign w:val="center"/>
                </w:tcPr>
                <w:p w14:paraId="384E9CC6">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lang w:val="en-US" w:eastAsia="zh-CN" w:bidi="ar"/>
                    </w:rPr>
                  </w:pPr>
                  <w:r>
                    <w:rPr>
                      <w:rFonts w:hint="default" w:eastAsiaTheme="minorEastAsia"/>
                      <w:snapToGrid w:val="0"/>
                      <w:color w:val="auto"/>
                      <w:kern w:val="0"/>
                      <w:szCs w:val="21"/>
                    </w:rPr>
                    <w:t>NOx</w:t>
                  </w:r>
                </w:p>
              </w:tc>
              <w:tc>
                <w:tcPr>
                  <w:tcW w:w="3566" w:type="dxa"/>
                  <w:vMerge w:val="continue"/>
                  <w:shd w:val="clear" w:color="auto" w:fill="auto"/>
                  <w:vAlign w:val="center"/>
                </w:tcPr>
                <w:p w14:paraId="7D7FA2D1">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p>
              </w:tc>
              <w:tc>
                <w:tcPr>
                  <w:tcW w:w="4251" w:type="dxa"/>
                  <w:vMerge w:val="continue"/>
                  <w:shd w:val="clear" w:color="auto" w:fill="auto"/>
                  <w:vAlign w:val="center"/>
                </w:tcPr>
                <w:p w14:paraId="3563F5AA">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p>
              </w:tc>
              <w:tc>
                <w:tcPr>
                  <w:tcW w:w="531" w:type="dxa"/>
                  <w:vMerge w:val="continue"/>
                  <w:vAlign w:val="center"/>
                </w:tcPr>
                <w:p w14:paraId="2CDEAB2C">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37" w:type="dxa"/>
                  <w:vMerge w:val="continue"/>
                  <w:vAlign w:val="center"/>
                </w:tcPr>
                <w:p w14:paraId="23347A54">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7B250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5580DA2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1858" w:type="dxa"/>
                  <w:gridSpan w:val="2"/>
                  <w:vMerge w:val="restart"/>
                  <w:shd w:val="clear" w:color="auto" w:fill="auto"/>
                  <w:vAlign w:val="center"/>
                </w:tcPr>
                <w:p w14:paraId="72CA4C70">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r>
                    <w:rPr>
                      <w:rFonts w:hint="default"/>
                      <w:color w:val="auto"/>
                      <w:szCs w:val="21"/>
                    </w:rPr>
                    <w:t>废气排放口（DA00</w:t>
                  </w:r>
                  <w:r>
                    <w:rPr>
                      <w:rFonts w:hint="eastAsia"/>
                      <w:color w:val="auto"/>
                      <w:szCs w:val="21"/>
                      <w:lang w:val="en-US" w:eastAsia="zh-CN"/>
                    </w:rPr>
                    <w:t>3</w:t>
                  </w:r>
                  <w:r>
                    <w:rPr>
                      <w:rFonts w:hint="default"/>
                      <w:color w:val="auto"/>
                      <w:szCs w:val="21"/>
                    </w:rPr>
                    <w:t>）</w:t>
                  </w:r>
                </w:p>
              </w:tc>
              <w:tc>
                <w:tcPr>
                  <w:tcW w:w="1350" w:type="dxa"/>
                  <w:shd w:val="clear" w:color="auto" w:fill="auto"/>
                  <w:vAlign w:val="center"/>
                </w:tcPr>
                <w:p w14:paraId="06B2A8B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rPr>
                  </w:pPr>
                  <w:r>
                    <w:rPr>
                      <w:rFonts w:hint="default"/>
                      <w:color w:val="auto"/>
                      <w:szCs w:val="21"/>
                    </w:rPr>
                    <w:t>非甲烷总烃</w:t>
                  </w:r>
                </w:p>
              </w:tc>
              <w:tc>
                <w:tcPr>
                  <w:tcW w:w="3566" w:type="dxa"/>
                  <w:vMerge w:val="restart"/>
                  <w:shd w:val="clear" w:color="auto" w:fill="auto"/>
                  <w:vAlign w:val="center"/>
                </w:tcPr>
                <w:p w14:paraId="0155C9C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r>
                    <w:rPr>
                      <w:rFonts w:hint="default"/>
                      <w:color w:val="auto"/>
                      <w:szCs w:val="21"/>
                      <w:highlight w:val="none"/>
                    </w:rPr>
                    <w:t>调漆间、喷漆房密闭，负压抽风收集</w:t>
                  </w:r>
                  <w:r>
                    <w:rPr>
                      <w:rFonts w:hint="eastAsia"/>
                      <w:color w:val="auto"/>
                      <w:szCs w:val="21"/>
                      <w:highlight w:val="none"/>
                      <w:lang w:val="en-US" w:eastAsia="zh-CN"/>
                    </w:rPr>
                    <w:t>+水帘柜+干式过滤+</w:t>
                  </w:r>
                  <w:r>
                    <w:rPr>
                      <w:rFonts w:hint="default" w:ascii="Times New Roman" w:hAnsi="Times New Roman" w:cs="Times New Roman"/>
                      <w:color w:val="000000"/>
                      <w:szCs w:val="21"/>
                    </w:rPr>
                    <w:t>两级活性炭吸附装置处理后通过1根</w:t>
                  </w:r>
                  <w:r>
                    <w:rPr>
                      <w:rFonts w:hint="eastAsia" w:ascii="Times New Roman" w:hAnsi="Times New Roman" w:cs="Times New Roman"/>
                      <w:color w:val="000000"/>
                      <w:szCs w:val="21"/>
                    </w:rPr>
                    <w:t>15</w:t>
                  </w:r>
                  <w:r>
                    <w:rPr>
                      <w:rFonts w:hint="default" w:ascii="Times New Roman" w:hAnsi="Times New Roman" w:cs="Times New Roman"/>
                      <w:color w:val="000000"/>
                      <w:szCs w:val="21"/>
                    </w:rPr>
                    <w:t>m高的排气筒DA00</w:t>
                  </w:r>
                  <w:r>
                    <w:rPr>
                      <w:rFonts w:hint="eastAsia" w:ascii="Times New Roman" w:hAnsi="Times New Roman" w:cs="Times New Roman"/>
                      <w:color w:val="000000"/>
                      <w:szCs w:val="21"/>
                    </w:rPr>
                    <w:t>3</w:t>
                  </w:r>
                  <w:r>
                    <w:rPr>
                      <w:rFonts w:hint="default" w:ascii="Times New Roman" w:hAnsi="Times New Roman" w:cs="Times New Roman"/>
                      <w:color w:val="000000"/>
                      <w:szCs w:val="21"/>
                    </w:rPr>
                    <w:t>排放</w:t>
                  </w:r>
                </w:p>
              </w:tc>
              <w:tc>
                <w:tcPr>
                  <w:tcW w:w="4251" w:type="dxa"/>
                  <w:shd w:val="clear" w:color="auto" w:fill="auto"/>
                  <w:vAlign w:val="center"/>
                </w:tcPr>
                <w:p w14:paraId="6ADAF4E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000000" w:themeColor="text1"/>
                      <w:kern w:val="0"/>
                      <w:sz w:val="21"/>
                      <w:szCs w:val="21"/>
                      <w14:textFill>
                        <w14:solidFill>
                          <w14:schemeClr w14:val="tx1"/>
                        </w14:solidFill>
                      </w14:textFill>
                    </w:rPr>
                    <w:t>《固定源挥发性有机物综合排放标准第6部分：其他行业》（DB34/4812.6-2024）表1</w:t>
                  </w:r>
                </w:p>
              </w:tc>
              <w:tc>
                <w:tcPr>
                  <w:tcW w:w="531" w:type="dxa"/>
                  <w:vMerge w:val="restart"/>
                  <w:vAlign w:val="center"/>
                </w:tcPr>
                <w:p w14:paraId="6BDD74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20</w:t>
                  </w:r>
                </w:p>
              </w:tc>
              <w:tc>
                <w:tcPr>
                  <w:tcW w:w="637" w:type="dxa"/>
                  <w:vMerge w:val="continue"/>
                  <w:vAlign w:val="center"/>
                </w:tcPr>
                <w:p w14:paraId="17BCF347">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4E7D3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7A657DF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1858" w:type="dxa"/>
                  <w:gridSpan w:val="2"/>
                  <w:vMerge w:val="continue"/>
                  <w:shd w:val="clear" w:color="auto" w:fill="auto"/>
                  <w:vAlign w:val="center"/>
                </w:tcPr>
                <w:p w14:paraId="7AB3F4EF">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350" w:type="dxa"/>
                  <w:shd w:val="clear" w:color="auto" w:fill="auto"/>
                  <w:vAlign w:val="center"/>
                </w:tcPr>
                <w:p w14:paraId="02972E7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rPr>
                  </w:pPr>
                  <w:r>
                    <w:rPr>
                      <w:rFonts w:hint="default"/>
                      <w:color w:val="auto"/>
                      <w:kern w:val="0"/>
                      <w:szCs w:val="21"/>
                      <w:lang w:bidi="ar"/>
                    </w:rPr>
                    <w:t>颗粒物</w:t>
                  </w:r>
                </w:p>
              </w:tc>
              <w:tc>
                <w:tcPr>
                  <w:tcW w:w="3566" w:type="dxa"/>
                  <w:vMerge w:val="continue"/>
                  <w:shd w:val="clear" w:color="auto" w:fill="auto"/>
                  <w:vAlign w:val="center"/>
                </w:tcPr>
                <w:p w14:paraId="00081F19">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p>
              </w:tc>
              <w:tc>
                <w:tcPr>
                  <w:tcW w:w="4251" w:type="dxa"/>
                  <w:shd w:val="clear" w:color="auto" w:fill="auto"/>
                  <w:vAlign w:val="center"/>
                </w:tcPr>
                <w:p w14:paraId="7A2A5B0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《大气污染物综合排放标准》（GB 16297-1996）表2</w:t>
                  </w:r>
                </w:p>
              </w:tc>
              <w:tc>
                <w:tcPr>
                  <w:tcW w:w="531" w:type="dxa"/>
                  <w:vMerge w:val="continue"/>
                  <w:vAlign w:val="center"/>
                </w:tcPr>
                <w:p w14:paraId="4553E6B0">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37" w:type="dxa"/>
                  <w:vMerge w:val="continue"/>
                  <w:vAlign w:val="center"/>
                </w:tcPr>
                <w:p w14:paraId="74C63DF9">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7CF91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2C28D9E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1858" w:type="dxa"/>
                  <w:gridSpan w:val="2"/>
                  <w:shd w:val="clear" w:color="auto" w:fill="auto"/>
                  <w:vAlign w:val="center"/>
                </w:tcPr>
                <w:p w14:paraId="29F67586">
                  <w:pPr>
                    <w:keepNext w:val="0"/>
                    <w:keepLines w:val="0"/>
                    <w:widowControl/>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kern w:val="0"/>
                      <w:szCs w:val="21"/>
                      <w:lang w:bidi="ar"/>
                      <w14:textFill>
                        <w14:solidFill>
                          <w14:schemeClr w14:val="tx1"/>
                        </w14:solidFill>
                      </w14:textFill>
                    </w:rPr>
                    <w:t>喷粉</w:t>
                  </w:r>
                  <w:r>
                    <w:rPr>
                      <w:rFonts w:hint="eastAsia" w:ascii="Times New Roman" w:hAnsi="Times New Roman" w:cs="Times New Roman"/>
                      <w:color w:val="000000" w:themeColor="text1"/>
                      <w:kern w:val="0"/>
                      <w:szCs w:val="21"/>
                      <w:lang w:val="en-US" w:eastAsia="zh-CN" w:bidi="ar"/>
                      <w14:textFill>
                        <w14:solidFill>
                          <w14:schemeClr w14:val="tx1"/>
                        </w14:solidFill>
                      </w14:textFill>
                    </w:rPr>
                    <w:t>粉尘</w:t>
                  </w:r>
                  <w:r>
                    <w:rPr>
                      <w:rFonts w:hint="default"/>
                      <w:color w:val="auto"/>
                      <w:szCs w:val="21"/>
                    </w:rPr>
                    <w:t>排放口</w:t>
                  </w:r>
                </w:p>
                <w:p w14:paraId="3E090DB4">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color w:val="auto"/>
                      <w:szCs w:val="21"/>
                    </w:rPr>
                    <w:t>（DA00</w:t>
                  </w:r>
                  <w:r>
                    <w:rPr>
                      <w:rFonts w:hint="eastAsia"/>
                      <w:color w:val="auto"/>
                      <w:szCs w:val="21"/>
                      <w:lang w:val="en-US" w:eastAsia="zh-CN"/>
                    </w:rPr>
                    <w:t>4</w:t>
                  </w:r>
                  <w:r>
                    <w:rPr>
                      <w:rFonts w:hint="default"/>
                      <w:color w:val="auto"/>
                      <w:szCs w:val="21"/>
                    </w:rPr>
                    <w:t>）</w:t>
                  </w:r>
                </w:p>
              </w:tc>
              <w:tc>
                <w:tcPr>
                  <w:tcW w:w="1350" w:type="dxa"/>
                  <w:shd w:val="clear" w:color="auto" w:fill="auto"/>
                  <w:vAlign w:val="center"/>
                </w:tcPr>
                <w:p w14:paraId="2AABA14A">
                  <w:pPr>
                    <w:keepNext w:val="0"/>
                    <w:keepLines w:val="0"/>
                    <w:widowControl/>
                    <w:suppressLineNumbers w:val="0"/>
                    <w:spacing w:before="0" w:beforeAutospacing="0" w:after="0" w:afterAutospacing="0"/>
                    <w:ind w:left="0" w:right="0"/>
                    <w:jc w:val="center"/>
                    <w:textAlignment w:val="center"/>
                    <w:rPr>
                      <w:rFonts w:hint="default"/>
                      <w:color w:val="auto"/>
                      <w:kern w:val="0"/>
                      <w:szCs w:val="21"/>
                      <w:lang w:bidi="ar"/>
                    </w:rPr>
                  </w:pPr>
                  <w:r>
                    <w:rPr>
                      <w:rFonts w:hint="default"/>
                      <w:color w:val="auto"/>
                      <w:kern w:val="0"/>
                      <w:szCs w:val="21"/>
                      <w:lang w:bidi="ar"/>
                    </w:rPr>
                    <w:t>颗粒物</w:t>
                  </w:r>
                </w:p>
              </w:tc>
              <w:tc>
                <w:tcPr>
                  <w:tcW w:w="3566" w:type="dxa"/>
                  <w:shd w:val="clear" w:color="auto" w:fill="auto"/>
                  <w:vAlign w:val="center"/>
                </w:tcPr>
                <w:p w14:paraId="6112BB1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bCs/>
                      <w:color w:val="auto"/>
                      <w:szCs w:val="21"/>
                      <w:highlight w:val="none"/>
                      <w:lang w:val="en-US" w:eastAsia="zh-CN"/>
                    </w:rPr>
                    <w:t>喷粉房密闭负压收集后+滤筒+脉冲布袋除尘器处理后通过1根</w:t>
                  </w:r>
                  <w:r>
                    <w:rPr>
                      <w:rFonts w:hint="eastAsia" w:ascii="Times New Roman" w:hAnsi="Times New Roman" w:eastAsia="宋体" w:cs="Times New Roman"/>
                      <w:bCs/>
                      <w:color w:val="auto"/>
                      <w:szCs w:val="21"/>
                      <w:highlight w:val="none"/>
                      <w:lang w:val="en-US" w:eastAsia="zh-CN"/>
                    </w:rPr>
                    <w:t>15</w:t>
                  </w:r>
                  <w:r>
                    <w:rPr>
                      <w:rFonts w:hint="default" w:ascii="Times New Roman" w:hAnsi="Times New Roman" w:eastAsia="宋体" w:cs="Times New Roman"/>
                      <w:bCs/>
                      <w:color w:val="auto"/>
                      <w:szCs w:val="21"/>
                      <w:highlight w:val="none"/>
                      <w:lang w:val="en-US" w:eastAsia="zh-CN"/>
                    </w:rPr>
                    <w:t>m高的排气筒DA00</w:t>
                  </w:r>
                  <w:r>
                    <w:rPr>
                      <w:rFonts w:hint="eastAsia" w:ascii="Times New Roman" w:hAnsi="Times New Roman" w:eastAsia="宋体" w:cs="Times New Roman"/>
                      <w:bCs/>
                      <w:color w:val="auto"/>
                      <w:szCs w:val="21"/>
                      <w:highlight w:val="none"/>
                      <w:lang w:val="en-US" w:eastAsia="zh-CN"/>
                    </w:rPr>
                    <w:t>4</w:t>
                  </w:r>
                  <w:r>
                    <w:rPr>
                      <w:rFonts w:hint="default" w:ascii="Times New Roman" w:hAnsi="Times New Roman" w:eastAsia="宋体" w:cs="Times New Roman"/>
                      <w:bCs/>
                      <w:color w:val="auto"/>
                      <w:szCs w:val="21"/>
                      <w:highlight w:val="none"/>
                      <w:lang w:val="en-US" w:eastAsia="zh-CN"/>
                    </w:rPr>
                    <w:t>排放</w:t>
                  </w:r>
                </w:p>
              </w:tc>
              <w:tc>
                <w:tcPr>
                  <w:tcW w:w="4251" w:type="dxa"/>
                  <w:shd w:val="clear" w:color="auto" w:fill="auto"/>
                  <w:vAlign w:val="center"/>
                </w:tcPr>
                <w:p w14:paraId="46C893D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color w:val="auto"/>
                      <w:kern w:val="0"/>
                      <w:szCs w:val="21"/>
                    </w:rPr>
                    <w:t>《大气污染物综合排放标准》（GB 16297-1996）表2</w:t>
                  </w:r>
                </w:p>
              </w:tc>
              <w:tc>
                <w:tcPr>
                  <w:tcW w:w="531" w:type="dxa"/>
                  <w:vAlign w:val="center"/>
                </w:tcPr>
                <w:p w14:paraId="1E3C345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20</w:t>
                  </w:r>
                </w:p>
              </w:tc>
              <w:tc>
                <w:tcPr>
                  <w:tcW w:w="637" w:type="dxa"/>
                  <w:vMerge w:val="continue"/>
                  <w:vAlign w:val="center"/>
                </w:tcPr>
                <w:p w14:paraId="46FE7973">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553FF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46DBD6D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481" w:type="dxa"/>
                  <w:vMerge w:val="restart"/>
                  <w:shd w:val="clear" w:color="auto" w:fill="auto"/>
                  <w:vAlign w:val="center"/>
                </w:tcPr>
                <w:p w14:paraId="178CC9D5">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r>
                    <w:rPr>
                      <w:rFonts w:hint="default" w:ascii="Times New Roman" w:hAnsi="Times New Roman" w:cs="Times New Roman"/>
                      <w:color w:val="auto"/>
                      <w:kern w:val="1"/>
                      <w:szCs w:val="21"/>
                      <w:highlight w:val="none"/>
                    </w:rPr>
                    <w:t>无组织</w:t>
                  </w:r>
                </w:p>
              </w:tc>
              <w:tc>
                <w:tcPr>
                  <w:tcW w:w="1377" w:type="dxa"/>
                  <w:vMerge w:val="restart"/>
                  <w:shd w:val="clear" w:color="auto" w:fill="auto"/>
                  <w:vAlign w:val="center"/>
                </w:tcPr>
                <w:p w14:paraId="56D26CDF">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生产</w:t>
                  </w:r>
                </w:p>
                <w:p w14:paraId="6FB9D89D">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车间</w:t>
                  </w:r>
                </w:p>
              </w:tc>
              <w:tc>
                <w:tcPr>
                  <w:tcW w:w="1350" w:type="dxa"/>
                  <w:shd w:val="clear" w:color="auto" w:fill="auto"/>
                  <w:vAlign w:val="center"/>
                </w:tcPr>
                <w:p w14:paraId="38336E0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lang w:bidi="ar"/>
                    </w:rPr>
                    <w:t>非甲烷总烃</w:t>
                  </w:r>
                </w:p>
              </w:tc>
              <w:tc>
                <w:tcPr>
                  <w:tcW w:w="3566" w:type="dxa"/>
                  <w:vMerge w:val="restart"/>
                  <w:shd w:val="clear" w:color="auto" w:fill="auto"/>
                  <w:vAlign w:val="center"/>
                </w:tcPr>
                <w:p w14:paraId="0A932C4C">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bCs/>
                      <w:color w:val="auto"/>
                      <w:szCs w:val="18"/>
                      <w:highlight w:val="none"/>
                    </w:rPr>
                    <w:t>提高废气收集效率，减少无组织排放，强化车间通风</w:t>
                  </w:r>
                </w:p>
              </w:tc>
              <w:tc>
                <w:tcPr>
                  <w:tcW w:w="4251" w:type="dxa"/>
                  <w:vMerge w:val="restart"/>
                  <w:vAlign w:val="center"/>
                </w:tcPr>
                <w:p w14:paraId="3B328E7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color w:val="auto"/>
                      <w:kern w:val="0"/>
                      <w:szCs w:val="21"/>
                    </w:rPr>
                    <w:t>《大气污染物综合排放标准》（GB 16297-1996）表2</w:t>
                  </w:r>
                </w:p>
              </w:tc>
              <w:tc>
                <w:tcPr>
                  <w:tcW w:w="531" w:type="dxa"/>
                  <w:vMerge w:val="restart"/>
                  <w:vAlign w:val="center"/>
                </w:tcPr>
                <w:p w14:paraId="6F9A353C">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0</w:t>
                  </w:r>
                </w:p>
              </w:tc>
              <w:tc>
                <w:tcPr>
                  <w:tcW w:w="637" w:type="dxa"/>
                  <w:vMerge w:val="continue"/>
                  <w:vAlign w:val="center"/>
                </w:tcPr>
                <w:p w14:paraId="1FA03990">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6ED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1F85094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18"/>
                      <w:highlight w:val="none"/>
                      <w:lang w:val="zh-CN"/>
                    </w:rPr>
                  </w:pPr>
                </w:p>
              </w:tc>
              <w:tc>
                <w:tcPr>
                  <w:tcW w:w="481" w:type="dxa"/>
                  <w:vMerge w:val="continue"/>
                  <w:shd w:val="clear" w:color="auto" w:fill="auto"/>
                  <w:vAlign w:val="center"/>
                </w:tcPr>
                <w:p w14:paraId="7222E0B8">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377" w:type="dxa"/>
                  <w:vMerge w:val="continue"/>
                  <w:shd w:val="clear" w:color="auto" w:fill="auto"/>
                  <w:vAlign w:val="center"/>
                </w:tcPr>
                <w:p w14:paraId="356A85A1">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350" w:type="dxa"/>
                  <w:shd w:val="clear" w:color="auto" w:fill="auto"/>
                  <w:vAlign w:val="center"/>
                </w:tcPr>
                <w:p w14:paraId="568F207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rPr>
                    <w:t>颗粒物</w:t>
                  </w:r>
                </w:p>
              </w:tc>
              <w:tc>
                <w:tcPr>
                  <w:tcW w:w="3566" w:type="dxa"/>
                  <w:vMerge w:val="continue"/>
                  <w:shd w:val="clear" w:color="auto" w:fill="auto"/>
                  <w:vAlign w:val="center"/>
                </w:tcPr>
                <w:p w14:paraId="0D07E69C">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251" w:type="dxa"/>
                  <w:vMerge w:val="continue"/>
                  <w:shd w:val="clear" w:color="auto" w:fill="auto"/>
                  <w:vAlign w:val="center"/>
                </w:tcPr>
                <w:p w14:paraId="08707D8F">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rPr>
                  </w:pPr>
                </w:p>
              </w:tc>
              <w:tc>
                <w:tcPr>
                  <w:tcW w:w="531" w:type="dxa"/>
                  <w:vMerge w:val="continue"/>
                  <w:vAlign w:val="center"/>
                </w:tcPr>
                <w:p w14:paraId="324CCC39">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37" w:type="dxa"/>
                  <w:vMerge w:val="continue"/>
                  <w:vAlign w:val="center"/>
                </w:tcPr>
                <w:p w14:paraId="3CC29B22">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1912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2F3DE38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18"/>
                      <w:highlight w:val="none"/>
                      <w:lang w:val="zh-CN"/>
                    </w:rPr>
                  </w:pPr>
                </w:p>
              </w:tc>
              <w:tc>
                <w:tcPr>
                  <w:tcW w:w="481" w:type="dxa"/>
                  <w:vMerge w:val="continue"/>
                  <w:vAlign w:val="center"/>
                </w:tcPr>
                <w:p w14:paraId="27EEBD0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377" w:type="dxa"/>
                  <w:shd w:val="clear" w:color="auto" w:fill="auto"/>
                  <w:vAlign w:val="center"/>
                </w:tcPr>
                <w:p w14:paraId="7FACD069">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厂区内</w:t>
                  </w:r>
                </w:p>
              </w:tc>
              <w:tc>
                <w:tcPr>
                  <w:tcW w:w="1350" w:type="dxa"/>
                  <w:shd w:val="clear" w:color="auto" w:fill="auto"/>
                  <w:vAlign w:val="center"/>
                </w:tcPr>
                <w:p w14:paraId="06AC878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非甲烷总烃</w:t>
                  </w:r>
                </w:p>
              </w:tc>
              <w:tc>
                <w:tcPr>
                  <w:tcW w:w="3566" w:type="dxa"/>
                  <w:vMerge w:val="continue"/>
                  <w:vAlign w:val="center"/>
                </w:tcPr>
                <w:p w14:paraId="74DF2B53">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18"/>
                      <w:highlight w:val="none"/>
                    </w:rPr>
                  </w:pPr>
                </w:p>
              </w:tc>
              <w:tc>
                <w:tcPr>
                  <w:tcW w:w="4251" w:type="dxa"/>
                  <w:shd w:val="clear" w:color="auto" w:fill="auto"/>
                  <w:vAlign w:val="center"/>
                </w:tcPr>
                <w:p w14:paraId="70F60444">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rPr>
                  </w:pPr>
                  <w:r>
                    <w:rPr>
                      <w:rFonts w:hint="default"/>
                      <w:color w:val="auto"/>
                      <w:szCs w:val="21"/>
                    </w:rPr>
                    <w:t>《固定源挥发性有机物综合排放标准第6部分：其他行业》（DB34/4812.6-2024）表4</w:t>
                  </w:r>
                </w:p>
              </w:tc>
              <w:tc>
                <w:tcPr>
                  <w:tcW w:w="531" w:type="dxa"/>
                  <w:vMerge w:val="continue"/>
                  <w:vAlign w:val="center"/>
                </w:tcPr>
                <w:p w14:paraId="17F4437A">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637" w:type="dxa"/>
                  <w:vMerge w:val="continue"/>
                  <w:vAlign w:val="center"/>
                </w:tcPr>
                <w:p w14:paraId="58A56DF8">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r>
            <w:tr w14:paraId="3094C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38" w:type="dxa"/>
                  <w:vMerge w:val="restart"/>
                  <w:vAlign w:val="center"/>
                </w:tcPr>
                <w:p w14:paraId="570C558D">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废水</w:t>
                  </w:r>
                </w:p>
                <w:p w14:paraId="0AE550D6">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治理</w:t>
                  </w:r>
                </w:p>
              </w:tc>
              <w:tc>
                <w:tcPr>
                  <w:tcW w:w="3208" w:type="dxa"/>
                  <w:gridSpan w:val="3"/>
                  <w:shd w:val="clear" w:color="auto" w:fill="auto"/>
                  <w:vAlign w:val="center"/>
                </w:tcPr>
                <w:p w14:paraId="412C398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生活污水</w:t>
                  </w:r>
                </w:p>
              </w:tc>
              <w:tc>
                <w:tcPr>
                  <w:tcW w:w="3566" w:type="dxa"/>
                  <w:shd w:val="clear" w:color="auto" w:fill="auto"/>
                  <w:vAlign w:val="center"/>
                </w:tcPr>
                <w:p w14:paraId="6D48E334">
                  <w:pPr>
                    <w:keepNext w:val="0"/>
                    <w:keepLines w:val="0"/>
                    <w:suppressLineNumbers w:val="0"/>
                    <w:spacing w:before="0" w:beforeAutospacing="0" w:after="0" w:afterAutospacing="0"/>
                    <w:ind w:left="0" w:right="0"/>
                    <w:jc w:val="center"/>
                    <w:outlineLvl w:val="0"/>
                    <w:rPr>
                      <w:rFonts w:hint="eastAsia" w:ascii="Times New Roman" w:hAnsi="Times New Roman" w:eastAsia="宋体" w:cs="Times New Roman"/>
                      <w:color w:val="auto"/>
                      <w:szCs w:val="21"/>
                      <w:highlight w:val="none"/>
                      <w:lang w:val="zh-CN" w:eastAsia="zh-CN"/>
                    </w:rPr>
                  </w:pPr>
                  <w:r>
                    <w:rPr>
                      <w:rFonts w:hint="default" w:ascii="Times New Roman" w:hAnsi="Times New Roman" w:cs="Times New Roman"/>
                      <w:color w:val="auto"/>
                      <w:szCs w:val="21"/>
                      <w:highlight w:val="none"/>
                    </w:rPr>
                    <w:t>化粪池</w:t>
                  </w:r>
                </w:p>
              </w:tc>
              <w:tc>
                <w:tcPr>
                  <w:tcW w:w="4251" w:type="dxa"/>
                  <w:vMerge w:val="restart"/>
                  <w:tcBorders>
                    <w:top w:val="single" w:color="auto" w:sz="4" w:space="0"/>
                    <w:right w:val="single" w:color="auto" w:sz="4" w:space="0"/>
                  </w:tcBorders>
                  <w:vAlign w:val="center"/>
                </w:tcPr>
                <w:p w14:paraId="0C679908">
                  <w:pPr>
                    <w:keepNext w:val="0"/>
                    <w:keepLines w:val="0"/>
                    <w:suppressLineNumbers w:val="0"/>
                    <w:spacing w:before="0" w:beforeAutospacing="0" w:after="0" w:afterAutospacing="0"/>
                    <w:ind w:left="0" w:right="0"/>
                    <w:jc w:val="center"/>
                    <w:outlineLvl w:val="0"/>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kern w:val="0"/>
                      <w:szCs w:val="21"/>
                      <w:highlight w:val="none"/>
                      <w:lang w:eastAsia="zh-CN" w:bidi="ar"/>
                    </w:rPr>
                    <w:t>《污水综合排放标准》（GB8978-1996）表4中三级标准</w:t>
                  </w:r>
                </w:p>
              </w:tc>
              <w:tc>
                <w:tcPr>
                  <w:tcW w:w="531" w:type="dxa"/>
                  <w:tcBorders>
                    <w:left w:val="single" w:color="auto" w:sz="4" w:space="0"/>
                  </w:tcBorders>
                  <w:vAlign w:val="center"/>
                </w:tcPr>
                <w:p w14:paraId="32876516">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637" w:type="dxa"/>
                  <w:vMerge w:val="continue"/>
                  <w:vAlign w:val="center"/>
                </w:tcPr>
                <w:p w14:paraId="5EE5A9CB">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6F689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9" w:hRule="atLeast"/>
                <w:jc w:val="center"/>
              </w:trPr>
              <w:tc>
                <w:tcPr>
                  <w:tcW w:w="638" w:type="dxa"/>
                  <w:vMerge w:val="continue"/>
                  <w:vAlign w:val="center"/>
                </w:tcPr>
                <w:p w14:paraId="37C5021F">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3208" w:type="dxa"/>
                  <w:gridSpan w:val="3"/>
                  <w:shd w:val="clear" w:color="auto" w:fill="auto"/>
                  <w:vAlign w:val="center"/>
                </w:tcPr>
                <w:p w14:paraId="471BD2C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磁力研磨</w:t>
                  </w:r>
                  <w:r>
                    <w:rPr>
                      <w:rFonts w:hint="eastAsia" w:ascii="Times New Roman" w:hAnsi="Times New Roman" w:eastAsia="宋体" w:cs="Times New Roman"/>
                      <w:color w:val="000000"/>
                      <w:szCs w:val="21"/>
                      <w:lang w:val="en-US" w:eastAsia="zh-CN"/>
                    </w:rPr>
                    <w:t>、</w:t>
                  </w:r>
                  <w:r>
                    <w:rPr>
                      <w:rFonts w:hint="eastAsia" w:cs="Times New Roman"/>
                      <w:bCs/>
                      <w:color w:val="auto"/>
                      <w:szCs w:val="21"/>
                      <w:highlight w:val="none"/>
                      <w:lang w:val="en-US" w:eastAsia="zh-CN"/>
                    </w:rPr>
                    <w:t>超声波清洗</w:t>
                  </w:r>
                  <w:r>
                    <w:rPr>
                      <w:rFonts w:hint="eastAsia" w:ascii="Times New Roman" w:hAnsi="Times New Roman" w:eastAsia="宋体" w:cs="Times New Roman"/>
                      <w:color w:val="000000"/>
                      <w:szCs w:val="21"/>
                      <w:lang w:val="en-US" w:eastAsia="zh-CN"/>
                    </w:rPr>
                    <w:t>、</w:t>
                  </w:r>
                </w:p>
                <w:p w14:paraId="43741C9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default"/>
                      <w:bCs/>
                      <w:color w:val="auto"/>
                      <w:szCs w:val="21"/>
                    </w:rPr>
                    <w:t>预脱脂、主脱脂</w:t>
                  </w:r>
                  <w:r>
                    <w:rPr>
                      <w:rFonts w:hint="eastAsia" w:ascii="Times New Roman" w:hAnsi="Times New Roman" w:eastAsia="宋体" w:cs="Times New Roman"/>
                      <w:color w:val="000000"/>
                      <w:szCs w:val="21"/>
                      <w:lang w:val="en-US" w:eastAsia="zh-CN"/>
                    </w:rPr>
                    <w:t>、</w:t>
                  </w:r>
                  <w:r>
                    <w:rPr>
                      <w:rFonts w:hint="default"/>
                      <w:bCs/>
                      <w:color w:val="auto"/>
                      <w:szCs w:val="21"/>
                    </w:rPr>
                    <w:t>脱脂后水洗</w:t>
                  </w:r>
                  <w:r>
                    <w:rPr>
                      <w:rFonts w:hint="eastAsia" w:ascii="Times New Roman" w:hAnsi="Times New Roman" w:eastAsia="宋体" w:cs="Times New Roman"/>
                      <w:color w:val="000000"/>
                      <w:szCs w:val="21"/>
                      <w:lang w:val="en-US" w:eastAsia="zh-CN"/>
                    </w:rPr>
                    <w:t>、</w:t>
                  </w:r>
                </w:p>
                <w:p w14:paraId="6E1A52C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0"/>
                      <w:lang w:val="en-US" w:eastAsia="zh-CN" w:bidi="ar-SA"/>
                      <w14:textFill>
                        <w14:solidFill>
                          <w14:schemeClr w14:val="tx1"/>
                        </w14:solidFill>
                      </w14:textFill>
                    </w:rPr>
                  </w:pPr>
                  <w:r>
                    <w:rPr>
                      <w:rFonts w:hint="default"/>
                      <w:bCs/>
                      <w:color w:val="auto"/>
                      <w:szCs w:val="21"/>
                    </w:rPr>
                    <w:t>硅烷化</w:t>
                  </w:r>
                  <w:r>
                    <w:rPr>
                      <w:rFonts w:hint="eastAsia" w:ascii="Times New Roman" w:hAnsi="Times New Roman" w:eastAsia="宋体" w:cs="Times New Roman"/>
                      <w:color w:val="000000"/>
                      <w:szCs w:val="21"/>
                      <w:lang w:val="en-US" w:eastAsia="zh-CN"/>
                    </w:rPr>
                    <w:t>、</w:t>
                  </w:r>
                  <w:r>
                    <w:rPr>
                      <w:rStyle w:val="75"/>
                      <w:rFonts w:hint="eastAsia"/>
                      <w:color w:val="000000" w:themeColor="text1"/>
                      <w:kern w:val="0"/>
                      <w:szCs w:val="20"/>
                      <w:lang w:val="en-US" w:eastAsia="zh-CN"/>
                      <w14:textFill>
                        <w14:solidFill>
                          <w14:schemeClr w14:val="tx1"/>
                        </w14:solidFill>
                      </w14:textFill>
                    </w:rPr>
                    <w:t>喷枪清洗</w:t>
                  </w:r>
                  <w:r>
                    <w:rPr>
                      <w:rFonts w:hint="eastAsia" w:ascii="Times New Roman" w:hAnsi="Times New Roman" w:eastAsia="宋体" w:cs="Times New Roman"/>
                      <w:color w:val="000000"/>
                      <w:szCs w:val="21"/>
                      <w:lang w:val="en-US" w:eastAsia="zh-CN"/>
                    </w:rPr>
                    <w:t>、</w:t>
                  </w:r>
                  <w:r>
                    <w:rPr>
                      <w:rStyle w:val="75"/>
                      <w:rFonts w:hint="eastAsia"/>
                      <w:color w:val="000000" w:themeColor="text1"/>
                      <w:kern w:val="0"/>
                      <w:szCs w:val="20"/>
                      <w:lang w:val="en-US" w:eastAsia="zh-CN"/>
                      <w14:textFill>
                        <w14:solidFill>
                          <w14:schemeClr w14:val="tx1"/>
                        </w14:solidFill>
                      </w14:textFill>
                    </w:rPr>
                    <w:t>水帘柜</w:t>
                  </w:r>
                </w:p>
              </w:tc>
              <w:tc>
                <w:tcPr>
                  <w:tcW w:w="3566" w:type="dxa"/>
                  <w:shd w:val="clear" w:color="auto" w:fill="auto"/>
                  <w:vAlign w:val="center"/>
                </w:tcPr>
                <w:p w14:paraId="7F29EFD7">
                  <w:pPr>
                    <w:keepNext w:val="0"/>
                    <w:keepLines w:val="0"/>
                    <w:suppressLineNumbers w:val="0"/>
                    <w:spacing w:before="0" w:beforeAutospacing="0" w:after="0" w:afterAutospacing="0"/>
                    <w:ind w:left="0" w:right="0"/>
                    <w:jc w:val="center"/>
                    <w:outlineLvl w:val="0"/>
                    <w:rPr>
                      <w:rFonts w:hint="default" w:ascii="Times New Roman" w:hAnsi="Times New Roman" w:cs="Times New Roman"/>
                      <w:color w:val="auto"/>
                      <w:szCs w:val="21"/>
                      <w:highlight w:val="none"/>
                    </w:rPr>
                  </w:pPr>
                  <w:r>
                    <w:rPr>
                      <w:rFonts w:hint="default"/>
                      <w:color w:val="auto"/>
                      <w:szCs w:val="21"/>
                    </w:rPr>
                    <w:t>污水</w:t>
                  </w:r>
                  <w:r>
                    <w:rPr>
                      <w:rFonts w:hint="default" w:ascii="Times New Roman" w:hAnsi="Times New Roman" w:eastAsia="宋体" w:cs="Times New Roman"/>
                      <w:color w:val="auto"/>
                      <w:szCs w:val="21"/>
                    </w:rPr>
                    <w:t>处理站（隔油池+调节池+混凝沉淀+溶气气浮机），处理能力</w:t>
                  </w:r>
                  <w:r>
                    <w:rPr>
                      <w:rFonts w:hint="eastAsia" w:ascii="Times New Roman" w:hAnsi="Times New Roman" w:eastAsia="宋体" w:cs="Times New Roman"/>
                      <w:color w:val="auto"/>
                      <w:szCs w:val="21"/>
                      <w:lang w:val="en-US" w:eastAsia="zh-CN"/>
                    </w:rPr>
                    <w:t>5</w:t>
                  </w:r>
                  <w:r>
                    <w:rPr>
                      <w:rFonts w:hint="default" w:ascii="Times New Roman" w:hAnsi="Times New Roman" w:eastAsia="宋体" w:cs="Times New Roman"/>
                      <w:color w:val="auto"/>
                      <w:szCs w:val="21"/>
                    </w:rPr>
                    <w:t>t/d</w:t>
                  </w:r>
                </w:p>
              </w:tc>
              <w:tc>
                <w:tcPr>
                  <w:tcW w:w="4251" w:type="dxa"/>
                  <w:vMerge w:val="continue"/>
                  <w:tcBorders>
                    <w:right w:val="single" w:color="auto" w:sz="4" w:space="0"/>
                  </w:tcBorders>
                  <w:vAlign w:val="center"/>
                </w:tcPr>
                <w:p w14:paraId="3063E0CE">
                  <w:pPr>
                    <w:keepNext w:val="0"/>
                    <w:keepLines w:val="0"/>
                    <w:suppressLineNumbers w:val="0"/>
                    <w:spacing w:before="0" w:beforeAutospacing="0" w:after="0" w:afterAutospacing="0"/>
                    <w:ind w:left="0" w:right="0"/>
                    <w:jc w:val="center"/>
                    <w:outlineLvl w:val="0"/>
                    <w:rPr>
                      <w:rFonts w:hint="default" w:ascii="Times New Roman" w:hAnsi="Times New Roman" w:cs="Times New Roman"/>
                      <w:color w:val="auto"/>
                      <w:szCs w:val="21"/>
                      <w:highlight w:val="none"/>
                      <w:lang w:bidi="ar"/>
                    </w:rPr>
                  </w:pPr>
                </w:p>
              </w:tc>
              <w:tc>
                <w:tcPr>
                  <w:tcW w:w="531" w:type="dxa"/>
                  <w:tcBorders>
                    <w:left w:val="single" w:color="auto" w:sz="4" w:space="0"/>
                  </w:tcBorders>
                  <w:vAlign w:val="center"/>
                </w:tcPr>
                <w:p w14:paraId="423C88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15</w:t>
                  </w:r>
                </w:p>
              </w:tc>
              <w:tc>
                <w:tcPr>
                  <w:tcW w:w="637" w:type="dxa"/>
                  <w:vMerge w:val="continue"/>
                  <w:vAlign w:val="center"/>
                </w:tcPr>
                <w:p w14:paraId="37ADE2AC">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7A5AC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638" w:type="dxa"/>
                  <w:vMerge w:val="continue"/>
                  <w:vAlign w:val="center"/>
                </w:tcPr>
                <w:p w14:paraId="0C45E49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3208" w:type="dxa"/>
                  <w:gridSpan w:val="3"/>
                  <w:shd w:val="clear" w:color="auto" w:fill="auto"/>
                  <w:vAlign w:val="center"/>
                </w:tcPr>
                <w:p w14:paraId="37EFAA14">
                  <w:pPr>
                    <w:keepNext w:val="0"/>
                    <w:keepLines w:val="0"/>
                    <w:suppressLineNumbers w:val="0"/>
                    <w:adjustRightInd w:val="0"/>
                    <w:snapToGrid w:val="0"/>
                    <w:spacing w:before="0" w:beforeAutospacing="0" w:after="0" w:afterAutospacing="0"/>
                    <w:ind w:left="0" w:leftChars="0" w:right="0" w:rightChars="0"/>
                    <w:jc w:val="center"/>
                    <w:rPr>
                      <w:rStyle w:val="75"/>
                      <w:rFonts w:hint="eastAsia"/>
                      <w:color w:val="000000" w:themeColor="text1"/>
                      <w:kern w:val="0"/>
                      <w:szCs w:val="20"/>
                      <w:lang w:val="en-US" w:eastAsia="zh-CN"/>
                      <w14:textFill>
                        <w14:solidFill>
                          <w14:schemeClr w14:val="tx1"/>
                        </w14:solidFill>
                      </w14:textFill>
                    </w:rPr>
                  </w:pPr>
                  <w:r>
                    <w:rPr>
                      <w:rStyle w:val="75"/>
                      <w:rFonts w:hint="default"/>
                      <w:color w:val="000000" w:themeColor="text1"/>
                      <w:kern w:val="0"/>
                      <w:szCs w:val="20"/>
                      <w14:textFill>
                        <w14:solidFill>
                          <w14:schemeClr w14:val="tx1"/>
                        </w14:solidFill>
                      </w14:textFill>
                    </w:rPr>
                    <w:t>纯水</w:t>
                  </w:r>
                  <w:r>
                    <w:rPr>
                      <w:rFonts w:hint="default"/>
                      <w:bCs/>
                      <w:color w:val="000000" w:themeColor="text1"/>
                      <w:szCs w:val="21"/>
                      <w14:textFill>
                        <w14:solidFill>
                          <w14:schemeClr w14:val="tx1"/>
                        </w14:solidFill>
                      </w14:textFill>
                    </w:rPr>
                    <w:t>制备浓水</w:t>
                  </w:r>
                </w:p>
              </w:tc>
              <w:tc>
                <w:tcPr>
                  <w:tcW w:w="3566" w:type="dxa"/>
                  <w:shd w:val="clear" w:color="auto" w:fill="auto"/>
                  <w:vAlign w:val="center"/>
                </w:tcPr>
                <w:p w14:paraId="4135F2C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color w:val="000000" w:themeColor="text1"/>
                      <w:szCs w:val="21"/>
                      <w14:textFill>
                        <w14:solidFill>
                          <w14:schemeClr w14:val="tx1"/>
                        </w14:solidFill>
                      </w14:textFill>
                    </w:rPr>
                    <w:t>直接排入市政污水管网</w:t>
                  </w:r>
                </w:p>
              </w:tc>
              <w:tc>
                <w:tcPr>
                  <w:tcW w:w="4251" w:type="dxa"/>
                  <w:vMerge w:val="continue"/>
                  <w:tcBorders>
                    <w:right w:val="single" w:color="auto" w:sz="4" w:space="0"/>
                  </w:tcBorders>
                  <w:vAlign w:val="center"/>
                </w:tcPr>
                <w:p w14:paraId="795D679D">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531" w:type="dxa"/>
                  <w:tcBorders>
                    <w:left w:val="single" w:color="auto" w:sz="4" w:space="0"/>
                  </w:tcBorders>
                  <w:vAlign w:val="center"/>
                </w:tcPr>
                <w:p w14:paraId="42269001">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w:t>
                  </w:r>
                </w:p>
              </w:tc>
              <w:tc>
                <w:tcPr>
                  <w:tcW w:w="637" w:type="dxa"/>
                  <w:vMerge w:val="continue"/>
                  <w:vAlign w:val="center"/>
                </w:tcPr>
                <w:p w14:paraId="2129F0D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683D2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638" w:type="dxa"/>
                  <w:vAlign w:val="center"/>
                </w:tcPr>
                <w:p w14:paraId="48D9B8B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噪声控制</w:t>
                  </w:r>
                </w:p>
              </w:tc>
              <w:tc>
                <w:tcPr>
                  <w:tcW w:w="3208" w:type="dxa"/>
                  <w:gridSpan w:val="3"/>
                  <w:vAlign w:val="center"/>
                </w:tcPr>
                <w:p w14:paraId="3BD47F61">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噪声</w:t>
                  </w:r>
                </w:p>
              </w:tc>
              <w:tc>
                <w:tcPr>
                  <w:tcW w:w="3566" w:type="dxa"/>
                  <w:vAlign w:val="center"/>
                </w:tcPr>
                <w:p w14:paraId="476190A3">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隔声、减震</w:t>
                  </w:r>
                </w:p>
              </w:tc>
              <w:tc>
                <w:tcPr>
                  <w:tcW w:w="4251" w:type="dxa"/>
                  <w:vAlign w:val="center"/>
                </w:tcPr>
                <w:p w14:paraId="35051C65">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bCs/>
                      <w:color w:val="auto"/>
                      <w:szCs w:val="21"/>
                      <w:highlight w:val="none"/>
                    </w:rPr>
                    <w:t>《工业企业厂界环境噪声排放标准》（GB12348-2008）3类标准</w:t>
                  </w:r>
                </w:p>
              </w:tc>
              <w:tc>
                <w:tcPr>
                  <w:tcW w:w="531" w:type="dxa"/>
                  <w:vAlign w:val="center"/>
                </w:tcPr>
                <w:p w14:paraId="010E9D4C">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637" w:type="dxa"/>
                  <w:vMerge w:val="continue"/>
                  <w:vAlign w:val="center"/>
                </w:tcPr>
                <w:p w14:paraId="07EC592F">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3A113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638" w:type="dxa"/>
                  <w:vMerge w:val="restart"/>
                  <w:vAlign w:val="center"/>
                </w:tcPr>
                <w:p w14:paraId="1CF1705A">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固废处置</w:t>
                  </w:r>
                </w:p>
              </w:tc>
              <w:tc>
                <w:tcPr>
                  <w:tcW w:w="3208" w:type="dxa"/>
                  <w:gridSpan w:val="3"/>
                  <w:vAlign w:val="center"/>
                </w:tcPr>
                <w:p w14:paraId="2F319F0B">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一般工业固废</w:t>
                  </w:r>
                </w:p>
              </w:tc>
              <w:tc>
                <w:tcPr>
                  <w:tcW w:w="3566" w:type="dxa"/>
                  <w:vAlign w:val="center"/>
                </w:tcPr>
                <w:p w14:paraId="2C8C40A5">
                  <w:pPr>
                    <w:keepNext w:val="0"/>
                    <w:keepLines w:val="0"/>
                    <w:suppressLineNumbers w:val="0"/>
                    <w:autoSpaceDE w:val="0"/>
                    <w:autoSpaceDN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lang w:val="zh-CN" w:eastAsia="zh-CN"/>
                    </w:rPr>
                  </w:pPr>
                  <w:r>
                    <w:rPr>
                      <w:rFonts w:hint="default" w:ascii="Times New Roman" w:hAnsi="Times New Roman" w:cs="Times New Roman"/>
                      <w:color w:val="auto"/>
                      <w:szCs w:val="21"/>
                      <w:highlight w:val="none"/>
                    </w:rPr>
                    <w:t>一般固废暂存库</w:t>
                  </w:r>
                </w:p>
              </w:tc>
              <w:tc>
                <w:tcPr>
                  <w:tcW w:w="4251" w:type="dxa"/>
                  <w:vAlign w:val="center"/>
                </w:tcPr>
                <w:p w14:paraId="121B404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000000" w:themeColor="text1"/>
                      <w:szCs w:val="21"/>
                      <w14:textFill>
                        <w14:solidFill>
                          <w14:schemeClr w14:val="tx1"/>
                        </w14:solidFill>
                      </w14:textFill>
                    </w:rPr>
                    <w:t>除尘装置收集的喷粉粉尘收集后回用于生产；除尘装置收集</w:t>
                  </w:r>
                  <w:r>
                    <w:rPr>
                      <w:rFonts w:hint="default" w:ascii="Times New Roman" w:hAnsi="Times New Roman" w:eastAsia="宋体" w:cs="Times New Roman"/>
                      <w:color w:val="000000" w:themeColor="text1"/>
                      <w:szCs w:val="21"/>
                      <w14:textFill>
                        <w14:solidFill>
                          <w14:schemeClr w14:val="tx1"/>
                        </w14:solidFill>
                      </w14:textFill>
                    </w:rPr>
                    <w:t>的</w:t>
                  </w:r>
                  <w:r>
                    <w:rPr>
                      <w:rFonts w:hint="eastAsia" w:ascii="Times New Roman" w:hAnsi="Times New Roman" w:eastAsia="宋体" w:cs="Times New Roman"/>
                      <w:color w:val="000000" w:themeColor="text1"/>
                      <w:szCs w:val="21"/>
                      <w:lang w:val="en-US" w:eastAsia="zh-CN"/>
                      <w14:textFill>
                        <w14:solidFill>
                          <w14:schemeClr w14:val="tx1"/>
                        </w14:solidFill>
                      </w14:textFill>
                    </w:rPr>
                    <w:t>人工去毛刺</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打磨</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喷砂</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抛丸</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抛光</w:t>
                  </w:r>
                  <w:r>
                    <w:rPr>
                      <w:rFonts w:hint="default" w:ascii="Times New Roman" w:hAnsi="Times New Roman" w:eastAsia="宋体" w:cs="Times New Roman"/>
                      <w:color w:val="000000" w:themeColor="text1"/>
                      <w:szCs w:val="21"/>
                      <w14:textFill>
                        <w14:solidFill>
                          <w14:schemeClr w14:val="tx1"/>
                        </w14:solidFill>
                      </w14:textFill>
                    </w:rPr>
                    <w:t>粉尘粉尘</w:t>
                  </w:r>
                  <w:r>
                    <w:rPr>
                      <w:rFonts w:hint="default" w:ascii="Times New Roman" w:hAnsi="Times New Roman" w:cs="Times New Roman"/>
                      <w:color w:val="000000" w:themeColor="text1"/>
                      <w:szCs w:val="21"/>
                      <w14:textFill>
                        <w14:solidFill>
                          <w14:schemeClr w14:val="tx1"/>
                        </w14:solidFill>
                      </w14:textFill>
                    </w:rPr>
                    <w:t>、废包装材料、废布袋、滤筒、</w:t>
                  </w:r>
                  <w:r>
                    <w:rPr>
                      <w:rFonts w:hint="default" w:ascii="Times New Roman" w:hAnsi="Times New Roman" w:eastAsia="宋体" w:cs="Times New Roman"/>
                      <w:color w:val="000000" w:themeColor="text1"/>
                      <w:szCs w:val="21"/>
                      <w:lang w:val="en-US" w:eastAsia="zh-CN"/>
                      <w14:textFill>
                        <w14:solidFill>
                          <w14:schemeClr w14:val="tx1"/>
                        </w14:solidFill>
                      </w14:textFill>
                    </w:rPr>
                    <w:t>废金属屑及边角料、水性漆渣、不合格品、废钢丸、废钢</w:t>
                  </w:r>
                  <w:r>
                    <w:rPr>
                      <w:rFonts w:hint="eastAsia" w:ascii="Times New Roman" w:hAnsi="Times New Roman" w:eastAsia="宋体" w:cs="Times New Roman"/>
                      <w:color w:val="000000" w:themeColor="text1"/>
                      <w:szCs w:val="21"/>
                      <w:lang w:val="en-US" w:eastAsia="zh-CN"/>
                      <w14:textFill>
                        <w14:solidFill>
                          <w14:schemeClr w14:val="tx1"/>
                        </w14:solidFill>
                      </w14:textFill>
                    </w:rPr>
                    <w:t>砂</w:t>
                  </w:r>
                  <w:r>
                    <w:rPr>
                      <w:rFonts w:hint="default" w:ascii="Times New Roman" w:hAnsi="Times New Roman" w:eastAsia="宋体" w:cs="Times New Roman"/>
                      <w:color w:val="000000" w:themeColor="text1"/>
                      <w:szCs w:val="21"/>
                      <w:lang w:val="en-US" w:eastAsia="zh-CN"/>
                      <w14:textFill>
                        <w14:solidFill>
                          <w14:schemeClr w14:val="tx1"/>
                        </w14:solidFill>
                      </w14:textFill>
                    </w:rPr>
                    <w:t>、废</w:t>
                  </w:r>
                  <w:r>
                    <w:rPr>
                      <w:rFonts w:hint="eastAsia" w:ascii="Times New Roman" w:hAnsi="Times New Roman" w:eastAsia="宋体" w:cs="Times New Roman"/>
                      <w:color w:val="000000" w:themeColor="text1"/>
                      <w:szCs w:val="21"/>
                      <w:lang w:val="en-US" w:eastAsia="zh-CN"/>
                      <w14:textFill>
                        <w14:solidFill>
                          <w14:schemeClr w14:val="tx1"/>
                        </w14:solidFill>
                      </w14:textFill>
                    </w:rPr>
                    <w:t>砂带</w:t>
                  </w:r>
                  <w:r>
                    <w:rPr>
                      <w:rFonts w:hint="default" w:ascii="Times New Roman" w:hAnsi="Times New Roman" w:eastAsia="宋体" w:cs="Times New Roman"/>
                      <w:color w:val="000000" w:themeColor="text1"/>
                      <w:szCs w:val="21"/>
                      <w:lang w:val="en-US" w:eastAsia="zh-CN"/>
                      <w14:textFill>
                        <w14:solidFill>
                          <w14:schemeClr w14:val="tx1"/>
                        </w14:solidFill>
                      </w14:textFill>
                    </w:rPr>
                    <w:t>、废反渗透膜、含</w:t>
                  </w:r>
                  <w:r>
                    <w:rPr>
                      <w:rFonts w:hint="default" w:ascii="Times New Roman" w:hAnsi="Times New Roman" w:cs="Times New Roman"/>
                      <w:bCs/>
                      <w:color w:val="000000" w:themeColor="text1"/>
                      <w:szCs w:val="21"/>
                      <w14:textFill>
                        <w14:solidFill>
                          <w14:schemeClr w14:val="tx1"/>
                        </w14:solidFill>
                      </w14:textFill>
                    </w:rPr>
                    <w:t>油金属屑（</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收集后外售</w:t>
                  </w:r>
                </w:p>
              </w:tc>
              <w:tc>
                <w:tcPr>
                  <w:tcW w:w="531" w:type="dxa"/>
                  <w:vAlign w:val="center"/>
                </w:tcPr>
                <w:p w14:paraId="044F9333">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637" w:type="dxa"/>
                  <w:vMerge w:val="continue"/>
                  <w:vAlign w:val="center"/>
                </w:tcPr>
                <w:p w14:paraId="2D6EDB22">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2E787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638" w:type="dxa"/>
                  <w:vMerge w:val="continue"/>
                  <w:vAlign w:val="center"/>
                </w:tcPr>
                <w:p w14:paraId="5CBFA7DB">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3208" w:type="dxa"/>
                  <w:gridSpan w:val="3"/>
                  <w:vAlign w:val="center"/>
                </w:tcPr>
                <w:p w14:paraId="2EAA8B6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危险废物</w:t>
                  </w:r>
                </w:p>
              </w:tc>
              <w:tc>
                <w:tcPr>
                  <w:tcW w:w="3566" w:type="dxa"/>
                  <w:vAlign w:val="center"/>
                </w:tcPr>
                <w:p w14:paraId="24831F2C">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rPr>
                    <w:t>危废暂存库（</w:t>
                  </w:r>
                  <w:r>
                    <w:rPr>
                      <w:rFonts w:hint="eastAsia" w:cs="Times New Roman"/>
                      <w:color w:val="auto"/>
                      <w:szCs w:val="21"/>
                      <w:highlight w:val="none"/>
                      <w:lang w:val="en-US" w:eastAsia="zh-CN"/>
                    </w:rPr>
                    <w:t>15</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），并采取防风、防晒、防雨、防漏、防渗和防腐措施</w:t>
                  </w:r>
                </w:p>
              </w:tc>
              <w:tc>
                <w:tcPr>
                  <w:tcW w:w="4251" w:type="dxa"/>
                  <w:vAlign w:val="center"/>
                </w:tcPr>
                <w:p w14:paraId="248E7CA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bCs/>
                      <w:color w:val="000000" w:themeColor="text1"/>
                      <w:szCs w:val="21"/>
                      <w14:textFill>
                        <w14:solidFill>
                          <w14:schemeClr w14:val="tx1"/>
                        </w14:solidFill>
                      </w14:textFill>
                    </w:rPr>
                    <w:t>废活性炭、</w:t>
                  </w:r>
                  <w:r>
                    <w:rPr>
                      <w:rFonts w:hint="default" w:ascii="Times New Roman" w:hAnsi="Times New Roman" w:cs="Times New Roman"/>
                      <w:color w:val="000000" w:themeColor="text1"/>
                      <w14:textFill>
                        <w14:solidFill>
                          <w14:schemeClr w14:val="tx1"/>
                        </w14:solidFill>
                      </w14:textFill>
                    </w:rPr>
                    <w:t>废过滤棉、废切削液、废润滑油、废液压油、废化学品包装桶、废油桶、</w:t>
                  </w:r>
                  <w:r>
                    <w:rPr>
                      <w:rFonts w:hint="eastAsia" w:ascii="Times New Roman" w:hAnsi="Times New Roman" w:cs="Times New Roman"/>
                      <w:color w:val="000000" w:themeColor="text1"/>
                      <w:lang w:val="en-US" w:eastAsia="zh-CN"/>
                      <w14:textFill>
                        <w14:solidFill>
                          <w14:schemeClr w14:val="tx1"/>
                        </w14:solidFill>
                      </w14:textFill>
                    </w:rPr>
                    <w:t>槽渣</w:t>
                  </w:r>
                  <w:r>
                    <w:rPr>
                      <w:rFonts w:hint="default"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污泥</w:t>
                  </w:r>
                  <w:r>
                    <w:rPr>
                      <w:rFonts w:hint="default" w:ascii="Times New Roman" w:hAnsi="Times New Roman" w:cs="Times New Roman"/>
                      <w:color w:val="000000" w:themeColor="text1"/>
                      <w:szCs w:val="21"/>
                      <w14:textFill>
                        <w14:solidFill>
                          <w14:schemeClr w14:val="tx1"/>
                        </w14:solidFill>
                      </w14:textFill>
                    </w:rPr>
                    <w:t>收集后暂存于危险废物暂存库，定期委托有危废处理资质单位处置</w:t>
                  </w:r>
                </w:p>
              </w:tc>
              <w:tc>
                <w:tcPr>
                  <w:tcW w:w="531" w:type="dxa"/>
                  <w:vAlign w:val="center"/>
                </w:tcPr>
                <w:p w14:paraId="137E6265">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w:t>
                  </w:r>
                </w:p>
              </w:tc>
              <w:tc>
                <w:tcPr>
                  <w:tcW w:w="637" w:type="dxa"/>
                  <w:vMerge w:val="continue"/>
                  <w:vAlign w:val="center"/>
                </w:tcPr>
                <w:p w14:paraId="186792E5">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6E10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638" w:type="dxa"/>
                  <w:vMerge w:val="continue"/>
                  <w:vAlign w:val="center"/>
                </w:tcPr>
                <w:p w14:paraId="5E3C3EED">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p>
              </w:tc>
              <w:tc>
                <w:tcPr>
                  <w:tcW w:w="3208" w:type="dxa"/>
                  <w:gridSpan w:val="3"/>
                  <w:vAlign w:val="center"/>
                </w:tcPr>
                <w:p w14:paraId="3F24863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生活垃圾</w:t>
                  </w:r>
                </w:p>
              </w:tc>
              <w:tc>
                <w:tcPr>
                  <w:tcW w:w="3566" w:type="dxa"/>
                  <w:vAlign w:val="center"/>
                </w:tcPr>
                <w:p w14:paraId="0D3B51AC">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垃圾桶</w:t>
                  </w:r>
                </w:p>
              </w:tc>
              <w:tc>
                <w:tcPr>
                  <w:tcW w:w="4251" w:type="dxa"/>
                  <w:vAlign w:val="center"/>
                </w:tcPr>
                <w:p w14:paraId="2324329A">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生活垃圾委托环卫部门清运处理</w:t>
                  </w:r>
                </w:p>
              </w:tc>
              <w:tc>
                <w:tcPr>
                  <w:tcW w:w="531" w:type="dxa"/>
                  <w:vAlign w:val="center"/>
                </w:tcPr>
                <w:p w14:paraId="0DF8C5C3">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637" w:type="dxa"/>
                  <w:vMerge w:val="continue"/>
                  <w:vAlign w:val="center"/>
                </w:tcPr>
                <w:p w14:paraId="19D686D1">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r>
            <w:tr w14:paraId="3167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663" w:type="dxa"/>
                  <w:gridSpan w:val="6"/>
                  <w:vAlign w:val="center"/>
                </w:tcPr>
                <w:p w14:paraId="2275E233">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531" w:type="dxa"/>
                  <w:vAlign w:val="center"/>
                </w:tcPr>
                <w:p w14:paraId="480D0A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128</w:t>
                  </w:r>
                </w:p>
              </w:tc>
              <w:tc>
                <w:tcPr>
                  <w:tcW w:w="637" w:type="dxa"/>
                  <w:vAlign w:val="center"/>
                </w:tcPr>
                <w:p w14:paraId="1748F1B7">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50E483A2">
            <w:pPr>
              <w:keepNext w:val="0"/>
              <w:keepLines w:val="0"/>
              <w:suppressLineNumbers w:val="0"/>
              <w:spacing w:before="240" w:beforeLines="10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八、生态环境影响分析</w:t>
            </w:r>
          </w:p>
          <w:p w14:paraId="36D8056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无。</w:t>
            </w:r>
          </w:p>
          <w:p w14:paraId="434D937F">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九、 电磁辐射环境影响分析</w:t>
            </w:r>
          </w:p>
          <w:p w14:paraId="6B1A742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snapToGrid w:val="0"/>
                <w:color w:val="auto"/>
                <w:highlight w:val="none"/>
              </w:rPr>
            </w:pPr>
            <w:r>
              <w:rPr>
                <w:rFonts w:hint="default" w:ascii="Times New Roman" w:hAnsi="Times New Roman" w:cs="Times New Roman"/>
                <w:color w:val="auto"/>
                <w:sz w:val="24"/>
                <w:highlight w:val="none"/>
              </w:rPr>
              <w:t>无。</w:t>
            </w:r>
          </w:p>
        </w:tc>
      </w:tr>
    </w:tbl>
    <w:p w14:paraId="4CF70A58">
      <w:pPr>
        <w:rPr>
          <w:rFonts w:hint="default" w:ascii="Times New Roman" w:hAnsi="Times New Roman" w:cs="Times New Roman"/>
          <w:color w:val="auto"/>
          <w:highlight w:val="none"/>
        </w:rPr>
        <w:sectPr>
          <w:pgSz w:w="16838" w:h="11905" w:orient="landscape"/>
          <w:pgMar w:top="1531" w:right="1701" w:bottom="1531" w:left="2126" w:header="851" w:footer="850" w:gutter="0"/>
          <w:pgBorders>
            <w:top w:val="none" w:sz="0" w:space="0"/>
            <w:left w:val="none" w:sz="0" w:space="0"/>
            <w:bottom w:val="none" w:sz="0" w:space="0"/>
            <w:right w:val="none" w:sz="0" w:space="0"/>
          </w:pgBorders>
          <w:cols w:space="0" w:num="1"/>
          <w:docGrid w:linePitch="312" w:charSpace="0"/>
        </w:sectPr>
      </w:pPr>
    </w:p>
    <w:p w14:paraId="4D28976D">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r>
        <w:rPr>
          <w:rFonts w:hint="default" w:ascii="Times New Roman" w:hAnsi="Times New Roman" w:cs="Times New Roman"/>
          <w:b/>
          <w:snapToGrid w:val="0"/>
          <w:color w:val="auto"/>
          <w:sz w:val="30"/>
          <w:szCs w:val="30"/>
          <w:highlight w:val="none"/>
        </w:rPr>
        <w:t>五、</w:t>
      </w:r>
      <w:bookmarkStart w:id="2" w:name="_Hlk54167917"/>
      <w:r>
        <w:rPr>
          <w:rFonts w:hint="default" w:ascii="Times New Roman" w:hAnsi="Times New Roman" w:cs="Times New Roman"/>
          <w:b/>
          <w:snapToGrid w:val="0"/>
          <w:color w:val="auto"/>
          <w:sz w:val="30"/>
          <w:szCs w:val="30"/>
          <w:highlight w:val="none"/>
        </w:rPr>
        <w:t>环境保护措施监督检</w:t>
      </w:r>
      <w:r>
        <w:commentReference w:id="39"/>
      </w:r>
      <w:r>
        <w:rPr>
          <w:rFonts w:hint="default" w:ascii="Times New Roman" w:hAnsi="Times New Roman" w:cs="Times New Roman"/>
          <w:b/>
          <w:snapToGrid w:val="0"/>
          <w:color w:val="auto"/>
          <w:sz w:val="30"/>
          <w:szCs w:val="30"/>
          <w:highlight w:val="none"/>
        </w:rPr>
        <w:t>查清单</w:t>
      </w:r>
      <w:bookmarkEnd w:id="2"/>
    </w:p>
    <w:tbl>
      <w:tblPr>
        <w:tblStyle w:val="61"/>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444"/>
        <w:gridCol w:w="1213"/>
        <w:gridCol w:w="1145"/>
        <w:gridCol w:w="2523"/>
        <w:gridCol w:w="2363"/>
      </w:tblGrid>
      <w:tr w14:paraId="1D786B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12" w:space="0"/>
              <w:left w:val="single" w:color="auto" w:sz="12" w:space="0"/>
              <w:bottom w:val="single" w:color="auto" w:sz="4" w:space="0"/>
              <w:tl2br w:val="single" w:color="auto" w:sz="4" w:space="0"/>
            </w:tcBorders>
          </w:tcPr>
          <w:p w14:paraId="606FDDAA">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内容</w:t>
            </w:r>
          </w:p>
          <w:p w14:paraId="523B07F8">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要素</w:t>
            </w:r>
          </w:p>
        </w:tc>
        <w:tc>
          <w:tcPr>
            <w:tcW w:w="1657" w:type="dxa"/>
            <w:gridSpan w:val="2"/>
            <w:tcBorders>
              <w:top w:val="single" w:color="auto" w:sz="12" w:space="0"/>
              <w:bottom w:val="single" w:color="auto" w:sz="4" w:space="0"/>
            </w:tcBorders>
            <w:vAlign w:val="center"/>
          </w:tcPr>
          <w:p w14:paraId="30A063A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排放口(编号、名称)/污染源</w:t>
            </w:r>
          </w:p>
        </w:tc>
        <w:tc>
          <w:tcPr>
            <w:tcW w:w="1145" w:type="dxa"/>
            <w:tcBorders>
              <w:top w:val="single" w:color="auto" w:sz="12" w:space="0"/>
              <w:bottom w:val="single" w:color="auto" w:sz="4" w:space="0"/>
            </w:tcBorders>
            <w:vAlign w:val="center"/>
          </w:tcPr>
          <w:p w14:paraId="7FECC21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污染物项目</w:t>
            </w:r>
          </w:p>
        </w:tc>
        <w:tc>
          <w:tcPr>
            <w:tcW w:w="2523" w:type="dxa"/>
            <w:tcBorders>
              <w:top w:val="single" w:color="auto" w:sz="12" w:space="0"/>
              <w:bottom w:val="single" w:color="auto" w:sz="4" w:space="0"/>
            </w:tcBorders>
            <w:vAlign w:val="center"/>
          </w:tcPr>
          <w:p w14:paraId="6B661FA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环境保护措施</w:t>
            </w:r>
          </w:p>
        </w:tc>
        <w:tc>
          <w:tcPr>
            <w:tcW w:w="2363" w:type="dxa"/>
            <w:tcBorders>
              <w:top w:val="single" w:color="auto" w:sz="12" w:space="0"/>
              <w:bottom w:val="single" w:color="auto" w:sz="4" w:space="0"/>
              <w:right w:val="single" w:color="auto" w:sz="12" w:space="0"/>
            </w:tcBorders>
            <w:vAlign w:val="center"/>
          </w:tcPr>
          <w:p w14:paraId="41561F4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执行标准</w:t>
            </w:r>
          </w:p>
        </w:tc>
      </w:tr>
      <w:tr w14:paraId="5B2090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restart"/>
            <w:tcBorders>
              <w:top w:val="single" w:color="auto" w:sz="4" w:space="0"/>
              <w:left w:val="single" w:color="auto" w:sz="12" w:space="0"/>
            </w:tcBorders>
            <w:vAlign w:val="center"/>
          </w:tcPr>
          <w:p w14:paraId="39AF180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大气环境</w:t>
            </w:r>
          </w:p>
        </w:tc>
        <w:tc>
          <w:tcPr>
            <w:tcW w:w="444" w:type="dxa"/>
            <w:vMerge w:val="restart"/>
            <w:tcBorders>
              <w:top w:val="single" w:color="auto" w:sz="4" w:space="0"/>
            </w:tcBorders>
            <w:vAlign w:val="center"/>
          </w:tcPr>
          <w:p w14:paraId="3A2B6284">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r>
              <w:rPr>
                <w:rFonts w:hint="default" w:ascii="Times New Roman" w:hAnsi="Times New Roman" w:cs="Times New Roman"/>
                <w:color w:val="auto"/>
                <w:kern w:val="1"/>
                <w:szCs w:val="21"/>
                <w:highlight w:val="none"/>
              </w:rPr>
              <w:t>有组织</w:t>
            </w:r>
          </w:p>
        </w:tc>
        <w:tc>
          <w:tcPr>
            <w:tcW w:w="1213" w:type="dxa"/>
            <w:tcBorders>
              <w:top w:val="single" w:color="auto" w:sz="4" w:space="0"/>
            </w:tcBorders>
            <w:vAlign w:val="center"/>
          </w:tcPr>
          <w:p w14:paraId="40C3A75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1"/>
                <w:szCs w:val="21"/>
                <w:highlight w:val="none"/>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抛光粉尘</w:t>
            </w:r>
            <w:r>
              <w:rPr>
                <w:rFonts w:hint="default"/>
                <w:color w:val="auto"/>
                <w:szCs w:val="21"/>
              </w:rPr>
              <w:t>排放口（DA001）</w:t>
            </w:r>
          </w:p>
        </w:tc>
        <w:tc>
          <w:tcPr>
            <w:tcW w:w="1145" w:type="dxa"/>
            <w:tcBorders>
              <w:top w:val="single" w:color="auto" w:sz="4" w:space="0"/>
            </w:tcBorders>
            <w:shd w:val="clear" w:color="auto" w:fill="auto"/>
            <w:vAlign w:val="center"/>
          </w:tcPr>
          <w:p w14:paraId="33C7CF43">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颗粒物</w:t>
            </w:r>
          </w:p>
        </w:tc>
        <w:tc>
          <w:tcPr>
            <w:tcW w:w="2523" w:type="dxa"/>
            <w:tcBorders>
              <w:top w:val="single" w:color="auto" w:sz="4" w:space="0"/>
            </w:tcBorders>
            <w:shd w:val="clear" w:color="auto" w:fill="auto"/>
            <w:vAlign w:val="center"/>
          </w:tcPr>
          <w:p w14:paraId="7DC5A11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ascii="Times New Roman" w:hAnsi="Times New Roman" w:eastAsia="宋体" w:cs="Times New Roman"/>
                <w:color w:val="000000"/>
                <w:szCs w:val="21"/>
                <w:lang w:val="en-US" w:eastAsia="zh-CN"/>
              </w:rPr>
              <w:t>人工去毛刺、打磨、抛光粉尘经集气罩收集+布袋除尘器处理后和</w:t>
            </w:r>
            <w:r>
              <w:rPr>
                <w:rFonts w:hint="default" w:ascii="Times New Roman" w:hAnsi="Times New Roman" w:eastAsia="宋体" w:cs="Times New Roman"/>
                <w:color w:val="000000"/>
                <w:szCs w:val="21"/>
                <w:lang w:val="en-US" w:eastAsia="zh-CN"/>
              </w:rPr>
              <w:t>经设备密闭+集气管道收集</w:t>
            </w:r>
            <w:r>
              <w:rPr>
                <w:rFonts w:hint="eastAsia" w:ascii="Times New Roman" w:hAnsi="Times New Roman" w:eastAsia="宋体" w:cs="Times New Roman"/>
                <w:color w:val="000000"/>
                <w:szCs w:val="21"/>
                <w:lang w:val="en-US" w:eastAsia="zh-CN"/>
              </w:rPr>
              <w:t>+</w:t>
            </w:r>
            <w:r>
              <w:rPr>
                <w:rFonts w:hint="default" w:ascii="Times New Roman" w:hAnsi="Times New Roman" w:eastAsia="宋体" w:cs="Times New Roman"/>
                <w:color w:val="000000"/>
                <w:szCs w:val="21"/>
                <w:lang w:val="en-US" w:eastAsia="zh-CN"/>
              </w:rPr>
              <w:t>设备自带布袋除尘器处理</w:t>
            </w:r>
            <w:r>
              <w:rPr>
                <w:rFonts w:hint="eastAsia" w:ascii="Times New Roman" w:hAnsi="Times New Roman" w:eastAsia="宋体" w:cs="Times New Roman"/>
                <w:color w:val="000000"/>
                <w:szCs w:val="21"/>
                <w:lang w:val="en-US" w:eastAsia="zh-CN"/>
              </w:rPr>
              <w:t>的喷砂、抛丸粉尘一并</w:t>
            </w:r>
            <w:r>
              <w:rPr>
                <w:rFonts w:hint="default" w:ascii="Times New Roman" w:hAnsi="Times New Roman" w:eastAsia="宋体" w:cs="Times New Roman"/>
                <w:color w:val="000000"/>
                <w:szCs w:val="21"/>
                <w:lang w:val="en-US" w:eastAsia="zh-CN"/>
              </w:rPr>
              <w:t>通过1根</w:t>
            </w:r>
            <w:r>
              <w:rPr>
                <w:rFonts w:hint="eastAsia" w:ascii="Times New Roman" w:hAnsi="Times New Roman" w:eastAsia="宋体" w:cs="Times New Roman"/>
                <w:color w:val="000000"/>
                <w:szCs w:val="21"/>
                <w:lang w:val="en-US" w:eastAsia="zh-CN"/>
              </w:rPr>
              <w:t>15m</w:t>
            </w:r>
            <w:r>
              <w:rPr>
                <w:rFonts w:hint="default" w:ascii="Times New Roman" w:hAnsi="Times New Roman" w:eastAsia="宋体" w:cs="Times New Roman"/>
                <w:color w:val="000000"/>
                <w:szCs w:val="21"/>
                <w:lang w:val="en-US" w:eastAsia="zh-CN"/>
              </w:rPr>
              <w:t>高的排气筒DA0</w:t>
            </w:r>
            <w:r>
              <w:rPr>
                <w:rFonts w:hint="eastAsia" w:ascii="Times New Roman" w:hAnsi="Times New Roman" w:eastAsia="宋体" w:cs="Times New Roman"/>
                <w:color w:val="000000"/>
                <w:szCs w:val="21"/>
                <w:lang w:val="en-US" w:eastAsia="zh-CN"/>
              </w:rPr>
              <w:t>01</w:t>
            </w:r>
            <w:r>
              <w:rPr>
                <w:rFonts w:hint="default" w:ascii="Times New Roman" w:hAnsi="Times New Roman" w:eastAsia="宋体" w:cs="Times New Roman"/>
                <w:bCs/>
                <w:color w:val="auto"/>
                <w:szCs w:val="21"/>
                <w:highlight w:val="none"/>
                <w:lang w:val="en-US" w:eastAsia="zh-CN"/>
              </w:rPr>
              <w:t>排放</w:t>
            </w:r>
          </w:p>
        </w:tc>
        <w:tc>
          <w:tcPr>
            <w:tcW w:w="2363" w:type="dxa"/>
            <w:tcBorders>
              <w:top w:val="single" w:color="auto" w:sz="4" w:space="0"/>
              <w:right w:val="single" w:color="auto" w:sz="12" w:space="0"/>
            </w:tcBorders>
            <w:vAlign w:val="center"/>
          </w:tcPr>
          <w:p w14:paraId="68F0939B">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000000" w:themeColor="text1"/>
                <w:kern w:val="0"/>
                <w:sz w:val="21"/>
                <w:szCs w:val="21"/>
                <w14:textFill>
                  <w14:solidFill>
                    <w14:schemeClr w14:val="tx1"/>
                  </w14:solidFill>
                </w14:textFill>
              </w:rPr>
              <w:t>《大气污染物综合排放标准》（GB 16297-1996）表2</w:t>
            </w:r>
          </w:p>
        </w:tc>
      </w:tr>
      <w:tr w14:paraId="519D82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112" w:type="dxa"/>
            <w:vMerge w:val="continue"/>
            <w:tcBorders>
              <w:left w:val="single" w:color="auto" w:sz="12" w:space="0"/>
            </w:tcBorders>
            <w:vAlign w:val="center"/>
          </w:tcPr>
          <w:p w14:paraId="5A3AACB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52BE6949">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Merge w:val="restart"/>
            <w:vAlign w:val="center"/>
          </w:tcPr>
          <w:p w14:paraId="161F6AF2">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w:t>
            </w:r>
            <w:r>
              <w:rPr>
                <w:rFonts w:hint="default" w:ascii="Times New Roman" w:hAnsi="Times New Roman" w:eastAsia="宋体" w:cs="Times New Roman"/>
                <w:color w:val="auto"/>
                <w:szCs w:val="21"/>
                <w:lang w:val="en-US" w:eastAsia="zh-CN"/>
              </w:rPr>
              <w:t>固化、</w:t>
            </w:r>
            <w:r>
              <w:rPr>
                <w:rFonts w:hint="eastAsia" w:ascii="Times New Roman" w:hAnsi="Times New Roman" w:eastAsia="宋体" w:cs="Times New Roman"/>
                <w:color w:val="auto"/>
                <w:szCs w:val="21"/>
                <w:lang w:val="en-US" w:eastAsia="zh-CN"/>
              </w:rPr>
              <w:t>前处理烘干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喷漆烘干</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喷粉固化天然气燃烧</w:t>
            </w:r>
            <w:r>
              <w:rPr>
                <w:rFonts w:hint="default" w:ascii="Times New Roman" w:hAnsi="Times New Roman" w:eastAsia="宋体" w:cs="Times New Roman"/>
                <w:color w:val="auto"/>
                <w:szCs w:val="21"/>
                <w:lang w:val="en-US" w:eastAsia="zh-CN"/>
              </w:rPr>
              <w:t>废气</w:t>
            </w:r>
            <w:r>
              <w:rPr>
                <w:rFonts w:hint="default"/>
                <w:color w:val="auto"/>
                <w:kern w:val="0"/>
                <w:szCs w:val="21"/>
              </w:rPr>
              <w:t>废气</w:t>
            </w:r>
            <w:r>
              <w:rPr>
                <w:rFonts w:hint="default"/>
                <w:color w:val="auto"/>
                <w:szCs w:val="21"/>
              </w:rPr>
              <w:t>排放口（DA002）</w:t>
            </w:r>
          </w:p>
        </w:tc>
        <w:tc>
          <w:tcPr>
            <w:tcW w:w="1145" w:type="dxa"/>
            <w:tcBorders>
              <w:top w:val="single" w:color="auto" w:sz="4" w:space="0"/>
            </w:tcBorders>
            <w:shd w:val="clear" w:color="auto" w:fill="auto"/>
            <w:vAlign w:val="center"/>
          </w:tcPr>
          <w:p w14:paraId="0E9B4266">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color w:val="auto"/>
                <w:szCs w:val="21"/>
              </w:rPr>
              <w:t>非甲烷总烃</w:t>
            </w:r>
          </w:p>
        </w:tc>
        <w:tc>
          <w:tcPr>
            <w:tcW w:w="2523" w:type="dxa"/>
            <w:vMerge w:val="restart"/>
            <w:shd w:val="clear" w:color="auto" w:fill="auto"/>
            <w:vAlign w:val="center"/>
          </w:tcPr>
          <w:p w14:paraId="1B88158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①</w:t>
            </w:r>
            <w:r>
              <w:rPr>
                <w:rFonts w:hint="eastAsia" w:ascii="Times New Roman" w:hAnsi="Times New Roman" w:eastAsia="宋体" w:cs="Times New Roman"/>
                <w:bCs/>
                <w:color w:val="auto"/>
                <w:szCs w:val="21"/>
                <w:highlight w:val="none"/>
                <w:lang w:val="en-US" w:eastAsia="zh-CN"/>
              </w:rPr>
              <w:t>喷粉固化工序：喷粉</w:t>
            </w:r>
            <w:r>
              <w:rPr>
                <w:rFonts w:hint="default" w:ascii="Times New Roman" w:hAnsi="Times New Roman" w:eastAsia="宋体" w:cs="Times New Roman"/>
                <w:bCs/>
                <w:color w:val="auto"/>
                <w:szCs w:val="21"/>
                <w:highlight w:val="none"/>
                <w:lang w:val="en-US" w:eastAsia="zh-CN"/>
              </w:rPr>
              <w:t>粉末固化通道密闭+进出口处设置集气罩收集</w:t>
            </w:r>
            <w:r>
              <w:rPr>
                <w:rFonts w:hint="eastAsia" w:ascii="Times New Roman" w:hAnsi="Times New Roman" w:eastAsia="宋体" w:cs="Times New Roman"/>
                <w:bCs/>
                <w:color w:val="auto"/>
                <w:szCs w:val="21"/>
                <w:highlight w:val="none"/>
                <w:lang w:val="en-US" w:eastAsia="zh-CN"/>
              </w:rPr>
              <w:t>；</w:t>
            </w:r>
          </w:p>
          <w:p w14:paraId="5F51FFA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②</w:t>
            </w:r>
            <w:r>
              <w:rPr>
                <w:rFonts w:hint="eastAsia" w:ascii="Times New Roman" w:hAnsi="Times New Roman" w:eastAsia="宋体" w:cs="Times New Roman"/>
                <w:bCs/>
                <w:color w:val="auto"/>
                <w:szCs w:val="21"/>
                <w:highlight w:val="none"/>
                <w:lang w:val="en-US" w:eastAsia="zh-CN"/>
              </w:rPr>
              <w:t>喷漆烘干工序：喷漆烘干通道密闭</w:t>
            </w:r>
            <w:r>
              <w:rPr>
                <w:rFonts w:hint="default" w:ascii="Times New Roman" w:hAnsi="Times New Roman" w:eastAsia="宋体" w:cs="Times New Roman"/>
                <w:bCs/>
                <w:color w:val="auto"/>
                <w:szCs w:val="21"/>
                <w:highlight w:val="none"/>
                <w:lang w:val="en-US" w:eastAsia="zh-CN"/>
              </w:rPr>
              <w:t>+进出口处设置集气罩收集</w:t>
            </w:r>
            <w:r>
              <w:rPr>
                <w:rFonts w:hint="eastAsia" w:ascii="Times New Roman" w:hAnsi="Times New Roman" w:eastAsia="宋体" w:cs="Times New Roman"/>
                <w:bCs/>
                <w:color w:val="auto"/>
                <w:szCs w:val="21"/>
                <w:highlight w:val="none"/>
                <w:lang w:val="en-US" w:eastAsia="zh-CN"/>
              </w:rPr>
              <w:t>；</w:t>
            </w:r>
          </w:p>
          <w:p w14:paraId="6251F8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③</w:t>
            </w:r>
            <w:r>
              <w:rPr>
                <w:rFonts w:hint="eastAsia" w:ascii="Times New Roman" w:hAnsi="Times New Roman" w:eastAsia="宋体" w:cs="Times New Roman"/>
                <w:bCs/>
                <w:color w:val="auto"/>
                <w:szCs w:val="21"/>
                <w:highlight w:val="none"/>
                <w:lang w:val="en-US" w:eastAsia="zh-CN"/>
              </w:rPr>
              <w:t>前处理烘干工序：前处理烘干通道密闭</w:t>
            </w:r>
            <w:r>
              <w:rPr>
                <w:rFonts w:hint="default" w:ascii="Times New Roman" w:hAnsi="Times New Roman" w:eastAsia="宋体" w:cs="Times New Roman"/>
                <w:bCs/>
                <w:color w:val="auto"/>
                <w:szCs w:val="21"/>
                <w:highlight w:val="none"/>
                <w:lang w:val="en-US" w:eastAsia="zh-CN"/>
              </w:rPr>
              <w:t>+进出口处设置集气罩收集</w:t>
            </w:r>
            <w:r>
              <w:rPr>
                <w:rFonts w:hint="eastAsia" w:ascii="Times New Roman" w:hAnsi="Times New Roman" w:eastAsia="宋体" w:cs="Times New Roman"/>
                <w:bCs/>
                <w:color w:val="auto"/>
                <w:szCs w:val="21"/>
                <w:highlight w:val="none"/>
                <w:lang w:val="en-US" w:eastAsia="zh-CN"/>
              </w:rPr>
              <w:t>；</w:t>
            </w:r>
          </w:p>
          <w:p w14:paraId="1B9EE4E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eastAsia" w:ascii="Times New Roman" w:hAnsi="Times New Roman" w:eastAsia="宋体" w:cs="Times New Roman"/>
                <w:bCs/>
                <w:color w:val="auto"/>
                <w:szCs w:val="21"/>
                <w:highlight w:val="none"/>
                <w:lang w:val="en-US" w:eastAsia="zh-CN"/>
              </w:rPr>
              <w:t>天然气燃烧设置低氮燃烧，以上废气分别收集后经</w:t>
            </w:r>
            <w:r>
              <w:rPr>
                <w:rFonts w:hint="default" w:ascii="Times New Roman" w:hAnsi="Times New Roman" w:eastAsia="宋体" w:cs="Times New Roman"/>
                <w:bCs/>
                <w:color w:val="auto"/>
                <w:szCs w:val="21"/>
                <w:highlight w:val="none"/>
                <w:lang w:val="en-US" w:eastAsia="zh-CN"/>
              </w:rPr>
              <w:t>过滤棉+两级活性炭吸附装置处理后</w:t>
            </w:r>
            <w:r>
              <w:rPr>
                <w:rFonts w:hint="eastAsia" w:ascii="Times New Roman" w:hAnsi="Times New Roman" w:eastAsia="宋体" w:cs="Times New Roman"/>
                <w:bCs/>
                <w:color w:val="auto"/>
                <w:szCs w:val="21"/>
                <w:highlight w:val="none"/>
                <w:lang w:val="en-US" w:eastAsia="zh-CN"/>
              </w:rPr>
              <w:t>一并</w:t>
            </w:r>
            <w:r>
              <w:rPr>
                <w:rFonts w:hint="default" w:ascii="Times New Roman" w:hAnsi="Times New Roman" w:eastAsia="宋体" w:cs="Times New Roman"/>
                <w:bCs/>
                <w:color w:val="auto"/>
                <w:szCs w:val="21"/>
                <w:highlight w:val="none"/>
                <w:lang w:val="en-US" w:eastAsia="zh-CN"/>
              </w:rPr>
              <w:t>通过1根</w:t>
            </w:r>
            <w:r>
              <w:rPr>
                <w:rFonts w:hint="eastAsia" w:ascii="Times New Roman" w:hAnsi="Times New Roman" w:eastAsia="宋体" w:cs="Times New Roman"/>
                <w:bCs/>
                <w:color w:val="auto"/>
                <w:szCs w:val="21"/>
                <w:highlight w:val="none"/>
                <w:lang w:val="en-US" w:eastAsia="zh-CN"/>
              </w:rPr>
              <w:t>15</w:t>
            </w:r>
            <w:r>
              <w:rPr>
                <w:rFonts w:hint="default" w:ascii="Times New Roman" w:hAnsi="Times New Roman" w:eastAsia="宋体" w:cs="Times New Roman"/>
                <w:bCs/>
                <w:color w:val="auto"/>
                <w:szCs w:val="21"/>
                <w:highlight w:val="none"/>
                <w:lang w:val="en-US" w:eastAsia="zh-CN"/>
              </w:rPr>
              <w:t>m高的排气筒DA00</w:t>
            </w:r>
            <w:r>
              <w:rPr>
                <w:rFonts w:hint="eastAsia" w:ascii="Times New Roman" w:hAnsi="Times New Roman" w:eastAsia="宋体" w:cs="Times New Roman"/>
                <w:bCs/>
                <w:color w:val="auto"/>
                <w:szCs w:val="21"/>
                <w:highlight w:val="none"/>
                <w:lang w:val="en-US" w:eastAsia="zh-CN"/>
              </w:rPr>
              <w:t>2</w:t>
            </w:r>
            <w:r>
              <w:rPr>
                <w:rFonts w:hint="default" w:ascii="Times New Roman" w:hAnsi="Times New Roman" w:eastAsia="宋体" w:cs="Times New Roman"/>
                <w:bCs/>
                <w:color w:val="auto"/>
                <w:szCs w:val="21"/>
                <w:highlight w:val="none"/>
                <w:lang w:val="en-US" w:eastAsia="zh-CN"/>
              </w:rPr>
              <w:t>排放</w:t>
            </w:r>
          </w:p>
        </w:tc>
        <w:tc>
          <w:tcPr>
            <w:tcW w:w="2363" w:type="dxa"/>
            <w:tcBorders>
              <w:top w:val="single" w:color="auto" w:sz="4" w:space="0"/>
              <w:right w:val="single" w:color="auto" w:sz="12" w:space="0"/>
            </w:tcBorders>
            <w:vAlign w:val="center"/>
          </w:tcPr>
          <w:p w14:paraId="445F0A53">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000000" w:themeColor="text1"/>
                <w:kern w:val="0"/>
                <w:sz w:val="21"/>
                <w:szCs w:val="21"/>
                <w14:textFill>
                  <w14:solidFill>
                    <w14:schemeClr w14:val="tx1"/>
                  </w14:solidFill>
                </w14:textFill>
              </w:rPr>
              <w:t>《固定源挥发性有机物综合排放标准第6部分：其他行业》（DB34/4812.6-2024）表1</w:t>
            </w:r>
          </w:p>
        </w:tc>
      </w:tr>
      <w:tr w14:paraId="737493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112" w:type="dxa"/>
            <w:vMerge w:val="continue"/>
            <w:tcBorders>
              <w:left w:val="single" w:color="auto" w:sz="12" w:space="0"/>
            </w:tcBorders>
            <w:vAlign w:val="center"/>
          </w:tcPr>
          <w:p w14:paraId="71FCB86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57952CCA">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Merge w:val="continue"/>
            <w:vAlign w:val="center"/>
          </w:tcPr>
          <w:p w14:paraId="5F86EFB3">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p>
        </w:tc>
        <w:tc>
          <w:tcPr>
            <w:tcW w:w="1145" w:type="dxa"/>
            <w:tcBorders>
              <w:top w:val="single" w:color="auto" w:sz="4" w:space="0"/>
            </w:tcBorders>
            <w:shd w:val="clear" w:color="auto" w:fill="auto"/>
            <w:vAlign w:val="center"/>
          </w:tcPr>
          <w:p w14:paraId="74B7CAB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color w:val="auto"/>
                <w:kern w:val="0"/>
                <w:szCs w:val="21"/>
              </w:rPr>
              <w:t>颗粒物</w:t>
            </w:r>
          </w:p>
        </w:tc>
        <w:tc>
          <w:tcPr>
            <w:tcW w:w="2523" w:type="dxa"/>
            <w:vMerge w:val="continue"/>
            <w:shd w:val="clear" w:color="auto" w:fill="auto"/>
            <w:vAlign w:val="center"/>
          </w:tcPr>
          <w:p w14:paraId="2B55808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p>
        </w:tc>
        <w:tc>
          <w:tcPr>
            <w:tcW w:w="2363" w:type="dxa"/>
            <w:vMerge w:val="restart"/>
            <w:tcBorders>
              <w:right w:val="single" w:color="auto" w:sz="12" w:space="0"/>
            </w:tcBorders>
            <w:vAlign w:val="center"/>
          </w:tcPr>
          <w:p w14:paraId="783FAC5F">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color w:val="auto"/>
              </w:rPr>
              <w:t>《工业炉窑大气污染综合治理方案》（环大气[2019]56号）排放限值</w:t>
            </w:r>
          </w:p>
        </w:tc>
      </w:tr>
      <w:tr w14:paraId="042572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112" w:type="dxa"/>
            <w:vMerge w:val="continue"/>
            <w:tcBorders>
              <w:left w:val="single" w:color="auto" w:sz="12" w:space="0"/>
            </w:tcBorders>
            <w:vAlign w:val="center"/>
          </w:tcPr>
          <w:p w14:paraId="6C47CA8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10E741C0">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Merge w:val="continue"/>
            <w:vAlign w:val="center"/>
          </w:tcPr>
          <w:p w14:paraId="5C99124D">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p>
        </w:tc>
        <w:tc>
          <w:tcPr>
            <w:tcW w:w="1145" w:type="dxa"/>
            <w:tcBorders>
              <w:top w:val="single" w:color="auto" w:sz="4" w:space="0"/>
            </w:tcBorders>
            <w:shd w:val="clear" w:color="auto" w:fill="auto"/>
            <w:vAlign w:val="center"/>
          </w:tcPr>
          <w:p w14:paraId="60814905">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Cs w:val="21"/>
                <w:highlight w:val="none"/>
              </w:rPr>
            </w:pPr>
            <w:r>
              <w:rPr>
                <w:rFonts w:hint="default" w:eastAsiaTheme="minorEastAsia"/>
                <w:snapToGrid w:val="0"/>
                <w:color w:val="auto"/>
                <w:kern w:val="0"/>
                <w:szCs w:val="21"/>
              </w:rPr>
              <w:t>SO</w:t>
            </w:r>
            <w:r>
              <w:rPr>
                <w:rFonts w:hint="default" w:eastAsiaTheme="minorEastAsia"/>
                <w:snapToGrid w:val="0"/>
                <w:color w:val="auto"/>
                <w:kern w:val="0"/>
                <w:szCs w:val="21"/>
                <w:vertAlign w:val="subscript"/>
              </w:rPr>
              <w:t>2</w:t>
            </w:r>
          </w:p>
        </w:tc>
        <w:tc>
          <w:tcPr>
            <w:tcW w:w="2523" w:type="dxa"/>
            <w:vMerge w:val="continue"/>
            <w:shd w:val="clear" w:color="auto" w:fill="auto"/>
            <w:vAlign w:val="center"/>
          </w:tcPr>
          <w:p w14:paraId="0A5A450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p>
        </w:tc>
        <w:tc>
          <w:tcPr>
            <w:tcW w:w="2363" w:type="dxa"/>
            <w:vMerge w:val="continue"/>
            <w:tcBorders>
              <w:right w:val="single" w:color="auto" w:sz="12" w:space="0"/>
            </w:tcBorders>
            <w:vAlign w:val="center"/>
          </w:tcPr>
          <w:p w14:paraId="5914B20E">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rPr>
            </w:pPr>
          </w:p>
        </w:tc>
      </w:tr>
      <w:tr w14:paraId="176C2E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6E95E18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091D4D59">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Merge w:val="continue"/>
            <w:vAlign w:val="center"/>
          </w:tcPr>
          <w:p w14:paraId="23BB46AD">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p>
        </w:tc>
        <w:tc>
          <w:tcPr>
            <w:tcW w:w="1145" w:type="dxa"/>
            <w:tcBorders>
              <w:top w:val="single" w:color="auto" w:sz="4" w:space="0"/>
            </w:tcBorders>
            <w:shd w:val="clear" w:color="auto" w:fill="auto"/>
            <w:vAlign w:val="center"/>
          </w:tcPr>
          <w:p w14:paraId="5A467DD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Cs w:val="21"/>
                <w:highlight w:val="none"/>
              </w:rPr>
            </w:pPr>
            <w:r>
              <w:rPr>
                <w:rFonts w:hint="default" w:eastAsiaTheme="minorEastAsia"/>
                <w:snapToGrid w:val="0"/>
                <w:color w:val="auto"/>
                <w:kern w:val="0"/>
                <w:szCs w:val="21"/>
              </w:rPr>
              <w:t>NOx</w:t>
            </w:r>
          </w:p>
        </w:tc>
        <w:tc>
          <w:tcPr>
            <w:tcW w:w="2523" w:type="dxa"/>
            <w:vMerge w:val="continue"/>
            <w:shd w:val="clear" w:color="auto" w:fill="auto"/>
            <w:vAlign w:val="center"/>
          </w:tcPr>
          <w:p w14:paraId="40AEC00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p>
        </w:tc>
        <w:tc>
          <w:tcPr>
            <w:tcW w:w="2363" w:type="dxa"/>
            <w:vMerge w:val="continue"/>
            <w:tcBorders>
              <w:right w:val="single" w:color="auto" w:sz="12" w:space="0"/>
            </w:tcBorders>
            <w:vAlign w:val="center"/>
          </w:tcPr>
          <w:p w14:paraId="62DDD14E">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rPr>
            </w:pPr>
          </w:p>
        </w:tc>
      </w:tr>
      <w:tr w14:paraId="1DCD3D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7F86248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5A513C45">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Merge w:val="restart"/>
            <w:vAlign w:val="center"/>
          </w:tcPr>
          <w:p w14:paraId="203E45A7">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000000" w:themeColor="text1"/>
                <w:szCs w:val="21"/>
                <w14:textFill>
                  <w14:solidFill>
                    <w14:schemeClr w14:val="tx1"/>
                  </w14:solidFill>
                </w14:textFill>
              </w:rPr>
              <w:t>调漆、</w:t>
            </w:r>
            <w:r>
              <w:rPr>
                <w:rFonts w:hint="eastAsia" w:cs="Times New Roman"/>
                <w:color w:val="000000" w:themeColor="text1"/>
                <w:szCs w:val="21"/>
                <w:lang w:eastAsia="zh-CN"/>
                <w14:textFill>
                  <w14:solidFill>
                    <w14:schemeClr w14:val="tx1"/>
                  </w14:solidFill>
                </w14:textFill>
              </w:rPr>
              <w:t>喷漆</w:t>
            </w:r>
            <w:r>
              <w:rPr>
                <w:rFonts w:hint="default" w:ascii="Times New Roman" w:hAnsi="Times New Roman" w:cs="Times New Roman"/>
                <w:color w:val="000000" w:themeColor="text1"/>
                <w:szCs w:val="21"/>
                <w14:textFill>
                  <w14:solidFill>
                    <w14:schemeClr w14:val="tx1"/>
                  </w14:solidFill>
                </w14:textFill>
              </w:rPr>
              <w:t>、喷枪清洗</w:t>
            </w:r>
            <w:r>
              <w:rPr>
                <w:rFonts w:hint="default"/>
                <w:color w:val="auto"/>
                <w:szCs w:val="21"/>
              </w:rPr>
              <w:t>废气排放口（DA00</w:t>
            </w:r>
            <w:r>
              <w:rPr>
                <w:rFonts w:hint="eastAsia"/>
                <w:color w:val="auto"/>
                <w:szCs w:val="21"/>
                <w:lang w:val="en-US" w:eastAsia="zh-CN"/>
              </w:rPr>
              <w:t>3</w:t>
            </w:r>
            <w:r>
              <w:rPr>
                <w:rFonts w:hint="default"/>
                <w:color w:val="auto"/>
                <w:szCs w:val="21"/>
              </w:rPr>
              <w:t>）</w:t>
            </w:r>
          </w:p>
        </w:tc>
        <w:tc>
          <w:tcPr>
            <w:tcW w:w="1145" w:type="dxa"/>
            <w:tcBorders>
              <w:top w:val="single" w:color="auto" w:sz="4" w:space="0"/>
            </w:tcBorders>
            <w:shd w:val="clear" w:color="auto" w:fill="auto"/>
            <w:vAlign w:val="center"/>
          </w:tcPr>
          <w:p w14:paraId="610D1BB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rPr>
            </w:pPr>
            <w:r>
              <w:rPr>
                <w:rFonts w:hint="default"/>
                <w:color w:val="auto"/>
                <w:szCs w:val="21"/>
              </w:rPr>
              <w:t>非甲烷总烃</w:t>
            </w:r>
          </w:p>
        </w:tc>
        <w:tc>
          <w:tcPr>
            <w:tcW w:w="2523" w:type="dxa"/>
            <w:vMerge w:val="restart"/>
            <w:shd w:val="clear" w:color="auto" w:fill="auto"/>
            <w:vAlign w:val="center"/>
          </w:tcPr>
          <w:p w14:paraId="54263B1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color w:val="auto"/>
                <w:szCs w:val="21"/>
                <w:highlight w:val="none"/>
              </w:rPr>
              <w:t>调漆间、喷漆房密闭，负压抽风收集</w:t>
            </w:r>
            <w:r>
              <w:rPr>
                <w:rFonts w:hint="eastAsia"/>
                <w:color w:val="auto"/>
                <w:szCs w:val="21"/>
                <w:highlight w:val="none"/>
                <w:lang w:val="en-US" w:eastAsia="zh-CN"/>
              </w:rPr>
              <w:t>+水帘柜+干式过滤+</w:t>
            </w:r>
            <w:r>
              <w:rPr>
                <w:rFonts w:hint="default" w:ascii="Times New Roman" w:hAnsi="Times New Roman" w:cs="Times New Roman"/>
                <w:color w:val="000000"/>
                <w:szCs w:val="21"/>
              </w:rPr>
              <w:t>两级活性炭吸附装置处理后通过1根</w:t>
            </w:r>
            <w:r>
              <w:rPr>
                <w:rFonts w:hint="eastAsia" w:ascii="Times New Roman" w:hAnsi="Times New Roman" w:cs="Times New Roman"/>
                <w:color w:val="000000"/>
                <w:szCs w:val="21"/>
              </w:rPr>
              <w:t>15</w:t>
            </w:r>
            <w:r>
              <w:rPr>
                <w:rFonts w:hint="default" w:ascii="Times New Roman" w:hAnsi="Times New Roman" w:cs="Times New Roman"/>
                <w:color w:val="000000"/>
                <w:szCs w:val="21"/>
              </w:rPr>
              <w:t>m高的排气筒DA00</w:t>
            </w:r>
            <w:r>
              <w:rPr>
                <w:rFonts w:hint="eastAsia" w:ascii="Times New Roman" w:hAnsi="Times New Roman" w:cs="Times New Roman"/>
                <w:color w:val="000000"/>
                <w:szCs w:val="21"/>
              </w:rPr>
              <w:t>3</w:t>
            </w:r>
            <w:r>
              <w:rPr>
                <w:rFonts w:hint="default" w:ascii="Times New Roman" w:hAnsi="Times New Roman" w:cs="Times New Roman"/>
                <w:color w:val="000000"/>
                <w:szCs w:val="21"/>
              </w:rPr>
              <w:t>排放</w:t>
            </w:r>
          </w:p>
        </w:tc>
        <w:tc>
          <w:tcPr>
            <w:tcW w:w="2363" w:type="dxa"/>
            <w:tcBorders>
              <w:right w:val="single" w:color="auto" w:sz="12" w:space="0"/>
            </w:tcBorders>
            <w:shd w:val="clear" w:color="auto" w:fill="auto"/>
            <w:vAlign w:val="center"/>
          </w:tcPr>
          <w:p w14:paraId="59783F32">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000000" w:themeColor="text1"/>
                <w:kern w:val="0"/>
                <w:sz w:val="21"/>
                <w:szCs w:val="21"/>
                <w14:textFill>
                  <w14:solidFill>
                    <w14:schemeClr w14:val="tx1"/>
                  </w14:solidFill>
                </w14:textFill>
              </w:rPr>
              <w:t>《固定源挥发性有机物综合排放标准第6部分：其他行业》（DB34/4812.6-2024）表1</w:t>
            </w:r>
          </w:p>
        </w:tc>
      </w:tr>
      <w:tr w14:paraId="2D4E86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19F036E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79B8AE08">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Merge w:val="continue"/>
            <w:vAlign w:val="center"/>
          </w:tcPr>
          <w:p w14:paraId="4094C87D">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p>
        </w:tc>
        <w:tc>
          <w:tcPr>
            <w:tcW w:w="1145" w:type="dxa"/>
            <w:tcBorders>
              <w:top w:val="single" w:color="auto" w:sz="4" w:space="0"/>
            </w:tcBorders>
            <w:shd w:val="clear" w:color="auto" w:fill="auto"/>
            <w:vAlign w:val="center"/>
          </w:tcPr>
          <w:p w14:paraId="066225E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Cs w:val="21"/>
                <w:highlight w:val="none"/>
              </w:rPr>
            </w:pPr>
            <w:r>
              <w:rPr>
                <w:rFonts w:hint="default"/>
                <w:color w:val="auto"/>
                <w:kern w:val="0"/>
                <w:szCs w:val="21"/>
                <w:lang w:bidi="ar"/>
              </w:rPr>
              <w:t>颗粒物</w:t>
            </w:r>
          </w:p>
        </w:tc>
        <w:tc>
          <w:tcPr>
            <w:tcW w:w="2523" w:type="dxa"/>
            <w:vMerge w:val="continue"/>
            <w:shd w:val="clear" w:color="auto" w:fill="auto"/>
            <w:vAlign w:val="center"/>
          </w:tcPr>
          <w:p w14:paraId="1670622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p>
        </w:tc>
        <w:tc>
          <w:tcPr>
            <w:tcW w:w="2363" w:type="dxa"/>
            <w:tcBorders>
              <w:right w:val="single" w:color="auto" w:sz="12" w:space="0"/>
            </w:tcBorders>
            <w:vAlign w:val="center"/>
          </w:tcPr>
          <w:p w14:paraId="0E156185">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color w:val="auto"/>
                <w:kern w:val="0"/>
                <w:szCs w:val="21"/>
              </w:rPr>
              <w:t>《大气污染物综合排放标准》（GB 16297-1996）表2</w:t>
            </w:r>
          </w:p>
        </w:tc>
      </w:tr>
      <w:tr w14:paraId="56954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41C8F9E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3EACBC0D">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tcBorders>
              <w:top w:val="single" w:color="auto" w:sz="4" w:space="0"/>
            </w:tcBorders>
            <w:shd w:val="clear" w:color="auto" w:fill="auto"/>
            <w:vAlign w:val="center"/>
          </w:tcPr>
          <w:p w14:paraId="708CB4FA">
            <w:pPr>
              <w:keepNext w:val="0"/>
              <w:keepLines w:val="0"/>
              <w:widowControl/>
              <w:suppressLineNumbers w:val="0"/>
              <w:spacing w:before="0" w:beforeAutospacing="0" w:after="0" w:afterAutospacing="0"/>
              <w:ind w:left="0" w:right="0"/>
              <w:jc w:val="center"/>
              <w:rPr>
                <w:rFonts w:hint="default"/>
                <w:color w:val="auto"/>
                <w:szCs w:val="21"/>
              </w:rPr>
            </w:pPr>
            <w:r>
              <w:rPr>
                <w:rFonts w:hint="default" w:ascii="Times New Roman" w:hAnsi="Times New Roman" w:cs="Times New Roman"/>
                <w:color w:val="000000" w:themeColor="text1"/>
                <w:kern w:val="0"/>
                <w:szCs w:val="21"/>
                <w:lang w:bidi="ar"/>
                <w14:textFill>
                  <w14:solidFill>
                    <w14:schemeClr w14:val="tx1"/>
                  </w14:solidFill>
                </w14:textFill>
              </w:rPr>
              <w:t>喷粉</w:t>
            </w:r>
            <w:r>
              <w:rPr>
                <w:rFonts w:hint="eastAsia" w:ascii="Times New Roman" w:hAnsi="Times New Roman" w:cs="Times New Roman"/>
                <w:color w:val="000000" w:themeColor="text1"/>
                <w:kern w:val="0"/>
                <w:szCs w:val="21"/>
                <w:lang w:val="en-US" w:eastAsia="zh-CN" w:bidi="ar"/>
                <w14:textFill>
                  <w14:solidFill>
                    <w14:schemeClr w14:val="tx1"/>
                  </w14:solidFill>
                </w14:textFill>
              </w:rPr>
              <w:t>粉尘</w:t>
            </w:r>
            <w:r>
              <w:rPr>
                <w:rFonts w:hint="default"/>
                <w:color w:val="auto"/>
                <w:szCs w:val="21"/>
              </w:rPr>
              <w:t>排放口</w:t>
            </w:r>
          </w:p>
          <w:p w14:paraId="63DFC681">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color w:val="auto"/>
                <w:szCs w:val="21"/>
              </w:rPr>
              <w:t>（DA00</w:t>
            </w:r>
            <w:r>
              <w:rPr>
                <w:rFonts w:hint="eastAsia"/>
                <w:color w:val="auto"/>
                <w:szCs w:val="21"/>
                <w:lang w:val="en-US" w:eastAsia="zh-CN"/>
              </w:rPr>
              <w:t>4</w:t>
            </w:r>
            <w:r>
              <w:rPr>
                <w:rFonts w:hint="default"/>
                <w:color w:val="auto"/>
                <w:szCs w:val="21"/>
              </w:rPr>
              <w:t>）</w:t>
            </w:r>
          </w:p>
        </w:tc>
        <w:tc>
          <w:tcPr>
            <w:tcW w:w="1145" w:type="dxa"/>
            <w:tcBorders>
              <w:top w:val="single" w:color="auto" w:sz="4" w:space="0"/>
            </w:tcBorders>
            <w:shd w:val="clear" w:color="auto" w:fill="auto"/>
            <w:vAlign w:val="center"/>
          </w:tcPr>
          <w:p w14:paraId="394961D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highlight w:val="none"/>
              </w:rPr>
            </w:pPr>
            <w:r>
              <w:rPr>
                <w:rFonts w:hint="default"/>
                <w:color w:val="auto"/>
                <w:kern w:val="0"/>
                <w:szCs w:val="21"/>
                <w:lang w:bidi="ar"/>
              </w:rPr>
              <w:t>颗粒物</w:t>
            </w:r>
          </w:p>
        </w:tc>
        <w:tc>
          <w:tcPr>
            <w:tcW w:w="2523" w:type="dxa"/>
            <w:tcBorders>
              <w:top w:val="single" w:color="auto" w:sz="4" w:space="0"/>
            </w:tcBorders>
            <w:shd w:val="clear" w:color="auto" w:fill="auto"/>
            <w:vAlign w:val="center"/>
          </w:tcPr>
          <w:p w14:paraId="3FFEB79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bCs/>
                <w:color w:val="auto"/>
                <w:szCs w:val="21"/>
                <w:highlight w:val="none"/>
                <w:lang w:val="en-US" w:eastAsia="zh-CN"/>
              </w:rPr>
              <w:t>喷粉房密闭负压收集后+滤筒+脉冲布袋除尘器处理后通过1根</w:t>
            </w:r>
            <w:r>
              <w:rPr>
                <w:rFonts w:hint="eastAsia" w:ascii="Times New Roman" w:hAnsi="Times New Roman" w:eastAsia="宋体" w:cs="Times New Roman"/>
                <w:bCs/>
                <w:color w:val="auto"/>
                <w:szCs w:val="21"/>
                <w:highlight w:val="none"/>
                <w:lang w:val="en-US" w:eastAsia="zh-CN"/>
              </w:rPr>
              <w:t>15</w:t>
            </w:r>
            <w:r>
              <w:rPr>
                <w:rFonts w:hint="default" w:ascii="Times New Roman" w:hAnsi="Times New Roman" w:eastAsia="宋体" w:cs="Times New Roman"/>
                <w:bCs/>
                <w:color w:val="auto"/>
                <w:szCs w:val="21"/>
                <w:highlight w:val="none"/>
                <w:lang w:val="en-US" w:eastAsia="zh-CN"/>
              </w:rPr>
              <w:t>m高的排气筒DA00</w:t>
            </w:r>
            <w:r>
              <w:rPr>
                <w:rFonts w:hint="eastAsia" w:ascii="Times New Roman" w:hAnsi="Times New Roman" w:eastAsia="宋体" w:cs="Times New Roman"/>
                <w:bCs/>
                <w:color w:val="auto"/>
                <w:szCs w:val="21"/>
                <w:highlight w:val="none"/>
                <w:lang w:val="en-US" w:eastAsia="zh-CN"/>
              </w:rPr>
              <w:t>4</w:t>
            </w:r>
            <w:r>
              <w:rPr>
                <w:rFonts w:hint="default" w:ascii="Times New Roman" w:hAnsi="Times New Roman" w:eastAsia="宋体" w:cs="Times New Roman"/>
                <w:bCs/>
                <w:color w:val="auto"/>
                <w:szCs w:val="21"/>
                <w:highlight w:val="none"/>
                <w:lang w:val="en-US" w:eastAsia="zh-CN"/>
              </w:rPr>
              <w:t>排放</w:t>
            </w:r>
          </w:p>
        </w:tc>
        <w:tc>
          <w:tcPr>
            <w:tcW w:w="2363" w:type="dxa"/>
            <w:tcBorders>
              <w:right w:val="single" w:color="auto" w:sz="12" w:space="0"/>
            </w:tcBorders>
            <w:vAlign w:val="center"/>
          </w:tcPr>
          <w:p w14:paraId="365B1429">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rPr>
            </w:pPr>
            <w:r>
              <w:rPr>
                <w:rFonts w:hint="default"/>
                <w:color w:val="auto"/>
                <w:kern w:val="0"/>
                <w:szCs w:val="21"/>
              </w:rPr>
              <w:t>《大气污染物综合排放标准》（GB 16297-1996）表2</w:t>
            </w:r>
          </w:p>
        </w:tc>
      </w:tr>
      <w:tr w14:paraId="081DC8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125536E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restart"/>
            <w:vAlign w:val="center"/>
          </w:tcPr>
          <w:p w14:paraId="6A277892">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r>
              <w:rPr>
                <w:rFonts w:hint="default" w:ascii="Times New Roman" w:hAnsi="Times New Roman" w:cs="Times New Roman"/>
                <w:color w:val="auto"/>
                <w:kern w:val="1"/>
                <w:szCs w:val="21"/>
                <w:highlight w:val="none"/>
              </w:rPr>
              <w:t>无组织</w:t>
            </w:r>
          </w:p>
        </w:tc>
        <w:tc>
          <w:tcPr>
            <w:tcW w:w="1213" w:type="dxa"/>
            <w:vMerge w:val="restart"/>
            <w:tcBorders>
              <w:top w:val="single" w:color="auto" w:sz="4" w:space="0"/>
            </w:tcBorders>
            <w:vAlign w:val="center"/>
          </w:tcPr>
          <w:p w14:paraId="425625C3">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生产</w:t>
            </w:r>
          </w:p>
          <w:p w14:paraId="12F2670B">
            <w:pPr>
              <w:keepNext w:val="0"/>
              <w:keepLines w:val="0"/>
              <w:suppressLineNumbers w:val="0"/>
              <w:snapToGrid w:val="0"/>
              <w:spacing w:before="0" w:beforeAutospacing="0" w:after="0" w:afterAutospacing="0"/>
              <w:ind w:left="0" w:leftChars="0" w:right="0" w:rightChars="0"/>
              <w:jc w:val="center"/>
              <w:rPr>
                <w:rFonts w:hint="default"/>
              </w:rPr>
            </w:pPr>
            <w:r>
              <w:rPr>
                <w:rFonts w:hint="default" w:ascii="Times New Roman" w:hAnsi="Times New Roman" w:cs="Times New Roman"/>
                <w:color w:val="auto"/>
                <w:szCs w:val="21"/>
                <w:highlight w:val="none"/>
              </w:rPr>
              <w:t>车间</w:t>
            </w:r>
          </w:p>
        </w:tc>
        <w:tc>
          <w:tcPr>
            <w:tcW w:w="1145" w:type="dxa"/>
            <w:tcBorders>
              <w:top w:val="single" w:color="auto" w:sz="4" w:space="0"/>
            </w:tcBorders>
            <w:shd w:val="clear" w:color="auto" w:fill="auto"/>
            <w:vAlign w:val="center"/>
          </w:tcPr>
          <w:p w14:paraId="4317264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lang w:bidi="ar"/>
              </w:rPr>
              <w:t>非甲烷总烃</w:t>
            </w:r>
          </w:p>
        </w:tc>
        <w:tc>
          <w:tcPr>
            <w:tcW w:w="2523" w:type="dxa"/>
            <w:vMerge w:val="restart"/>
            <w:tcBorders>
              <w:top w:val="single" w:color="auto" w:sz="4" w:space="0"/>
            </w:tcBorders>
            <w:vAlign w:val="center"/>
          </w:tcPr>
          <w:p w14:paraId="549E4E91">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bCs/>
                <w:color w:val="auto"/>
                <w:szCs w:val="18"/>
                <w:highlight w:val="none"/>
              </w:rPr>
              <w:t>提高废气收集效率，减少无组织排放，强化车间通风</w:t>
            </w:r>
          </w:p>
        </w:tc>
        <w:tc>
          <w:tcPr>
            <w:tcW w:w="2363" w:type="dxa"/>
            <w:vMerge w:val="restart"/>
            <w:tcBorders>
              <w:right w:val="single" w:color="auto" w:sz="12" w:space="0"/>
            </w:tcBorders>
            <w:vAlign w:val="center"/>
          </w:tcPr>
          <w:p w14:paraId="32940ABE">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lang w:val="zh-CN"/>
              </w:rPr>
            </w:pPr>
            <w:r>
              <w:rPr>
                <w:rFonts w:hint="default"/>
                <w:color w:val="auto"/>
                <w:kern w:val="0"/>
                <w:szCs w:val="21"/>
              </w:rPr>
              <w:t>《大气污染物综合排放标准》（GB 16297-1996）表2</w:t>
            </w:r>
          </w:p>
        </w:tc>
      </w:tr>
      <w:tr w14:paraId="493CEA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6892F57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41C2FA11">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Merge w:val="continue"/>
            <w:vAlign w:val="center"/>
          </w:tcPr>
          <w:p w14:paraId="7233A2E5">
            <w:pPr>
              <w:keepNext w:val="0"/>
              <w:keepLines w:val="0"/>
              <w:suppressLineNumbers w:val="0"/>
              <w:snapToGrid w:val="0"/>
              <w:spacing w:before="0" w:beforeAutospacing="0" w:after="0" w:afterAutospacing="0"/>
              <w:ind w:left="0" w:leftChars="0" w:right="0" w:rightChars="0"/>
              <w:jc w:val="center"/>
              <w:rPr>
                <w:rFonts w:hint="default"/>
              </w:rPr>
            </w:pPr>
          </w:p>
        </w:tc>
        <w:tc>
          <w:tcPr>
            <w:tcW w:w="1145" w:type="dxa"/>
            <w:tcBorders>
              <w:top w:val="single" w:color="auto" w:sz="4" w:space="0"/>
            </w:tcBorders>
            <w:shd w:val="clear" w:color="auto" w:fill="auto"/>
            <w:vAlign w:val="center"/>
          </w:tcPr>
          <w:p w14:paraId="1A178E2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rPr>
              <w:t>颗粒物</w:t>
            </w:r>
          </w:p>
        </w:tc>
        <w:tc>
          <w:tcPr>
            <w:tcW w:w="2523" w:type="dxa"/>
            <w:vMerge w:val="continue"/>
            <w:vAlign w:val="center"/>
          </w:tcPr>
          <w:p w14:paraId="7B64517A">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bCs/>
                <w:color w:val="auto"/>
                <w:szCs w:val="18"/>
                <w:highlight w:val="none"/>
              </w:rPr>
            </w:pPr>
          </w:p>
        </w:tc>
        <w:tc>
          <w:tcPr>
            <w:tcW w:w="2363" w:type="dxa"/>
            <w:vMerge w:val="continue"/>
            <w:tcBorders>
              <w:right w:val="single" w:color="auto" w:sz="12" w:space="0"/>
            </w:tcBorders>
            <w:vAlign w:val="center"/>
          </w:tcPr>
          <w:p w14:paraId="7C1F0AB0">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Cs w:val="21"/>
                <w:highlight w:val="none"/>
                <w:lang w:val="zh-CN"/>
              </w:rPr>
            </w:pPr>
          </w:p>
        </w:tc>
      </w:tr>
      <w:tr w14:paraId="05614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1A17189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444" w:type="dxa"/>
            <w:vMerge w:val="continue"/>
            <w:vAlign w:val="center"/>
          </w:tcPr>
          <w:p w14:paraId="350D28B1">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1"/>
                <w:szCs w:val="21"/>
                <w:highlight w:val="none"/>
              </w:rPr>
            </w:pPr>
          </w:p>
        </w:tc>
        <w:tc>
          <w:tcPr>
            <w:tcW w:w="1213" w:type="dxa"/>
            <w:vAlign w:val="center"/>
          </w:tcPr>
          <w:p w14:paraId="05C5A30E">
            <w:pPr>
              <w:keepNext w:val="0"/>
              <w:keepLines w:val="0"/>
              <w:suppressLineNumbers w:val="0"/>
              <w:snapToGrid w:val="0"/>
              <w:spacing w:before="0" w:beforeAutospacing="0" w:after="0" w:afterAutospacing="0"/>
              <w:ind w:left="0" w:leftChars="0" w:right="0" w:rightChars="0"/>
              <w:jc w:val="center"/>
              <w:rPr>
                <w:rFonts w:hint="default"/>
              </w:rPr>
            </w:pPr>
            <w:r>
              <w:rPr>
                <w:rFonts w:hint="default" w:ascii="Times New Roman" w:hAnsi="Times New Roman" w:cs="Times New Roman"/>
                <w:color w:val="auto"/>
                <w:szCs w:val="21"/>
                <w:highlight w:val="none"/>
              </w:rPr>
              <w:t>厂区内</w:t>
            </w:r>
          </w:p>
        </w:tc>
        <w:tc>
          <w:tcPr>
            <w:tcW w:w="1145" w:type="dxa"/>
            <w:tcBorders>
              <w:top w:val="single" w:color="auto" w:sz="4" w:space="0"/>
            </w:tcBorders>
            <w:shd w:val="clear" w:color="auto" w:fill="auto"/>
            <w:vAlign w:val="center"/>
          </w:tcPr>
          <w:p w14:paraId="47D8CE64">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非甲烷总烃</w:t>
            </w:r>
          </w:p>
        </w:tc>
        <w:tc>
          <w:tcPr>
            <w:tcW w:w="2523" w:type="dxa"/>
            <w:vMerge w:val="continue"/>
            <w:vAlign w:val="center"/>
          </w:tcPr>
          <w:p w14:paraId="2231A2A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Cs/>
                <w:color w:val="auto"/>
                <w:szCs w:val="18"/>
                <w:highlight w:val="none"/>
              </w:rPr>
            </w:pPr>
          </w:p>
        </w:tc>
        <w:tc>
          <w:tcPr>
            <w:tcW w:w="2363" w:type="dxa"/>
            <w:tcBorders>
              <w:right w:val="single" w:color="auto" w:sz="12" w:space="0"/>
            </w:tcBorders>
            <w:vAlign w:val="center"/>
          </w:tcPr>
          <w:p w14:paraId="1779F3A8">
            <w:pPr>
              <w:keepNext w:val="0"/>
              <w:keepLines w:val="0"/>
              <w:widowControl/>
              <w:suppressLineNumbers w:val="0"/>
              <w:spacing w:before="0" w:beforeAutospacing="0" w:after="0" w:afterAutospacing="0"/>
              <w:ind w:left="0" w:right="0"/>
              <w:jc w:val="center"/>
              <w:rPr>
                <w:rFonts w:hint="default" w:ascii="Times New Roman" w:hAnsi="Times New Roman" w:cs="Times New Roman" w:eastAsiaTheme="minorEastAsia"/>
                <w:color w:val="auto"/>
                <w:kern w:val="0"/>
                <w:szCs w:val="21"/>
                <w:highlight w:val="none"/>
                <w:lang w:val="zh-CN"/>
              </w:rPr>
            </w:pPr>
            <w:r>
              <w:rPr>
                <w:rFonts w:hint="default"/>
                <w:color w:val="auto"/>
                <w:szCs w:val="21"/>
              </w:rPr>
              <w:t>《固定源挥发性有机物综合排放标准第6部分：其他行业》（DB34/4812.6-2024）表4</w:t>
            </w:r>
          </w:p>
        </w:tc>
      </w:tr>
      <w:tr w14:paraId="240686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112" w:type="dxa"/>
            <w:vMerge w:val="restart"/>
            <w:tcBorders>
              <w:top w:val="single" w:color="auto" w:sz="4" w:space="0"/>
              <w:left w:val="single" w:color="auto" w:sz="12" w:space="0"/>
            </w:tcBorders>
            <w:vAlign w:val="center"/>
          </w:tcPr>
          <w:p w14:paraId="1E4C434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地表水</w:t>
            </w:r>
          </w:p>
          <w:p w14:paraId="2B0A90B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w:t>
            </w:r>
          </w:p>
        </w:tc>
        <w:tc>
          <w:tcPr>
            <w:tcW w:w="1657" w:type="dxa"/>
            <w:gridSpan w:val="2"/>
            <w:tcBorders>
              <w:top w:val="single" w:color="auto" w:sz="4" w:space="0"/>
            </w:tcBorders>
            <w:vAlign w:val="center"/>
          </w:tcPr>
          <w:p w14:paraId="2791FDD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生活污水</w:t>
            </w:r>
          </w:p>
        </w:tc>
        <w:tc>
          <w:tcPr>
            <w:tcW w:w="1145" w:type="dxa"/>
            <w:tcBorders>
              <w:top w:val="single" w:color="auto" w:sz="4" w:space="0"/>
            </w:tcBorders>
            <w:vAlign w:val="center"/>
          </w:tcPr>
          <w:p w14:paraId="0D521F4A">
            <w:pPr>
              <w:keepNext w:val="0"/>
              <w:keepLines w:val="0"/>
              <w:suppressLineNumbers w:val="0"/>
              <w:spacing w:before="0" w:beforeAutospacing="0" w:after="0" w:afterAutospacing="0"/>
              <w:ind w:left="0" w:right="0"/>
              <w:jc w:val="center"/>
              <w:outlineLvl w:val="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pH、COD、BOD</w:t>
            </w:r>
            <w:r>
              <w:rPr>
                <w:rFonts w:hint="default" w:ascii="Times New Roman" w:hAnsi="Times New Roman" w:cs="Times New Roman"/>
                <w:color w:val="auto"/>
                <w:szCs w:val="21"/>
                <w:highlight w:val="none"/>
                <w:vertAlign w:val="subscript"/>
              </w:rPr>
              <w:t>5</w:t>
            </w:r>
            <w:r>
              <w:rPr>
                <w:rFonts w:hint="default" w:ascii="Times New Roman" w:hAnsi="Times New Roman" w:cs="Times New Roman"/>
                <w:color w:val="auto"/>
                <w:szCs w:val="21"/>
                <w:highlight w:val="none"/>
              </w:rPr>
              <w:t>、SS、氨氮、TP、TN</w:t>
            </w:r>
          </w:p>
        </w:tc>
        <w:tc>
          <w:tcPr>
            <w:tcW w:w="2523" w:type="dxa"/>
            <w:tcBorders>
              <w:top w:val="single" w:color="auto" w:sz="4" w:space="0"/>
            </w:tcBorders>
            <w:vAlign w:val="center"/>
          </w:tcPr>
          <w:p w14:paraId="34D0049E">
            <w:pPr>
              <w:keepNext w:val="0"/>
              <w:keepLines w:val="0"/>
              <w:suppressLineNumbers w:val="0"/>
              <w:spacing w:before="0" w:beforeAutospacing="0" w:after="0" w:afterAutospacing="0"/>
              <w:ind w:left="0" w:right="0"/>
              <w:jc w:val="center"/>
              <w:outlineLvl w:val="0"/>
              <w:rPr>
                <w:rFonts w:hint="eastAsia"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化粪池</w:t>
            </w:r>
          </w:p>
        </w:tc>
        <w:tc>
          <w:tcPr>
            <w:tcW w:w="2363" w:type="dxa"/>
            <w:vMerge w:val="restart"/>
            <w:tcBorders>
              <w:top w:val="single" w:color="auto" w:sz="4" w:space="0"/>
              <w:right w:val="single" w:color="auto" w:sz="12" w:space="0"/>
            </w:tcBorders>
            <w:vAlign w:val="center"/>
          </w:tcPr>
          <w:p w14:paraId="07524A97">
            <w:pPr>
              <w:keepNext w:val="0"/>
              <w:keepLines w:val="0"/>
              <w:suppressLineNumbers w:val="0"/>
              <w:spacing w:before="0" w:beforeAutospacing="0" w:after="0" w:afterAutospacing="0"/>
              <w:ind w:left="0" w:right="0"/>
              <w:jc w:val="center"/>
              <w:outlineLvl w:val="0"/>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kern w:val="0"/>
                <w:szCs w:val="21"/>
                <w:highlight w:val="none"/>
                <w:lang w:eastAsia="zh-CN" w:bidi="ar"/>
              </w:rPr>
              <w:t>《污水综合排放标准》（GB8978-1996）表4中三级标准</w:t>
            </w:r>
          </w:p>
        </w:tc>
      </w:tr>
      <w:tr w14:paraId="71FB3D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112" w:type="dxa"/>
            <w:vMerge w:val="continue"/>
            <w:tcBorders>
              <w:left w:val="single" w:color="auto" w:sz="12" w:space="0"/>
            </w:tcBorders>
            <w:vAlign w:val="center"/>
          </w:tcPr>
          <w:p w14:paraId="41C70E3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657" w:type="dxa"/>
            <w:gridSpan w:val="2"/>
            <w:tcBorders>
              <w:top w:val="single" w:color="auto" w:sz="4" w:space="0"/>
            </w:tcBorders>
            <w:vAlign w:val="center"/>
          </w:tcPr>
          <w:p w14:paraId="73CBCE9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eastAsia" w:cs="Times New Roman"/>
                <w:bCs/>
                <w:color w:val="auto"/>
                <w:szCs w:val="21"/>
                <w:highlight w:val="none"/>
                <w:lang w:val="en-US" w:eastAsia="zh-CN"/>
              </w:rPr>
              <w:t>磁力研磨</w:t>
            </w:r>
            <w:r>
              <w:rPr>
                <w:rFonts w:hint="eastAsia" w:ascii="Times New Roman" w:hAnsi="Times New Roman" w:eastAsia="宋体" w:cs="Times New Roman"/>
                <w:color w:val="000000"/>
                <w:szCs w:val="21"/>
                <w:lang w:val="en-US" w:eastAsia="zh-CN"/>
              </w:rPr>
              <w:t>、</w:t>
            </w:r>
            <w:r>
              <w:rPr>
                <w:rFonts w:hint="eastAsia" w:cs="Times New Roman"/>
                <w:bCs/>
                <w:color w:val="auto"/>
                <w:szCs w:val="21"/>
                <w:highlight w:val="none"/>
                <w:lang w:val="en-US" w:eastAsia="zh-CN"/>
              </w:rPr>
              <w:t>超声波清洗</w:t>
            </w:r>
            <w:r>
              <w:rPr>
                <w:rFonts w:hint="eastAsia" w:ascii="Times New Roman" w:hAnsi="Times New Roman" w:eastAsia="宋体" w:cs="Times New Roman"/>
                <w:color w:val="000000"/>
                <w:szCs w:val="21"/>
                <w:lang w:val="en-US" w:eastAsia="zh-CN"/>
              </w:rPr>
              <w:t>、</w:t>
            </w:r>
            <w:r>
              <w:rPr>
                <w:rFonts w:hint="default"/>
                <w:bCs/>
                <w:color w:val="auto"/>
                <w:szCs w:val="21"/>
              </w:rPr>
              <w:t>预脱脂、主脱脂</w:t>
            </w:r>
            <w:r>
              <w:rPr>
                <w:rFonts w:hint="eastAsia" w:ascii="Times New Roman" w:hAnsi="Times New Roman" w:eastAsia="宋体" w:cs="Times New Roman"/>
                <w:color w:val="000000"/>
                <w:szCs w:val="21"/>
                <w:lang w:val="en-US" w:eastAsia="zh-CN"/>
              </w:rPr>
              <w:t>、</w:t>
            </w:r>
            <w:r>
              <w:rPr>
                <w:rFonts w:hint="default"/>
                <w:bCs/>
                <w:color w:val="auto"/>
                <w:szCs w:val="21"/>
              </w:rPr>
              <w:t>脱脂后水洗</w:t>
            </w:r>
            <w:r>
              <w:rPr>
                <w:rFonts w:hint="eastAsia" w:ascii="Times New Roman" w:hAnsi="Times New Roman" w:eastAsia="宋体" w:cs="Times New Roman"/>
                <w:color w:val="000000"/>
                <w:szCs w:val="21"/>
                <w:lang w:val="en-US" w:eastAsia="zh-CN"/>
              </w:rPr>
              <w:t>、</w:t>
            </w:r>
            <w:r>
              <w:rPr>
                <w:rFonts w:hint="default"/>
                <w:bCs/>
                <w:color w:val="auto"/>
                <w:szCs w:val="21"/>
              </w:rPr>
              <w:t>硅烷化</w:t>
            </w:r>
            <w:r>
              <w:rPr>
                <w:rFonts w:hint="eastAsia" w:ascii="Times New Roman" w:hAnsi="Times New Roman" w:eastAsia="宋体" w:cs="Times New Roman"/>
                <w:color w:val="000000"/>
                <w:szCs w:val="21"/>
                <w:lang w:val="en-US" w:eastAsia="zh-CN"/>
              </w:rPr>
              <w:t>、</w:t>
            </w:r>
            <w:r>
              <w:rPr>
                <w:rStyle w:val="75"/>
                <w:rFonts w:hint="eastAsia"/>
                <w:color w:val="000000" w:themeColor="text1"/>
                <w:kern w:val="0"/>
                <w:szCs w:val="20"/>
                <w:lang w:val="en-US" w:eastAsia="zh-CN"/>
                <w14:textFill>
                  <w14:solidFill>
                    <w14:schemeClr w14:val="tx1"/>
                  </w14:solidFill>
                </w14:textFill>
              </w:rPr>
              <w:t>喷枪清洗</w:t>
            </w:r>
            <w:r>
              <w:rPr>
                <w:rFonts w:hint="eastAsia" w:ascii="Times New Roman" w:hAnsi="Times New Roman" w:eastAsia="宋体" w:cs="Times New Roman"/>
                <w:color w:val="000000"/>
                <w:szCs w:val="21"/>
                <w:lang w:val="en-US" w:eastAsia="zh-CN"/>
              </w:rPr>
              <w:t>、</w:t>
            </w:r>
            <w:r>
              <w:rPr>
                <w:rStyle w:val="75"/>
                <w:rFonts w:hint="eastAsia"/>
                <w:color w:val="000000" w:themeColor="text1"/>
                <w:kern w:val="0"/>
                <w:szCs w:val="20"/>
                <w:lang w:val="en-US" w:eastAsia="zh-CN"/>
                <w14:textFill>
                  <w14:solidFill>
                    <w14:schemeClr w14:val="tx1"/>
                  </w14:solidFill>
                </w14:textFill>
              </w:rPr>
              <w:t>水帘柜</w:t>
            </w:r>
          </w:p>
        </w:tc>
        <w:tc>
          <w:tcPr>
            <w:tcW w:w="1145" w:type="dxa"/>
            <w:tcBorders>
              <w:top w:val="single" w:color="auto" w:sz="4" w:space="0"/>
            </w:tcBorders>
            <w:vAlign w:val="center"/>
          </w:tcPr>
          <w:p w14:paraId="4807ABE4">
            <w:pPr>
              <w:keepNext w:val="0"/>
              <w:keepLines w:val="0"/>
              <w:suppressLineNumbers w:val="0"/>
              <w:spacing w:before="0" w:beforeAutospacing="0" w:after="0" w:afterAutospacing="0"/>
              <w:ind w:left="0" w:right="0"/>
              <w:jc w:val="center"/>
              <w:outlineLvl w:val="0"/>
              <w:rPr>
                <w:rFonts w:hint="eastAsia"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pH、COD、BOD</w:t>
            </w:r>
            <w:r>
              <w:rPr>
                <w:rFonts w:hint="default" w:ascii="Times New Roman" w:hAnsi="Times New Roman" w:cs="Times New Roman"/>
                <w:color w:val="auto"/>
                <w:szCs w:val="21"/>
                <w:highlight w:val="none"/>
                <w:vertAlign w:val="subscript"/>
              </w:rPr>
              <w:t>5</w:t>
            </w:r>
            <w:r>
              <w:rPr>
                <w:rFonts w:hint="default" w:ascii="Times New Roman" w:hAnsi="Times New Roman" w:cs="Times New Roman"/>
                <w:color w:val="auto"/>
                <w:szCs w:val="21"/>
                <w:highlight w:val="none"/>
              </w:rPr>
              <w:t>、SS、氨氮、TP、TN、</w:t>
            </w:r>
            <w:r>
              <w:rPr>
                <w:rFonts w:hint="eastAsia" w:ascii="Times New Roman" w:hAnsi="Times New Roman" w:cs="Times New Roman"/>
                <w:color w:val="auto"/>
                <w:szCs w:val="21"/>
                <w:highlight w:val="none"/>
                <w:lang w:val="en-US" w:eastAsia="zh-CN"/>
              </w:rPr>
              <w:t>LAS</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石油类</w:t>
            </w:r>
          </w:p>
        </w:tc>
        <w:tc>
          <w:tcPr>
            <w:tcW w:w="2523" w:type="dxa"/>
            <w:tcBorders>
              <w:top w:val="single" w:color="auto" w:sz="4" w:space="0"/>
            </w:tcBorders>
            <w:vAlign w:val="center"/>
          </w:tcPr>
          <w:p w14:paraId="6A3F18F2">
            <w:pPr>
              <w:keepNext w:val="0"/>
              <w:keepLines w:val="0"/>
              <w:suppressLineNumbers w:val="0"/>
              <w:spacing w:before="0" w:beforeAutospacing="0" w:after="0" w:afterAutospacing="0"/>
              <w:ind w:left="0" w:leftChars="0" w:right="0" w:rightChars="0"/>
              <w:jc w:val="center"/>
              <w:outlineLvl w:val="0"/>
              <w:rPr>
                <w:rFonts w:hint="default" w:ascii="Times New Roman" w:hAnsi="Times New Roman" w:cs="Times New Roman"/>
                <w:color w:val="auto"/>
                <w:szCs w:val="21"/>
                <w:highlight w:val="none"/>
              </w:rPr>
            </w:pPr>
            <w:r>
              <w:rPr>
                <w:rFonts w:hint="default"/>
                <w:color w:val="auto"/>
                <w:szCs w:val="21"/>
              </w:rPr>
              <w:t>污水</w:t>
            </w:r>
            <w:r>
              <w:rPr>
                <w:rFonts w:hint="default" w:ascii="Times New Roman" w:hAnsi="Times New Roman" w:eastAsia="宋体" w:cs="Times New Roman"/>
                <w:color w:val="auto"/>
                <w:szCs w:val="21"/>
              </w:rPr>
              <w:t>处理站（隔油池+调节池+混凝沉淀+溶气气浮机），处理能力</w:t>
            </w:r>
            <w:r>
              <w:rPr>
                <w:rFonts w:hint="eastAsia" w:ascii="Times New Roman" w:hAnsi="Times New Roman" w:eastAsia="宋体" w:cs="Times New Roman"/>
                <w:color w:val="auto"/>
                <w:szCs w:val="21"/>
                <w:lang w:val="en-US" w:eastAsia="zh-CN"/>
              </w:rPr>
              <w:t>5</w:t>
            </w:r>
            <w:r>
              <w:rPr>
                <w:rFonts w:hint="default" w:ascii="Times New Roman" w:hAnsi="Times New Roman" w:eastAsia="宋体" w:cs="Times New Roman"/>
                <w:color w:val="auto"/>
                <w:szCs w:val="21"/>
              </w:rPr>
              <w:t>t/d</w:t>
            </w:r>
          </w:p>
        </w:tc>
        <w:tc>
          <w:tcPr>
            <w:tcW w:w="2363" w:type="dxa"/>
            <w:vMerge w:val="continue"/>
            <w:tcBorders>
              <w:right w:val="single" w:color="auto" w:sz="12" w:space="0"/>
            </w:tcBorders>
            <w:vAlign w:val="center"/>
          </w:tcPr>
          <w:p w14:paraId="29097BE6">
            <w:pPr>
              <w:keepNext w:val="0"/>
              <w:keepLines w:val="0"/>
              <w:suppressLineNumbers w:val="0"/>
              <w:spacing w:before="0" w:beforeAutospacing="0" w:after="0" w:afterAutospacing="0"/>
              <w:ind w:left="0" w:right="0"/>
              <w:jc w:val="center"/>
              <w:outlineLvl w:val="0"/>
              <w:rPr>
                <w:rFonts w:hint="default" w:ascii="Times New Roman" w:hAnsi="Times New Roman" w:cs="Times New Roman"/>
                <w:color w:val="auto"/>
                <w:kern w:val="0"/>
                <w:szCs w:val="21"/>
                <w:highlight w:val="none"/>
                <w:lang w:eastAsia="zh-CN" w:bidi="ar"/>
              </w:rPr>
            </w:pPr>
          </w:p>
        </w:tc>
      </w:tr>
      <w:tr w14:paraId="2E7A7A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5EFF5DB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p>
        </w:tc>
        <w:tc>
          <w:tcPr>
            <w:tcW w:w="1657" w:type="dxa"/>
            <w:gridSpan w:val="2"/>
            <w:tcBorders>
              <w:top w:val="single" w:color="auto" w:sz="4" w:space="0"/>
            </w:tcBorders>
            <w:shd w:val="clear" w:color="auto" w:fill="auto"/>
            <w:vAlign w:val="center"/>
          </w:tcPr>
          <w:p w14:paraId="20CF87B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szCs w:val="21"/>
                <w:highlight w:val="none"/>
              </w:rPr>
            </w:pPr>
            <w:r>
              <w:rPr>
                <w:rStyle w:val="75"/>
                <w:rFonts w:hint="default"/>
                <w:color w:val="000000" w:themeColor="text1"/>
                <w:kern w:val="0"/>
                <w:szCs w:val="20"/>
                <w14:textFill>
                  <w14:solidFill>
                    <w14:schemeClr w14:val="tx1"/>
                  </w14:solidFill>
                </w14:textFill>
              </w:rPr>
              <w:t>纯水</w:t>
            </w:r>
            <w:r>
              <w:rPr>
                <w:rFonts w:hint="default"/>
                <w:bCs/>
                <w:color w:val="000000" w:themeColor="text1"/>
                <w:szCs w:val="21"/>
                <w14:textFill>
                  <w14:solidFill>
                    <w14:schemeClr w14:val="tx1"/>
                  </w14:solidFill>
                </w14:textFill>
              </w:rPr>
              <w:t>制备浓水</w:t>
            </w:r>
          </w:p>
        </w:tc>
        <w:tc>
          <w:tcPr>
            <w:tcW w:w="1145" w:type="dxa"/>
            <w:tcBorders>
              <w:top w:val="single" w:color="auto" w:sz="4" w:space="0"/>
            </w:tcBorders>
            <w:shd w:val="clear" w:color="auto" w:fill="auto"/>
            <w:vAlign w:val="center"/>
          </w:tcPr>
          <w:p w14:paraId="6AC0DF2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pH、</w:t>
            </w:r>
            <w:r>
              <w:rPr>
                <w:rFonts w:hint="default" w:ascii="Times New Roman" w:hAnsi="Times New Roman" w:cs="Times New Roman"/>
                <w:color w:val="auto"/>
                <w:szCs w:val="21"/>
                <w:highlight w:val="none"/>
              </w:rPr>
              <w:t>COD、SS</w:t>
            </w:r>
          </w:p>
        </w:tc>
        <w:tc>
          <w:tcPr>
            <w:tcW w:w="2523" w:type="dxa"/>
            <w:tcBorders>
              <w:top w:val="single" w:color="auto" w:sz="4" w:space="0"/>
            </w:tcBorders>
            <w:shd w:val="clear" w:color="auto" w:fill="auto"/>
            <w:vAlign w:val="center"/>
          </w:tcPr>
          <w:p w14:paraId="07459943">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color w:val="000000" w:themeColor="text1"/>
                <w:szCs w:val="21"/>
                <w14:textFill>
                  <w14:solidFill>
                    <w14:schemeClr w14:val="tx1"/>
                  </w14:solidFill>
                </w14:textFill>
              </w:rPr>
              <w:t>直接排入市政污水管网</w:t>
            </w:r>
          </w:p>
        </w:tc>
        <w:tc>
          <w:tcPr>
            <w:tcW w:w="2363" w:type="dxa"/>
            <w:vMerge w:val="continue"/>
            <w:tcBorders>
              <w:right w:val="single" w:color="auto" w:sz="12" w:space="0"/>
            </w:tcBorders>
            <w:vAlign w:val="center"/>
          </w:tcPr>
          <w:p w14:paraId="5A112911">
            <w:pPr>
              <w:keepNext w:val="0"/>
              <w:keepLines w:val="0"/>
              <w:suppressLineNumbers w:val="0"/>
              <w:spacing w:before="0" w:beforeAutospacing="0" w:after="0" w:afterAutospacing="0"/>
              <w:ind w:left="0" w:right="0"/>
              <w:jc w:val="center"/>
              <w:outlineLvl w:val="0"/>
              <w:rPr>
                <w:rFonts w:hint="default" w:ascii="Times New Roman" w:hAnsi="Times New Roman" w:cs="Times New Roman"/>
                <w:color w:val="auto"/>
                <w:szCs w:val="21"/>
                <w:highlight w:val="none"/>
                <w:lang w:bidi="ar"/>
              </w:rPr>
            </w:pPr>
          </w:p>
        </w:tc>
      </w:tr>
      <w:tr w14:paraId="380EE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4" w:space="0"/>
              <w:left w:val="single" w:color="auto" w:sz="12" w:space="0"/>
              <w:bottom w:val="single" w:color="auto" w:sz="4" w:space="0"/>
            </w:tcBorders>
            <w:vAlign w:val="center"/>
          </w:tcPr>
          <w:p w14:paraId="40F725F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声环境</w:t>
            </w:r>
          </w:p>
        </w:tc>
        <w:tc>
          <w:tcPr>
            <w:tcW w:w="1657" w:type="dxa"/>
            <w:gridSpan w:val="2"/>
            <w:tcBorders>
              <w:top w:val="single" w:color="auto" w:sz="4" w:space="0"/>
              <w:bottom w:val="single" w:color="auto" w:sz="4" w:space="0"/>
            </w:tcBorders>
            <w:vAlign w:val="center"/>
          </w:tcPr>
          <w:p w14:paraId="4923055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设备</w:t>
            </w:r>
          </w:p>
        </w:tc>
        <w:tc>
          <w:tcPr>
            <w:tcW w:w="1145" w:type="dxa"/>
            <w:tcBorders>
              <w:top w:val="single" w:color="auto" w:sz="4" w:space="0"/>
              <w:bottom w:val="single" w:color="auto" w:sz="4" w:space="0"/>
            </w:tcBorders>
            <w:vAlign w:val="center"/>
          </w:tcPr>
          <w:p w14:paraId="336540F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噪声</w:t>
            </w:r>
          </w:p>
        </w:tc>
        <w:tc>
          <w:tcPr>
            <w:tcW w:w="2523" w:type="dxa"/>
            <w:tcBorders>
              <w:top w:val="single" w:color="auto" w:sz="4" w:space="0"/>
              <w:bottom w:val="single" w:color="auto" w:sz="4" w:space="0"/>
            </w:tcBorders>
            <w:vAlign w:val="center"/>
          </w:tcPr>
          <w:p w14:paraId="44008007">
            <w:pPr>
              <w:keepNext w:val="0"/>
              <w:keepLines w:val="0"/>
              <w:suppressLineNumbers w:val="0"/>
              <w:spacing w:before="0" w:beforeAutospacing="0" w:after="0" w:afterAutospacing="0"/>
              <w:ind w:left="0" w:right="0"/>
              <w:jc w:val="center"/>
              <w:outlineLvl w:val="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选用低噪音设备，设备基础减振，隔声消声降噪；风机进、出风管加设消音器，基础下加设减振器</w:t>
            </w:r>
            <w:r>
              <w:rPr>
                <w:rFonts w:hint="default" w:ascii="Times New Roman" w:hAnsi="Times New Roman" w:cs="Times New Roman"/>
                <w:color w:val="auto"/>
                <w:szCs w:val="21"/>
                <w:highlight w:val="none"/>
                <w:lang w:val="zh-CN"/>
              </w:rPr>
              <w:t>等</w:t>
            </w:r>
          </w:p>
        </w:tc>
        <w:tc>
          <w:tcPr>
            <w:tcW w:w="2363" w:type="dxa"/>
            <w:tcBorders>
              <w:top w:val="single" w:color="auto" w:sz="4" w:space="0"/>
              <w:bottom w:val="single" w:color="auto" w:sz="4" w:space="0"/>
              <w:right w:val="single" w:color="auto" w:sz="12" w:space="0"/>
            </w:tcBorders>
            <w:vAlign w:val="center"/>
          </w:tcPr>
          <w:p w14:paraId="27A1FA4B">
            <w:pPr>
              <w:keepNext w:val="0"/>
              <w:keepLines w:val="0"/>
              <w:suppressLineNumbers w:val="0"/>
              <w:spacing w:before="0" w:beforeAutospacing="0" w:after="0" w:afterAutospacing="0"/>
              <w:ind w:left="0" w:right="0"/>
              <w:jc w:val="center"/>
              <w:outlineLvl w:val="0"/>
              <w:rPr>
                <w:rFonts w:hint="default" w:ascii="Times New Roman" w:hAnsi="Times New Roman" w:cs="Times New Roman"/>
                <w:color w:val="auto"/>
                <w:szCs w:val="21"/>
                <w:highlight w:val="none"/>
              </w:rPr>
            </w:pPr>
            <w:r>
              <w:rPr>
                <w:rFonts w:hint="default" w:ascii="Times New Roman" w:hAnsi="Times New Roman" w:cs="Times New Roman"/>
                <w:bCs/>
                <w:color w:val="auto"/>
                <w:szCs w:val="21"/>
                <w:highlight w:val="none"/>
              </w:rPr>
              <w:t>《工业企业厂界环境噪声排放标准》（GB12348-2008）3类标准</w:t>
            </w:r>
          </w:p>
        </w:tc>
      </w:tr>
      <w:tr w14:paraId="70BFEB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4" w:space="0"/>
              <w:left w:val="single" w:color="auto" w:sz="12" w:space="0"/>
              <w:bottom w:val="single" w:color="auto" w:sz="4" w:space="0"/>
            </w:tcBorders>
            <w:vAlign w:val="center"/>
          </w:tcPr>
          <w:p w14:paraId="17DB3DC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电磁辐射</w:t>
            </w:r>
          </w:p>
        </w:tc>
        <w:tc>
          <w:tcPr>
            <w:tcW w:w="1657" w:type="dxa"/>
            <w:gridSpan w:val="2"/>
            <w:tcBorders>
              <w:top w:val="single" w:color="auto" w:sz="4" w:space="0"/>
              <w:bottom w:val="single" w:color="auto" w:sz="4" w:space="0"/>
            </w:tcBorders>
            <w:vAlign w:val="center"/>
          </w:tcPr>
          <w:p w14:paraId="79F2F0F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1145" w:type="dxa"/>
            <w:tcBorders>
              <w:top w:val="single" w:color="auto" w:sz="4" w:space="0"/>
              <w:bottom w:val="single" w:color="auto" w:sz="4" w:space="0"/>
            </w:tcBorders>
            <w:vAlign w:val="center"/>
          </w:tcPr>
          <w:p w14:paraId="6B0D10B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2523" w:type="dxa"/>
            <w:tcBorders>
              <w:top w:val="single" w:color="auto" w:sz="4" w:space="0"/>
              <w:bottom w:val="single" w:color="auto" w:sz="4" w:space="0"/>
            </w:tcBorders>
            <w:vAlign w:val="center"/>
          </w:tcPr>
          <w:p w14:paraId="33A38F4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2363" w:type="dxa"/>
            <w:tcBorders>
              <w:top w:val="single" w:color="auto" w:sz="4" w:space="0"/>
              <w:bottom w:val="single" w:color="auto" w:sz="4" w:space="0"/>
              <w:right w:val="single" w:color="auto" w:sz="12" w:space="0"/>
            </w:tcBorders>
            <w:vAlign w:val="center"/>
          </w:tcPr>
          <w:p w14:paraId="43C9703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r w14:paraId="42728E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12" w:type="dxa"/>
            <w:tcBorders>
              <w:top w:val="single" w:color="auto" w:sz="4" w:space="0"/>
              <w:left w:val="single" w:color="auto" w:sz="12" w:space="0"/>
              <w:bottom w:val="single" w:color="auto" w:sz="4" w:space="0"/>
            </w:tcBorders>
            <w:vAlign w:val="center"/>
          </w:tcPr>
          <w:p w14:paraId="42BE83A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固体废物</w:t>
            </w:r>
          </w:p>
        </w:tc>
        <w:tc>
          <w:tcPr>
            <w:tcW w:w="7688" w:type="dxa"/>
            <w:gridSpan w:val="5"/>
            <w:tcBorders>
              <w:top w:val="single" w:color="auto" w:sz="4" w:space="0"/>
              <w:bottom w:val="single" w:color="auto" w:sz="4" w:space="0"/>
              <w:right w:val="single" w:color="auto" w:sz="12" w:space="0"/>
            </w:tcBorders>
            <w:vAlign w:val="center"/>
          </w:tcPr>
          <w:p w14:paraId="129EF789">
            <w:pPr>
              <w:keepNext w:val="0"/>
              <w:keepLines w:val="0"/>
              <w:suppressLineNumbers w:val="0"/>
              <w:spacing w:before="0" w:beforeAutospacing="0" w:after="0" w:afterAutospacing="0"/>
              <w:ind w:left="0" w:right="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不</w:t>
            </w:r>
            <w:r>
              <w:rPr>
                <w:rFonts w:hint="default" w:ascii="Times New Roman" w:hAnsi="Times New Roman" w:cs="Times New Roman"/>
                <w:color w:val="000000" w:themeColor="text1"/>
                <w:szCs w:val="21"/>
                <w14:textFill>
                  <w14:solidFill>
                    <w14:schemeClr w14:val="tx1"/>
                  </w14:solidFill>
                </w14:textFill>
              </w:rPr>
              <w:t>除尘装置收集的喷粉粉尘收集后回用于生产；除尘装置收集</w:t>
            </w:r>
            <w:r>
              <w:rPr>
                <w:rFonts w:hint="default" w:ascii="Times New Roman" w:hAnsi="Times New Roman" w:eastAsia="宋体" w:cs="Times New Roman"/>
                <w:color w:val="000000" w:themeColor="text1"/>
                <w:szCs w:val="21"/>
                <w14:textFill>
                  <w14:solidFill>
                    <w14:schemeClr w14:val="tx1"/>
                  </w14:solidFill>
                </w14:textFill>
              </w:rPr>
              <w:t>的</w:t>
            </w:r>
            <w:r>
              <w:rPr>
                <w:rFonts w:hint="eastAsia" w:ascii="Times New Roman" w:hAnsi="Times New Roman" w:eastAsia="宋体" w:cs="Times New Roman"/>
                <w:color w:val="000000" w:themeColor="text1"/>
                <w:szCs w:val="21"/>
                <w:lang w:val="en-US" w:eastAsia="zh-CN"/>
                <w14:textFill>
                  <w14:solidFill>
                    <w14:schemeClr w14:val="tx1"/>
                  </w14:solidFill>
                </w14:textFill>
              </w:rPr>
              <w:t>人工去毛刺</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打磨</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喷砂</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抛丸</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抛光</w:t>
            </w:r>
            <w:r>
              <w:rPr>
                <w:rFonts w:hint="default" w:ascii="Times New Roman" w:hAnsi="Times New Roman" w:eastAsia="宋体" w:cs="Times New Roman"/>
                <w:color w:val="000000" w:themeColor="text1"/>
                <w:szCs w:val="21"/>
                <w14:textFill>
                  <w14:solidFill>
                    <w14:schemeClr w14:val="tx1"/>
                  </w14:solidFill>
                </w14:textFill>
              </w:rPr>
              <w:t>粉尘粉尘</w:t>
            </w:r>
            <w:r>
              <w:rPr>
                <w:rFonts w:hint="default" w:ascii="Times New Roman" w:hAnsi="Times New Roman" w:cs="Times New Roman"/>
                <w:color w:val="000000" w:themeColor="text1"/>
                <w:szCs w:val="21"/>
                <w14:textFill>
                  <w14:solidFill>
                    <w14:schemeClr w14:val="tx1"/>
                  </w14:solidFill>
                </w14:textFill>
              </w:rPr>
              <w:t>、废包装材料、废布袋、滤筒、</w:t>
            </w:r>
            <w:r>
              <w:rPr>
                <w:rFonts w:hint="default" w:ascii="Times New Roman" w:hAnsi="Times New Roman" w:eastAsia="宋体" w:cs="Times New Roman"/>
                <w:color w:val="000000" w:themeColor="text1"/>
                <w:szCs w:val="21"/>
                <w:lang w:val="en-US" w:eastAsia="zh-CN"/>
                <w14:textFill>
                  <w14:solidFill>
                    <w14:schemeClr w14:val="tx1"/>
                  </w14:solidFill>
                </w14:textFill>
              </w:rPr>
              <w:t>废金属屑及边角料、水性漆渣、不合格品、废钢丸、废钢</w:t>
            </w:r>
            <w:r>
              <w:rPr>
                <w:rFonts w:hint="eastAsia" w:ascii="Times New Roman" w:hAnsi="Times New Roman" w:eastAsia="宋体" w:cs="Times New Roman"/>
                <w:color w:val="000000" w:themeColor="text1"/>
                <w:szCs w:val="21"/>
                <w:lang w:val="en-US" w:eastAsia="zh-CN"/>
                <w14:textFill>
                  <w14:solidFill>
                    <w14:schemeClr w14:val="tx1"/>
                  </w14:solidFill>
                </w14:textFill>
              </w:rPr>
              <w:t>砂</w:t>
            </w:r>
            <w:r>
              <w:rPr>
                <w:rFonts w:hint="default" w:ascii="Times New Roman" w:hAnsi="Times New Roman" w:eastAsia="宋体" w:cs="Times New Roman"/>
                <w:color w:val="000000" w:themeColor="text1"/>
                <w:szCs w:val="21"/>
                <w:lang w:val="en-US" w:eastAsia="zh-CN"/>
                <w14:textFill>
                  <w14:solidFill>
                    <w14:schemeClr w14:val="tx1"/>
                  </w14:solidFill>
                </w14:textFill>
              </w:rPr>
              <w:t>、废</w:t>
            </w:r>
            <w:r>
              <w:rPr>
                <w:rFonts w:hint="eastAsia" w:ascii="Times New Roman" w:hAnsi="Times New Roman" w:eastAsia="宋体" w:cs="Times New Roman"/>
                <w:color w:val="000000" w:themeColor="text1"/>
                <w:szCs w:val="21"/>
                <w:lang w:val="en-US" w:eastAsia="zh-CN"/>
                <w14:textFill>
                  <w14:solidFill>
                    <w14:schemeClr w14:val="tx1"/>
                  </w14:solidFill>
                </w14:textFill>
              </w:rPr>
              <w:t>砂带</w:t>
            </w:r>
            <w:r>
              <w:rPr>
                <w:rFonts w:hint="default" w:ascii="Times New Roman" w:hAnsi="Times New Roman" w:eastAsia="宋体" w:cs="Times New Roman"/>
                <w:color w:val="000000" w:themeColor="text1"/>
                <w:szCs w:val="21"/>
                <w:lang w:val="en-US" w:eastAsia="zh-CN"/>
                <w14:textFill>
                  <w14:solidFill>
                    <w14:schemeClr w14:val="tx1"/>
                  </w14:solidFill>
                </w14:textFill>
              </w:rPr>
              <w:t>、废反渗透膜、含</w:t>
            </w:r>
            <w:r>
              <w:rPr>
                <w:rFonts w:hint="default" w:ascii="Times New Roman" w:hAnsi="Times New Roman" w:cs="Times New Roman"/>
                <w:bCs/>
                <w:color w:val="000000" w:themeColor="text1"/>
                <w:szCs w:val="21"/>
                <w14:textFill>
                  <w14:solidFill>
                    <w14:schemeClr w14:val="tx1"/>
                  </w14:solidFill>
                </w14:textFill>
              </w:rPr>
              <w:t>油金属屑（</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收集后外售</w:t>
            </w:r>
            <w:r>
              <w:rPr>
                <w:rFonts w:hint="default" w:ascii="Times New Roman" w:hAnsi="Times New Roman" w:cs="Times New Roman"/>
                <w:color w:val="auto"/>
                <w:kern w:val="0"/>
                <w:szCs w:val="21"/>
                <w:highlight w:val="none"/>
              </w:rPr>
              <w:t>；</w:t>
            </w:r>
          </w:p>
          <w:p w14:paraId="3D8A0AA3">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bCs/>
                <w:color w:val="000000" w:themeColor="text1"/>
                <w:szCs w:val="21"/>
                <w14:textFill>
                  <w14:solidFill>
                    <w14:schemeClr w14:val="tx1"/>
                  </w14:solidFill>
                </w14:textFill>
              </w:rPr>
              <w:t>废活性炭、</w:t>
            </w:r>
            <w:r>
              <w:rPr>
                <w:rFonts w:hint="default" w:ascii="Times New Roman" w:hAnsi="Times New Roman" w:cs="Times New Roman"/>
                <w:color w:val="000000" w:themeColor="text1"/>
                <w14:textFill>
                  <w14:solidFill>
                    <w14:schemeClr w14:val="tx1"/>
                  </w14:solidFill>
                </w14:textFill>
              </w:rPr>
              <w:t>废过滤棉、废切削液、废润滑油、废液压油、废化学品包装桶、废油桶、</w:t>
            </w:r>
            <w:r>
              <w:rPr>
                <w:rFonts w:hint="eastAsia" w:ascii="Times New Roman" w:hAnsi="Times New Roman" w:cs="Times New Roman"/>
                <w:color w:val="000000" w:themeColor="text1"/>
                <w:lang w:val="en-US" w:eastAsia="zh-CN"/>
                <w14:textFill>
                  <w14:solidFill>
                    <w14:schemeClr w14:val="tx1"/>
                  </w14:solidFill>
                </w14:textFill>
              </w:rPr>
              <w:t>槽渣</w:t>
            </w:r>
            <w:r>
              <w:rPr>
                <w:rFonts w:hint="default"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污泥</w:t>
            </w:r>
            <w:r>
              <w:rPr>
                <w:rFonts w:hint="default" w:ascii="Times New Roman" w:hAnsi="Times New Roman" w:cs="Times New Roman"/>
                <w:color w:val="000000" w:themeColor="text1"/>
                <w:szCs w:val="21"/>
                <w14:textFill>
                  <w14:solidFill>
                    <w14:schemeClr w14:val="tx1"/>
                  </w14:solidFill>
                </w14:textFill>
              </w:rPr>
              <w:t>收集后暂存于危险废物暂存库，定期委托有危废处理资质单位处置</w:t>
            </w:r>
            <w:r>
              <w:rPr>
                <w:rFonts w:hint="default" w:ascii="Times New Roman" w:hAnsi="Times New Roman" w:cs="Times New Roman"/>
                <w:color w:val="auto"/>
                <w:szCs w:val="21"/>
                <w:highlight w:val="none"/>
              </w:rPr>
              <w:t>；</w:t>
            </w:r>
          </w:p>
          <w:p w14:paraId="4016BEE9">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生活垃圾统一由环卫部门清运。</w:t>
            </w:r>
          </w:p>
        </w:tc>
      </w:tr>
      <w:tr w14:paraId="44144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112" w:type="dxa"/>
            <w:tcBorders>
              <w:top w:val="single" w:color="auto" w:sz="4" w:space="0"/>
              <w:left w:val="single" w:color="auto" w:sz="12" w:space="0"/>
              <w:bottom w:val="single" w:color="auto" w:sz="4" w:space="0"/>
            </w:tcBorders>
            <w:vAlign w:val="center"/>
          </w:tcPr>
          <w:p w14:paraId="03AB8B8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土壤及地下水污染防治措施</w:t>
            </w:r>
          </w:p>
        </w:tc>
        <w:tc>
          <w:tcPr>
            <w:tcW w:w="7688" w:type="dxa"/>
            <w:gridSpan w:val="5"/>
            <w:tcBorders>
              <w:top w:val="single" w:color="auto" w:sz="4" w:space="0"/>
              <w:bottom w:val="single" w:color="auto" w:sz="4" w:space="0"/>
              <w:right w:val="single" w:color="auto" w:sz="12" w:space="0"/>
            </w:tcBorders>
            <w:vAlign w:val="center"/>
          </w:tcPr>
          <w:p w14:paraId="7EA9E8AA">
            <w:pPr>
              <w:pStyle w:val="27"/>
              <w:keepNext w:val="0"/>
              <w:keepLines w:val="0"/>
              <w:suppressLineNumbers w:val="0"/>
              <w:spacing w:before="0" w:beforeAutospacing="0" w:after="0" w:afterAutospacing="0" w:line="240" w:lineRule="auto"/>
              <w:ind w:left="0" w:right="0"/>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危废暂存库、化学品仓库、喷漆区域、清洗区域、前处理区域、</w:t>
            </w:r>
            <w:r>
              <w:rPr>
                <w:rFonts w:hint="eastAsia" w:ascii="Times New Roman" w:hAnsi="Times New Roman" w:eastAsia="宋体" w:cs="Times New Roman"/>
                <w:color w:val="auto"/>
                <w:sz w:val="21"/>
                <w:szCs w:val="21"/>
                <w:highlight w:val="none"/>
                <w:lang w:val="en-US" w:eastAsia="zh-CN"/>
              </w:rPr>
              <w:t>化学品仓库</w:t>
            </w:r>
            <w:r>
              <w:rPr>
                <w:rFonts w:hint="default" w:ascii="Times New Roman" w:hAnsi="Times New Roman" w:eastAsia="宋体" w:cs="Times New Roman"/>
                <w:color w:val="auto"/>
                <w:sz w:val="21"/>
                <w:szCs w:val="21"/>
                <w:highlight w:val="none"/>
              </w:rPr>
              <w:t>、污水处理站为重点防渗区。防渗措施：在混凝土硬化上方涂刷环氧树脂涂料</w:t>
            </w:r>
            <w:r>
              <w:rPr>
                <w:rFonts w:hint="default" w:ascii="Times New Roman" w:hAnsi="Times New Roman" w:cs="Times New Roman"/>
                <w:color w:val="auto"/>
                <w:sz w:val="21"/>
                <w:szCs w:val="21"/>
                <w:highlight w:val="none"/>
              </w:rPr>
              <w:t>；等效黏土防渗层Mb≥6.0m，K≤1×10</w:t>
            </w:r>
            <w:r>
              <w:rPr>
                <w:rFonts w:hint="default" w:ascii="Times New Roman" w:hAnsi="Times New Roman" w:cs="Times New Roman"/>
                <w:color w:val="auto"/>
                <w:sz w:val="21"/>
                <w:szCs w:val="21"/>
                <w:highlight w:val="none"/>
                <w:vertAlign w:val="superscript"/>
              </w:rPr>
              <w:t>-7</w:t>
            </w:r>
            <w:r>
              <w:rPr>
                <w:rFonts w:hint="default" w:ascii="Times New Roman" w:hAnsi="Times New Roman" w:cs="Times New Roman"/>
                <w:color w:val="auto"/>
                <w:sz w:val="21"/>
                <w:szCs w:val="21"/>
                <w:highlight w:val="none"/>
              </w:rPr>
              <w:t>cm/s；其中危废暂存库按照《危险废物贮存污染控制标准》（GB18597-2023），至少1m厚黏土层（渗透系数不大于10</w:t>
            </w:r>
            <w:r>
              <w:rPr>
                <w:rFonts w:hint="default" w:ascii="Times New Roman" w:hAnsi="Times New Roman" w:cs="Times New Roman"/>
                <w:color w:val="auto"/>
                <w:sz w:val="21"/>
                <w:szCs w:val="21"/>
                <w:highlight w:val="none"/>
                <w:vertAlign w:val="superscript"/>
              </w:rPr>
              <w:t>-7</w:t>
            </w:r>
            <w:r>
              <w:rPr>
                <w:rFonts w:hint="default" w:ascii="Times New Roman" w:hAnsi="Times New Roman" w:cs="Times New Roman"/>
                <w:color w:val="auto"/>
                <w:sz w:val="21"/>
                <w:szCs w:val="21"/>
                <w:highlight w:val="none"/>
              </w:rPr>
              <w:t>cm/s）；或至少2mm厚高密度聚乙烯膜等人工防渗材料（渗透系数不大于10</w:t>
            </w:r>
            <w:r>
              <w:rPr>
                <w:rFonts w:hint="default" w:ascii="Times New Roman" w:hAnsi="Times New Roman" w:cs="Times New Roman"/>
                <w:color w:val="auto"/>
                <w:sz w:val="21"/>
                <w:szCs w:val="21"/>
                <w:highlight w:val="none"/>
                <w:vertAlign w:val="superscript"/>
              </w:rPr>
              <w:t>-10</w:t>
            </w:r>
            <w:r>
              <w:rPr>
                <w:rFonts w:hint="default" w:ascii="Times New Roman" w:hAnsi="Times New Roman" w:cs="Times New Roman"/>
                <w:color w:val="auto"/>
                <w:sz w:val="21"/>
                <w:szCs w:val="21"/>
                <w:highlight w:val="none"/>
              </w:rPr>
              <w:t>cm/s）。</w:t>
            </w:r>
          </w:p>
          <w:p w14:paraId="353A2336">
            <w:pPr>
              <w:keepNext w:val="0"/>
              <w:keepLines w:val="0"/>
              <w:suppressLineNumbers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szCs w:val="21"/>
                <w:highlight w:val="none"/>
              </w:rPr>
              <w:t>生产车间、一般固废暂存场所、厂区道路</w:t>
            </w:r>
            <w:r>
              <w:rPr>
                <w:rFonts w:hint="default"/>
                <w:color w:val="auto"/>
                <w:szCs w:val="21"/>
              </w:rPr>
              <w:t>、化粪池</w:t>
            </w:r>
            <w:r>
              <w:rPr>
                <w:rFonts w:hint="default" w:ascii="Times New Roman" w:hAnsi="Times New Roman" w:cs="Times New Roman"/>
                <w:color w:val="auto"/>
                <w:kern w:val="0"/>
                <w:szCs w:val="21"/>
                <w:highlight w:val="none"/>
              </w:rPr>
              <w:t>为一般防渗区。防渗措施：</w:t>
            </w:r>
            <w:r>
              <w:rPr>
                <w:rFonts w:hint="default" w:ascii="Times New Roman" w:hAnsi="Times New Roman" w:cs="Times New Roman"/>
                <w:color w:val="auto"/>
                <w:szCs w:val="21"/>
                <w:highlight w:val="none"/>
              </w:rPr>
              <w:t>采用防渗混凝土硬化，满足等效黏土防渗层Mb≥1.5m，K≤1×10</w:t>
            </w:r>
            <w:r>
              <w:rPr>
                <w:rFonts w:hint="default" w:ascii="Times New Roman" w:hAnsi="Times New Roman" w:cs="Times New Roman"/>
                <w:color w:val="auto"/>
                <w:szCs w:val="21"/>
                <w:highlight w:val="none"/>
                <w:vertAlign w:val="superscript"/>
              </w:rPr>
              <w:t>-7</w:t>
            </w:r>
            <w:r>
              <w:rPr>
                <w:rFonts w:hint="default" w:ascii="Times New Roman" w:hAnsi="Times New Roman" w:cs="Times New Roman"/>
                <w:color w:val="auto"/>
                <w:szCs w:val="21"/>
                <w:highlight w:val="none"/>
              </w:rPr>
              <w:t>cm/s。</w:t>
            </w:r>
          </w:p>
          <w:p w14:paraId="564C3E96">
            <w:pPr>
              <w:keepNext w:val="0"/>
              <w:keepLines w:val="0"/>
              <w:suppressLineNumbers w:val="0"/>
              <w:adjustRightInd w:val="0"/>
              <w:snapToGrid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eastAsiaTheme="minorEastAsia"/>
                <w:color w:val="auto"/>
                <w:kern w:val="0"/>
                <w:szCs w:val="21"/>
                <w:highlight w:val="none"/>
              </w:rPr>
              <w:t>重点、一般污染防治区之外的区域</w:t>
            </w:r>
            <w:r>
              <w:rPr>
                <w:rFonts w:hint="default" w:ascii="Times New Roman" w:hAnsi="Times New Roman" w:cs="Times New Roman"/>
                <w:color w:val="auto"/>
                <w:kern w:val="0"/>
                <w:szCs w:val="21"/>
                <w:highlight w:val="none"/>
              </w:rPr>
              <w:t>为简单防渗区；防渗措施：</w:t>
            </w:r>
            <w:r>
              <w:rPr>
                <w:rFonts w:hint="default" w:ascii="Times New Roman" w:hAnsi="Times New Roman" w:cs="Times New Roman"/>
                <w:color w:val="auto"/>
                <w:szCs w:val="21"/>
                <w:highlight w:val="none"/>
              </w:rPr>
              <w:t>采用普通水泥硬化。</w:t>
            </w:r>
          </w:p>
        </w:tc>
      </w:tr>
      <w:tr w14:paraId="7F1D1C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112" w:type="dxa"/>
            <w:tcBorders>
              <w:top w:val="single" w:color="auto" w:sz="4" w:space="0"/>
              <w:left w:val="single" w:color="auto" w:sz="12" w:space="0"/>
              <w:bottom w:val="single" w:color="auto" w:sz="4" w:space="0"/>
            </w:tcBorders>
            <w:vAlign w:val="center"/>
          </w:tcPr>
          <w:p w14:paraId="72973EB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生态保护措施</w:t>
            </w:r>
          </w:p>
        </w:tc>
        <w:tc>
          <w:tcPr>
            <w:tcW w:w="7688" w:type="dxa"/>
            <w:gridSpan w:val="5"/>
            <w:tcBorders>
              <w:top w:val="single" w:color="auto" w:sz="4" w:space="0"/>
              <w:bottom w:val="single" w:color="auto" w:sz="4" w:space="0"/>
              <w:right w:val="single" w:color="auto" w:sz="12" w:space="0"/>
            </w:tcBorders>
            <w:vAlign w:val="center"/>
          </w:tcPr>
          <w:p w14:paraId="21347FB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无</w:t>
            </w:r>
          </w:p>
        </w:tc>
      </w:tr>
      <w:tr w14:paraId="5124D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112" w:type="dxa"/>
            <w:tcBorders>
              <w:top w:val="single" w:color="auto" w:sz="4" w:space="0"/>
              <w:left w:val="single" w:color="auto" w:sz="12" w:space="0"/>
              <w:bottom w:val="single" w:color="auto" w:sz="4" w:space="0"/>
            </w:tcBorders>
            <w:vAlign w:val="center"/>
          </w:tcPr>
          <w:p w14:paraId="297592F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8"/>
                <w:szCs w:val="21"/>
                <w:highlight w:val="none"/>
              </w:rPr>
            </w:pPr>
            <w:r>
              <w:rPr>
                <w:rFonts w:hint="default" w:ascii="Times New Roman" w:hAnsi="Times New Roman" w:cs="Times New Roman"/>
                <w:color w:val="auto"/>
                <w:spacing w:val="-8"/>
                <w:szCs w:val="21"/>
                <w:highlight w:val="none"/>
              </w:rPr>
              <w:t>环境风险</w:t>
            </w:r>
          </w:p>
          <w:p w14:paraId="33D9217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8"/>
                <w:szCs w:val="21"/>
                <w:highlight w:val="none"/>
              </w:rPr>
            </w:pPr>
            <w:r>
              <w:rPr>
                <w:rFonts w:hint="default" w:ascii="Times New Roman" w:hAnsi="Times New Roman" w:cs="Times New Roman"/>
                <w:color w:val="auto"/>
                <w:spacing w:val="-8"/>
                <w:szCs w:val="21"/>
                <w:highlight w:val="none"/>
              </w:rPr>
              <w:t>防范措施</w:t>
            </w:r>
          </w:p>
        </w:tc>
        <w:tc>
          <w:tcPr>
            <w:tcW w:w="7688" w:type="dxa"/>
            <w:gridSpan w:val="5"/>
            <w:tcBorders>
              <w:top w:val="single" w:color="auto" w:sz="4" w:space="0"/>
              <w:bottom w:val="single" w:color="auto" w:sz="4" w:space="0"/>
              <w:right w:val="single" w:color="auto" w:sz="12" w:space="0"/>
            </w:tcBorders>
            <w:vAlign w:val="center"/>
          </w:tcPr>
          <w:p w14:paraId="4AD27ACA">
            <w:pPr>
              <w:keepNext w:val="0"/>
              <w:keepLines w:val="0"/>
              <w:suppressLineNumbers w:val="0"/>
              <w:adjustRightInd w:val="0"/>
              <w:snapToGrid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加强环境风险管理，严格遵守有关防爆、防火规章制度，加强岗位责任制，避免失误操作，进一步完善事故风险防范措施，并备有应急响应所需的物资；加强废气污染处理设施的运行和管理，保证其正常运行，杜绝事故性排放。危废暂存间按照《危险废物贮存污染控制标准》（GB18597-2023）要求建设。</w:t>
            </w:r>
          </w:p>
        </w:tc>
      </w:tr>
      <w:tr w14:paraId="34721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112" w:type="dxa"/>
            <w:tcBorders>
              <w:top w:val="single" w:color="auto" w:sz="4" w:space="0"/>
              <w:left w:val="single" w:color="auto" w:sz="12" w:space="0"/>
              <w:bottom w:val="single" w:color="auto" w:sz="12" w:space="0"/>
            </w:tcBorders>
            <w:vAlign w:val="center"/>
          </w:tcPr>
          <w:p w14:paraId="3B67BCA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8"/>
                <w:szCs w:val="21"/>
                <w:highlight w:val="none"/>
              </w:rPr>
            </w:pPr>
            <w:r>
              <w:rPr>
                <w:rFonts w:hint="default" w:ascii="Times New Roman" w:hAnsi="Times New Roman" w:cs="Times New Roman"/>
                <w:color w:val="auto"/>
                <w:spacing w:val="-8"/>
                <w:szCs w:val="21"/>
                <w:highlight w:val="none"/>
              </w:rPr>
              <w:t>其他环境管理要求</w:t>
            </w:r>
          </w:p>
        </w:tc>
        <w:tc>
          <w:tcPr>
            <w:tcW w:w="7688" w:type="dxa"/>
            <w:gridSpan w:val="5"/>
            <w:tcBorders>
              <w:top w:val="single" w:color="auto" w:sz="4" w:space="0"/>
              <w:bottom w:val="single" w:color="auto" w:sz="12" w:space="0"/>
              <w:right w:val="single" w:color="auto" w:sz="12" w:space="0"/>
            </w:tcBorders>
            <w:vAlign w:val="center"/>
          </w:tcPr>
          <w:p w14:paraId="1C9BBEE3">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1、环境管理</w:t>
            </w:r>
          </w:p>
          <w:p w14:paraId="4A301671">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了更好贯彻执行国家环境保护法律、法规、政策与标准，及时掌握和了解工程污染治理措施的效果，以及工程所在区域环境质量状况，更好地监控环保设施的运行情况，协调公司与地方环保职能部门的工作，同时保证企业生产管理和环境管理的正常运作，建立环境管理体系与监测制度是非常必要和重要的。</w:t>
            </w:r>
          </w:p>
          <w:p w14:paraId="54F41BCA">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2、排污口规范化管理</w:t>
            </w:r>
          </w:p>
          <w:p w14:paraId="291DB546">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根据国家、地方颁布的有关环境保护规定，废气排气筒、厂区废水总排放口、噪声排放源和固废贮存处置场所均应按《环境保护图形标志--排放口（源）》要求设立明显标志，具体标识见下表，标志牌应设在与之功能相应的醒目处，并保持清晰、完整。</w:t>
            </w:r>
          </w:p>
          <w:p w14:paraId="4888F74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表5-1  环境保护图形标志一览表</w:t>
            </w:r>
          </w:p>
          <w:tbl>
            <w:tblPr>
              <w:tblStyle w:val="61"/>
              <w:tblW w:w="7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5"/>
              <w:gridCol w:w="1904"/>
              <w:gridCol w:w="1749"/>
              <w:gridCol w:w="1458"/>
              <w:gridCol w:w="1886"/>
            </w:tblGrid>
            <w:tr w14:paraId="760A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65" w:type="dxa"/>
                  <w:vAlign w:val="center"/>
                </w:tcPr>
                <w:p w14:paraId="18F273D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序号</w:t>
                  </w:r>
                </w:p>
              </w:tc>
              <w:tc>
                <w:tcPr>
                  <w:tcW w:w="1904" w:type="dxa"/>
                  <w:vAlign w:val="center"/>
                </w:tcPr>
                <w:p w14:paraId="73A2E79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提示图形符号</w:t>
                  </w:r>
                </w:p>
              </w:tc>
              <w:tc>
                <w:tcPr>
                  <w:tcW w:w="1749" w:type="dxa"/>
                  <w:vAlign w:val="center"/>
                </w:tcPr>
                <w:p w14:paraId="4EAC386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警示图形符号</w:t>
                  </w:r>
                </w:p>
              </w:tc>
              <w:tc>
                <w:tcPr>
                  <w:tcW w:w="1458" w:type="dxa"/>
                  <w:vAlign w:val="center"/>
                </w:tcPr>
                <w:p w14:paraId="6A35C2D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名称</w:t>
                  </w:r>
                </w:p>
              </w:tc>
              <w:tc>
                <w:tcPr>
                  <w:tcW w:w="1886" w:type="dxa"/>
                  <w:vAlign w:val="center"/>
                </w:tcPr>
                <w:p w14:paraId="49F6D8D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功能</w:t>
                  </w:r>
                </w:p>
              </w:tc>
            </w:tr>
            <w:tr w14:paraId="5E62B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trPr>
              <w:tc>
                <w:tcPr>
                  <w:tcW w:w="465" w:type="dxa"/>
                  <w:vAlign w:val="center"/>
                </w:tcPr>
                <w:p w14:paraId="3266E87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1904" w:type="dxa"/>
                  <w:vAlign w:val="center"/>
                </w:tcPr>
                <w:p w14:paraId="69CCD89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600075" cy="6000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4"/>
                                <a:stretch>
                                  <a:fillRect/>
                                </a:stretch>
                              </pic:blipFill>
                              <pic:spPr>
                                <a:xfrm>
                                  <a:off x="0" y="0"/>
                                  <a:ext cx="600075" cy="600075"/>
                                </a:xfrm>
                                <a:prstGeom prst="rect">
                                  <a:avLst/>
                                </a:prstGeom>
                                <a:noFill/>
                                <a:ln>
                                  <a:noFill/>
                                </a:ln>
                              </pic:spPr>
                            </pic:pic>
                          </a:graphicData>
                        </a:graphic>
                      </wp:inline>
                    </w:drawing>
                  </w:r>
                </w:p>
              </w:tc>
              <w:tc>
                <w:tcPr>
                  <w:tcW w:w="1749" w:type="dxa"/>
                  <w:vAlign w:val="center"/>
                </w:tcPr>
                <w:p w14:paraId="1B11854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638175" cy="619125"/>
                        <wp:effectExtent l="0" t="0" r="9525" b="9525"/>
                        <wp:docPr id="2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4"/>
                                <pic:cNvPicPr>
                                  <a:picLocks noChangeAspect="1"/>
                                </pic:cNvPicPr>
                              </pic:nvPicPr>
                              <pic:blipFill>
                                <a:blip r:embed="rId35"/>
                                <a:stretch>
                                  <a:fillRect/>
                                </a:stretch>
                              </pic:blipFill>
                              <pic:spPr>
                                <a:xfrm>
                                  <a:off x="0" y="0"/>
                                  <a:ext cx="638175" cy="619125"/>
                                </a:xfrm>
                                <a:prstGeom prst="rect">
                                  <a:avLst/>
                                </a:prstGeom>
                                <a:noFill/>
                                <a:ln>
                                  <a:noFill/>
                                </a:ln>
                              </pic:spPr>
                            </pic:pic>
                          </a:graphicData>
                        </a:graphic>
                      </wp:inline>
                    </w:drawing>
                  </w:r>
                </w:p>
              </w:tc>
              <w:tc>
                <w:tcPr>
                  <w:tcW w:w="1458" w:type="dxa"/>
                  <w:vAlign w:val="center"/>
                </w:tcPr>
                <w:p w14:paraId="63149F0E">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污水总排放口</w:t>
                  </w:r>
                </w:p>
              </w:tc>
              <w:tc>
                <w:tcPr>
                  <w:tcW w:w="1886" w:type="dxa"/>
                  <w:vAlign w:val="center"/>
                </w:tcPr>
                <w:p w14:paraId="72FD13F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表示污水向水体排放</w:t>
                  </w:r>
                </w:p>
              </w:tc>
            </w:tr>
            <w:tr w14:paraId="5E0A3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9" w:hRule="atLeast"/>
              </w:trPr>
              <w:tc>
                <w:tcPr>
                  <w:tcW w:w="465" w:type="dxa"/>
                  <w:vAlign w:val="center"/>
                </w:tcPr>
                <w:p w14:paraId="3F00486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1904" w:type="dxa"/>
                  <w:vAlign w:val="center"/>
                </w:tcPr>
                <w:p w14:paraId="675208F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676275" cy="647700"/>
                        <wp:effectExtent l="0" t="0" r="9525" b="0"/>
                        <wp:docPr id="2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5"/>
                                <pic:cNvPicPr>
                                  <a:picLocks noChangeAspect="1"/>
                                </pic:cNvPicPr>
                              </pic:nvPicPr>
                              <pic:blipFill>
                                <a:blip r:embed="rId36"/>
                                <a:stretch>
                                  <a:fillRect/>
                                </a:stretch>
                              </pic:blipFill>
                              <pic:spPr>
                                <a:xfrm>
                                  <a:off x="0" y="0"/>
                                  <a:ext cx="676275" cy="647700"/>
                                </a:xfrm>
                                <a:prstGeom prst="rect">
                                  <a:avLst/>
                                </a:prstGeom>
                                <a:noFill/>
                                <a:ln>
                                  <a:noFill/>
                                </a:ln>
                              </pic:spPr>
                            </pic:pic>
                          </a:graphicData>
                        </a:graphic>
                      </wp:inline>
                    </w:drawing>
                  </w:r>
                </w:p>
              </w:tc>
              <w:tc>
                <w:tcPr>
                  <w:tcW w:w="1749" w:type="dxa"/>
                  <w:vAlign w:val="center"/>
                </w:tcPr>
                <w:p w14:paraId="606E699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638175" cy="619125"/>
                        <wp:effectExtent l="0" t="0" r="9525" b="9525"/>
                        <wp:docPr id="2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6"/>
                                <pic:cNvPicPr>
                                  <a:picLocks noChangeAspect="1"/>
                                </pic:cNvPicPr>
                              </pic:nvPicPr>
                              <pic:blipFill>
                                <a:blip r:embed="rId37"/>
                                <a:stretch>
                                  <a:fillRect/>
                                </a:stretch>
                              </pic:blipFill>
                              <pic:spPr>
                                <a:xfrm>
                                  <a:off x="0" y="0"/>
                                  <a:ext cx="638175" cy="619125"/>
                                </a:xfrm>
                                <a:prstGeom prst="rect">
                                  <a:avLst/>
                                </a:prstGeom>
                                <a:noFill/>
                                <a:ln>
                                  <a:noFill/>
                                </a:ln>
                              </pic:spPr>
                            </pic:pic>
                          </a:graphicData>
                        </a:graphic>
                      </wp:inline>
                    </w:drawing>
                  </w:r>
                </w:p>
              </w:tc>
              <w:tc>
                <w:tcPr>
                  <w:tcW w:w="1458" w:type="dxa"/>
                  <w:vAlign w:val="center"/>
                </w:tcPr>
                <w:p w14:paraId="665AF312">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废气排放口</w:t>
                  </w:r>
                </w:p>
              </w:tc>
              <w:tc>
                <w:tcPr>
                  <w:tcW w:w="1886" w:type="dxa"/>
                  <w:vAlign w:val="center"/>
                </w:tcPr>
                <w:p w14:paraId="4B96823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表示废气向大气环境排放</w:t>
                  </w:r>
                </w:p>
              </w:tc>
            </w:tr>
            <w:tr w14:paraId="6F83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3" w:hRule="atLeast"/>
              </w:trPr>
              <w:tc>
                <w:tcPr>
                  <w:tcW w:w="465" w:type="dxa"/>
                  <w:vAlign w:val="center"/>
                </w:tcPr>
                <w:p w14:paraId="0621BB9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1904" w:type="dxa"/>
                  <w:vAlign w:val="center"/>
                </w:tcPr>
                <w:p w14:paraId="0E217C2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676275" cy="647700"/>
                        <wp:effectExtent l="0" t="0" r="9525" b="0"/>
                        <wp:docPr id="1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7"/>
                                <pic:cNvPicPr>
                                  <a:picLocks noChangeAspect="1"/>
                                </pic:cNvPicPr>
                              </pic:nvPicPr>
                              <pic:blipFill>
                                <a:blip r:embed="rId38"/>
                                <a:stretch>
                                  <a:fillRect/>
                                </a:stretch>
                              </pic:blipFill>
                              <pic:spPr>
                                <a:xfrm>
                                  <a:off x="0" y="0"/>
                                  <a:ext cx="676275" cy="647700"/>
                                </a:xfrm>
                                <a:prstGeom prst="rect">
                                  <a:avLst/>
                                </a:prstGeom>
                                <a:noFill/>
                                <a:ln>
                                  <a:noFill/>
                                </a:ln>
                              </pic:spPr>
                            </pic:pic>
                          </a:graphicData>
                        </a:graphic>
                      </wp:inline>
                    </w:drawing>
                  </w:r>
                </w:p>
              </w:tc>
              <w:tc>
                <w:tcPr>
                  <w:tcW w:w="1749" w:type="dxa"/>
                  <w:vAlign w:val="center"/>
                </w:tcPr>
                <w:p w14:paraId="065F101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638175" cy="619125"/>
                        <wp:effectExtent l="0" t="0" r="9525" b="9525"/>
                        <wp:docPr id="1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8"/>
                                <pic:cNvPicPr>
                                  <a:picLocks noChangeAspect="1"/>
                                </pic:cNvPicPr>
                              </pic:nvPicPr>
                              <pic:blipFill>
                                <a:blip r:embed="rId39"/>
                                <a:stretch>
                                  <a:fillRect/>
                                </a:stretch>
                              </pic:blipFill>
                              <pic:spPr>
                                <a:xfrm>
                                  <a:off x="0" y="0"/>
                                  <a:ext cx="638175" cy="619125"/>
                                </a:xfrm>
                                <a:prstGeom prst="rect">
                                  <a:avLst/>
                                </a:prstGeom>
                                <a:noFill/>
                                <a:ln>
                                  <a:noFill/>
                                </a:ln>
                              </pic:spPr>
                            </pic:pic>
                          </a:graphicData>
                        </a:graphic>
                      </wp:inline>
                    </w:drawing>
                  </w:r>
                </w:p>
              </w:tc>
              <w:tc>
                <w:tcPr>
                  <w:tcW w:w="1458" w:type="dxa"/>
                  <w:vAlign w:val="center"/>
                </w:tcPr>
                <w:p w14:paraId="5D67D93D">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噪声排放源</w:t>
                  </w:r>
                </w:p>
              </w:tc>
              <w:tc>
                <w:tcPr>
                  <w:tcW w:w="1886" w:type="dxa"/>
                  <w:vAlign w:val="center"/>
                </w:tcPr>
                <w:p w14:paraId="3530E3E9">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表示噪声向外环境排放</w:t>
                  </w:r>
                </w:p>
              </w:tc>
            </w:tr>
            <w:tr w14:paraId="2D7E9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65" w:type="dxa"/>
                  <w:vAlign w:val="center"/>
                </w:tcPr>
                <w:p w14:paraId="482B3C8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1904" w:type="dxa"/>
                  <w:vAlign w:val="center"/>
                </w:tcPr>
                <w:p w14:paraId="7220282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638175" cy="619125"/>
                        <wp:effectExtent l="0" t="0" r="9525" b="9525"/>
                        <wp:docPr id="1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9"/>
                                <pic:cNvPicPr>
                                  <a:picLocks noChangeAspect="1"/>
                                </pic:cNvPicPr>
                              </pic:nvPicPr>
                              <pic:blipFill>
                                <a:blip r:embed="rId40"/>
                                <a:stretch>
                                  <a:fillRect/>
                                </a:stretch>
                              </pic:blipFill>
                              <pic:spPr>
                                <a:xfrm>
                                  <a:off x="0" y="0"/>
                                  <a:ext cx="638175" cy="619125"/>
                                </a:xfrm>
                                <a:prstGeom prst="rect">
                                  <a:avLst/>
                                </a:prstGeom>
                                <a:noFill/>
                                <a:ln>
                                  <a:noFill/>
                                </a:ln>
                              </pic:spPr>
                            </pic:pic>
                          </a:graphicData>
                        </a:graphic>
                      </wp:inline>
                    </w:drawing>
                  </w:r>
                </w:p>
              </w:tc>
              <w:tc>
                <w:tcPr>
                  <w:tcW w:w="1749" w:type="dxa"/>
                  <w:vAlign w:val="center"/>
                </w:tcPr>
                <w:p w14:paraId="6064324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714375" cy="657225"/>
                        <wp:effectExtent l="0" t="0" r="9525" b="9525"/>
                        <wp:docPr id="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pic:cNvPicPr>
                                  <a:picLocks noChangeAspect="1"/>
                                </pic:cNvPicPr>
                              </pic:nvPicPr>
                              <pic:blipFill>
                                <a:blip r:embed="rId41"/>
                                <a:stretch>
                                  <a:fillRect/>
                                </a:stretch>
                              </pic:blipFill>
                              <pic:spPr>
                                <a:xfrm>
                                  <a:off x="0" y="0"/>
                                  <a:ext cx="714375" cy="657225"/>
                                </a:xfrm>
                                <a:prstGeom prst="rect">
                                  <a:avLst/>
                                </a:prstGeom>
                                <a:noFill/>
                                <a:ln>
                                  <a:noFill/>
                                </a:ln>
                              </pic:spPr>
                            </pic:pic>
                          </a:graphicData>
                        </a:graphic>
                      </wp:inline>
                    </w:drawing>
                  </w:r>
                </w:p>
              </w:tc>
              <w:tc>
                <w:tcPr>
                  <w:tcW w:w="1458" w:type="dxa"/>
                  <w:vAlign w:val="center"/>
                </w:tcPr>
                <w:p w14:paraId="571566C0">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一般固体废物标示</w:t>
                  </w:r>
                </w:p>
              </w:tc>
              <w:tc>
                <w:tcPr>
                  <w:tcW w:w="1886" w:type="dxa"/>
                  <w:vAlign w:val="center"/>
                </w:tcPr>
                <w:p w14:paraId="3665F8B9">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一般固体废物贮存、处置场</w:t>
                  </w:r>
                </w:p>
              </w:tc>
            </w:tr>
            <w:tr w14:paraId="79B5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atLeast"/>
              </w:trPr>
              <w:tc>
                <w:tcPr>
                  <w:tcW w:w="465" w:type="dxa"/>
                  <w:vAlign w:val="center"/>
                </w:tcPr>
                <w:p w14:paraId="1272CCC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w:t>
                  </w:r>
                </w:p>
              </w:tc>
              <w:tc>
                <w:tcPr>
                  <w:tcW w:w="1904" w:type="dxa"/>
                  <w:vAlign w:val="center"/>
                </w:tcPr>
                <w:p w14:paraId="48C4E41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anchor distT="0" distB="0" distL="114300" distR="114300" simplePos="0" relativeHeight="251659264" behindDoc="0" locked="0" layoutInCell="1" allowOverlap="1">
                        <wp:simplePos x="0" y="0"/>
                        <wp:positionH relativeFrom="column">
                          <wp:posOffset>26035</wp:posOffset>
                        </wp:positionH>
                        <wp:positionV relativeFrom="paragraph">
                          <wp:posOffset>80645</wp:posOffset>
                        </wp:positionV>
                        <wp:extent cx="1169035" cy="767715"/>
                        <wp:effectExtent l="0" t="0" r="12065" b="13335"/>
                        <wp:wrapNone/>
                        <wp:docPr id="1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8"/>
                                <pic:cNvPicPr>
                                  <a:picLocks noChangeAspect="1"/>
                                </pic:cNvPicPr>
                              </pic:nvPicPr>
                              <pic:blipFill>
                                <a:blip r:embed="rId42"/>
                                <a:stretch>
                                  <a:fillRect/>
                                </a:stretch>
                              </pic:blipFill>
                              <pic:spPr>
                                <a:xfrm>
                                  <a:off x="0" y="0"/>
                                  <a:ext cx="1169035" cy="767715"/>
                                </a:xfrm>
                                <a:prstGeom prst="rect">
                                  <a:avLst/>
                                </a:prstGeom>
                                <a:noFill/>
                                <a:ln>
                                  <a:noFill/>
                                </a:ln>
                              </pic:spPr>
                            </pic:pic>
                          </a:graphicData>
                        </a:graphic>
                      </wp:anchor>
                    </w:drawing>
                  </w:r>
                </w:p>
              </w:tc>
              <w:tc>
                <w:tcPr>
                  <w:tcW w:w="1749" w:type="dxa"/>
                  <w:vAlign w:val="center"/>
                </w:tcPr>
                <w:p w14:paraId="365B26D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drawing>
                      <wp:inline distT="0" distB="0" distL="114300" distR="114300">
                        <wp:extent cx="850900" cy="875665"/>
                        <wp:effectExtent l="0" t="0" r="6350" b="635"/>
                        <wp:docPr id="14" name="图片 31" descr="D:\微信接收\WeChat Files\LX12122334\FileStorage\Temp\1677746410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1" descr="D:\微信接收\WeChat Files\LX12122334\FileStorage\Temp\1677746410193.png"/>
                                <pic:cNvPicPr>
                                  <a:picLocks noChangeAspect="1"/>
                                </pic:cNvPicPr>
                              </pic:nvPicPr>
                              <pic:blipFill>
                                <a:blip r:embed="rId43"/>
                                <a:stretch>
                                  <a:fillRect/>
                                </a:stretch>
                              </pic:blipFill>
                              <pic:spPr>
                                <a:xfrm>
                                  <a:off x="0" y="0"/>
                                  <a:ext cx="850900" cy="875665"/>
                                </a:xfrm>
                                <a:prstGeom prst="rect">
                                  <a:avLst/>
                                </a:prstGeom>
                                <a:noFill/>
                                <a:ln>
                                  <a:noFill/>
                                </a:ln>
                              </pic:spPr>
                            </pic:pic>
                          </a:graphicData>
                        </a:graphic>
                      </wp:inline>
                    </w:drawing>
                  </w:r>
                </w:p>
              </w:tc>
              <w:tc>
                <w:tcPr>
                  <w:tcW w:w="1458" w:type="dxa"/>
                  <w:vAlign w:val="center"/>
                </w:tcPr>
                <w:p w14:paraId="2FCF0BB4">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危险固体废物标示</w:t>
                  </w:r>
                </w:p>
              </w:tc>
              <w:tc>
                <w:tcPr>
                  <w:tcW w:w="1886" w:type="dxa"/>
                  <w:vAlign w:val="center"/>
                </w:tcPr>
                <w:p w14:paraId="59A0D6ED">
                  <w:pPr>
                    <w:pStyle w:val="1099"/>
                    <w:keepNext w:val="0"/>
                    <w:keepLines w:val="0"/>
                    <w:suppressLineNumbers w:val="0"/>
                    <w:snapToGrid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危险固体废物贮存、处置场</w:t>
                  </w:r>
                </w:p>
              </w:tc>
            </w:tr>
          </w:tbl>
          <w:p w14:paraId="751F8469">
            <w:pPr>
              <w:keepNext w:val="0"/>
              <w:keepLines w:val="0"/>
              <w:suppressLineNumbers w:val="0"/>
              <w:spacing w:before="0" w:beforeAutospacing="0" w:after="0" w:afterAutospacing="0" w:line="440" w:lineRule="exact"/>
              <w:ind w:left="0" w:right="0" w:firstLine="422" w:firstLineChars="200"/>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3、排污许可证管理要求</w:t>
            </w:r>
          </w:p>
          <w:p w14:paraId="490D32B0">
            <w:pPr>
              <w:keepNext w:val="0"/>
              <w:keepLines w:val="0"/>
              <w:suppressLineNumbers w:val="0"/>
              <w:spacing w:before="0" w:beforeAutospacing="0" w:after="0" w:afterAutospacing="0" w:line="440" w:lineRule="exact"/>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根据《固定污染源排污许可分类管理名录（2019年版）》，本项目排污许可分类为登记管理，建设单位在取得环评批复后，及时在全国排污许可证管理信息平台上填报登记管理信息。</w:t>
            </w:r>
          </w:p>
          <w:p w14:paraId="7B9F7C6A">
            <w:pPr>
              <w:keepNext w:val="0"/>
              <w:keepLines w:val="0"/>
              <w:suppressLineNumbers w:val="0"/>
              <w:spacing w:before="0" w:beforeAutospacing="0" w:after="0" w:afterAutospacing="0" w:line="440" w:lineRule="exact"/>
              <w:ind w:left="0" w:right="0" w:firstLine="422" w:firstLineChars="200"/>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4、自主验收要求</w:t>
            </w:r>
          </w:p>
          <w:p w14:paraId="37FDC950">
            <w:pPr>
              <w:keepNext w:val="0"/>
              <w:keepLines w:val="0"/>
              <w:suppressLineNumbers w:val="0"/>
              <w:spacing w:before="0" w:beforeAutospacing="0" w:after="0" w:afterAutospacing="0" w:line="440" w:lineRule="exact"/>
              <w:ind w:left="0" w:right="0" w:firstLine="420" w:firstLineChars="200"/>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建设单位应在本项目建设完成并进行试生产后，按照《建设项目竣工环境保护验收暂行办法》（2017年11月22日实施）中的相关规定，进行自主验收。</w:t>
            </w:r>
          </w:p>
          <w:p w14:paraId="31ACD7CD">
            <w:pPr>
              <w:keepNext w:val="0"/>
              <w:keepLines w:val="0"/>
              <w:suppressLineNumbers w:val="0"/>
              <w:spacing w:before="0" w:beforeAutospacing="0" w:after="0" w:afterAutospacing="0" w:line="440" w:lineRule="exact"/>
              <w:ind w:left="0" w:right="0"/>
              <w:rPr>
                <w:rFonts w:hint="default" w:ascii="Times New Roman" w:hAnsi="Times New Roman" w:cs="Times New Roman"/>
                <w:color w:val="auto"/>
                <w:kern w:val="0"/>
                <w:szCs w:val="21"/>
                <w:highlight w:val="none"/>
              </w:rPr>
            </w:pPr>
          </w:p>
          <w:p w14:paraId="71C628FE">
            <w:pPr>
              <w:keepNext w:val="0"/>
              <w:keepLines w:val="0"/>
              <w:suppressLineNumbers w:val="0"/>
              <w:spacing w:before="0" w:beforeAutospacing="0" w:after="0" w:afterAutospacing="0" w:line="440" w:lineRule="exact"/>
              <w:ind w:left="0" w:right="0"/>
              <w:rPr>
                <w:rFonts w:hint="default" w:ascii="Times New Roman" w:hAnsi="Times New Roman" w:cs="Times New Roman"/>
                <w:color w:val="auto"/>
                <w:kern w:val="0"/>
                <w:szCs w:val="21"/>
                <w:highlight w:val="none"/>
              </w:rPr>
            </w:pPr>
          </w:p>
        </w:tc>
      </w:tr>
    </w:tbl>
    <w:p w14:paraId="285654E9">
      <w:pPr>
        <w:rPr>
          <w:rFonts w:hint="default" w:ascii="Times New Roman" w:hAnsi="Times New Roman" w:cs="Times New Roman"/>
          <w:b/>
          <w:snapToGrid w:val="0"/>
          <w:color w:val="auto"/>
          <w:sz w:val="30"/>
          <w:szCs w:val="30"/>
          <w:highlight w:val="none"/>
        </w:rPr>
        <w:sectPr>
          <w:pgSz w:w="11905" w:h="16838"/>
          <w:pgMar w:top="1701" w:right="1531" w:bottom="2126" w:left="1531" w:header="851" w:footer="850" w:gutter="0"/>
          <w:pgBorders>
            <w:top w:val="none" w:sz="0" w:space="0"/>
            <w:left w:val="none" w:sz="0" w:space="0"/>
            <w:bottom w:val="none" w:sz="0" w:space="0"/>
            <w:right w:val="none" w:sz="0" w:space="0"/>
          </w:pgBorders>
          <w:cols w:space="0" w:num="1"/>
          <w:docGrid w:linePitch="312" w:charSpace="0"/>
        </w:sectPr>
      </w:pPr>
      <w:r>
        <w:rPr>
          <w:rFonts w:hint="default" w:ascii="Times New Roman" w:hAnsi="Times New Roman" w:cs="Times New Roman"/>
          <w:snapToGrid w:val="0"/>
          <w:color w:val="auto"/>
          <w:highlight w:val="none"/>
        </w:rPr>
        <w:br w:type="page"/>
      </w:r>
    </w:p>
    <w:p w14:paraId="46171188">
      <w:pPr>
        <w:pStyle w:val="57"/>
        <w:spacing w:before="0" w:beforeAutospacing="0" w:after="0" w:afterAutospacing="0"/>
        <w:jc w:val="center"/>
        <w:outlineLvl w:val="0"/>
        <w:rPr>
          <w:rFonts w:hint="default" w:ascii="Times New Roman" w:hAnsi="Times New Roman" w:cs="Times New Roman"/>
          <w:b/>
          <w:snapToGrid w:val="0"/>
          <w:color w:val="auto"/>
          <w:sz w:val="30"/>
          <w:szCs w:val="30"/>
          <w:highlight w:val="none"/>
        </w:rPr>
      </w:pPr>
      <w:r>
        <w:rPr>
          <w:rFonts w:hint="default" w:ascii="Times New Roman" w:hAnsi="Times New Roman" w:cs="Times New Roman"/>
          <w:b/>
          <w:snapToGrid w:val="0"/>
          <w:color w:val="auto"/>
          <w:sz w:val="30"/>
          <w:szCs w:val="30"/>
          <w:highlight w:val="none"/>
        </w:rPr>
        <w:t>六、结论</w:t>
      </w:r>
    </w:p>
    <w:tbl>
      <w:tblPr>
        <w:tblStyle w:val="61"/>
        <w:tblW w:w="8865"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78D9EE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14:paraId="7EF6E9BB">
            <w:pPr>
              <w:pStyle w:val="9"/>
              <w:keepNext w:val="0"/>
              <w:keepLines w:val="0"/>
              <w:suppressLineNumbers w:val="0"/>
              <w:spacing w:before="0" w:beforeAutospacing="0" w:afterAutospacing="0" w:line="360" w:lineRule="auto"/>
              <w:ind w:left="0" w:leftChars="0" w:right="0" w:firstLine="480" w:firstLineChars="200"/>
              <w:jc w:val="left"/>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本项目符合产业政策，符合“三线一单”环保要求，选址符合地区总体规划要求；项目污染治理措施能够满足环保管理的要求，废水、噪声、固体废物均能实现达标排放和安全处置，对声环境、地表及地下水环境、土壤环境的影响较小；项目虽存在一定的环境风险，但在落实风险防范措施的情况下，其风险值在可接受的水平。因此，从环境影响角度分析，该项目的建设是可行的。</w:t>
            </w:r>
          </w:p>
          <w:p w14:paraId="507EC638">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szCs w:val="20"/>
                <w:highlight w:val="none"/>
                <w:lang w:val="zh-CN" w:bidi="he-IL"/>
              </w:rPr>
            </w:pPr>
          </w:p>
        </w:tc>
      </w:tr>
    </w:tbl>
    <w:p w14:paraId="5AC7F511">
      <w:pPr>
        <w:tabs>
          <w:tab w:val="left" w:pos="952"/>
        </w:tabs>
        <w:rPr>
          <w:rFonts w:hint="default" w:ascii="Times New Roman" w:hAnsi="Times New Roman" w:cs="Times New Roman"/>
          <w:color w:val="auto"/>
          <w:highlight w:val="none"/>
        </w:rPr>
        <w:sectPr>
          <w:pgSz w:w="11905" w:h="16838"/>
          <w:pgMar w:top="1701" w:right="1531" w:bottom="2126" w:left="1531" w:header="851" w:footer="850" w:gutter="0"/>
          <w:pgBorders>
            <w:top w:val="none" w:sz="0" w:space="0"/>
            <w:left w:val="none" w:sz="0" w:space="0"/>
            <w:bottom w:val="none" w:sz="0" w:space="0"/>
            <w:right w:val="none" w:sz="0" w:space="0"/>
          </w:pgBorders>
          <w:cols w:space="0" w:num="1"/>
          <w:docGrid w:linePitch="312" w:charSpace="0"/>
        </w:sectPr>
      </w:pPr>
    </w:p>
    <w:p w14:paraId="63FBED10">
      <w:pPr>
        <w:pStyle w:val="57"/>
        <w:adjustRightInd w:val="0"/>
        <w:snapToGrid w:val="0"/>
        <w:spacing w:before="0" w:beforeAutospacing="0" w:after="0" w:afterAutospacing="0"/>
        <w:outlineLvl w:val="0"/>
        <w:rPr>
          <w:rFonts w:hint="default" w:ascii="Times New Roman" w:hAnsi="Times New Roman" w:cs="Times New Roman"/>
          <w:b/>
          <w:snapToGrid w:val="0"/>
          <w:color w:val="auto"/>
          <w:sz w:val="32"/>
          <w:szCs w:val="32"/>
          <w:highlight w:val="none"/>
        </w:rPr>
      </w:pPr>
      <w:r>
        <w:rPr>
          <w:rFonts w:hint="default" w:ascii="Times New Roman" w:hAnsi="Times New Roman" w:cs="Times New Roman"/>
          <w:b/>
          <w:snapToGrid w:val="0"/>
          <w:color w:val="auto"/>
          <w:sz w:val="32"/>
          <w:szCs w:val="32"/>
          <w:highlight w:val="none"/>
        </w:rPr>
        <w:t>附表</w:t>
      </w:r>
    </w:p>
    <w:p w14:paraId="2768FEF4">
      <w:pPr>
        <w:pStyle w:val="57"/>
        <w:adjustRightInd w:val="0"/>
        <w:snapToGrid w:val="0"/>
        <w:spacing w:before="0" w:beforeAutospacing="0" w:after="0" w:afterAutospacing="0"/>
        <w:jc w:val="center"/>
        <w:rPr>
          <w:rFonts w:hint="default" w:ascii="Times New Roman" w:hAnsi="Times New Roman" w:cs="Times New Roman"/>
          <w:snapToGrid w:val="0"/>
          <w:color w:val="auto"/>
          <w:sz w:val="38"/>
          <w:szCs w:val="38"/>
          <w:highlight w:val="none"/>
        </w:rPr>
      </w:pPr>
      <w:r>
        <w:rPr>
          <w:rFonts w:hint="default" w:ascii="Times New Roman" w:hAnsi="Times New Roman" w:cs="Times New Roman"/>
          <w:snapToGrid w:val="0"/>
          <w:color w:val="auto"/>
          <w:sz w:val="38"/>
          <w:szCs w:val="38"/>
          <w:highlight w:val="none"/>
        </w:rPr>
        <w:t>建设项目污染物排放量汇总表</w:t>
      </w:r>
      <w:r>
        <w:commentReference w:id="40"/>
      </w:r>
      <w:r>
        <w:rPr>
          <w:rFonts w:hint="default" w:ascii="Times New Roman" w:hAnsi="Times New Roman" w:cs="Times New Roman"/>
          <w:snapToGrid w:val="0"/>
          <w:color w:val="auto"/>
          <w:sz w:val="38"/>
          <w:szCs w:val="38"/>
          <w:highlight w:val="none"/>
        </w:rPr>
        <w:t>（t/a）</w:t>
      </w:r>
    </w:p>
    <w:tbl>
      <w:tblPr>
        <w:tblStyle w:val="61"/>
        <w:tblW w:w="136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1"/>
        <w:gridCol w:w="750"/>
        <w:gridCol w:w="1065"/>
        <w:gridCol w:w="1563"/>
        <w:gridCol w:w="1400"/>
        <w:gridCol w:w="1401"/>
        <w:gridCol w:w="1960"/>
        <w:gridCol w:w="1401"/>
        <w:gridCol w:w="1648"/>
        <w:gridCol w:w="1442"/>
      </w:tblGrid>
      <w:tr w14:paraId="357B79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91" w:type="dxa"/>
            <w:tcBorders>
              <w:tl2br w:val="single" w:color="auto" w:sz="4" w:space="0"/>
            </w:tcBorders>
            <w:tcMar>
              <w:left w:w="28" w:type="dxa"/>
              <w:right w:w="28" w:type="dxa"/>
            </w:tcMar>
            <w:vAlign w:val="center"/>
          </w:tcPr>
          <w:p w14:paraId="6093278C">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spacing w:val="-6"/>
                <w:kern w:val="21"/>
                <w:sz w:val="21"/>
                <w:szCs w:val="21"/>
                <w:highlight w:val="none"/>
              </w:rPr>
            </w:pPr>
            <w:r>
              <w:rPr>
                <w:rFonts w:hint="default" w:ascii="Times New Roman" w:hAnsi="Times New Roman" w:cs="Times New Roman"/>
                <w:b/>
                <w:bCs/>
                <w:snapToGrid w:val="0"/>
                <w:color w:val="auto"/>
                <w:spacing w:val="-6"/>
                <w:kern w:val="21"/>
                <w:sz w:val="21"/>
                <w:szCs w:val="21"/>
                <w:highlight w:val="none"/>
              </w:rPr>
              <w:t>项目</w:t>
            </w:r>
          </w:p>
          <w:p w14:paraId="1450B82D">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spacing w:val="-6"/>
                <w:kern w:val="21"/>
                <w:sz w:val="21"/>
                <w:szCs w:val="21"/>
                <w:highlight w:val="none"/>
              </w:rPr>
            </w:pPr>
            <w:r>
              <w:rPr>
                <w:rFonts w:hint="default" w:ascii="Times New Roman" w:hAnsi="Times New Roman" w:cs="Times New Roman"/>
                <w:b/>
                <w:bCs/>
                <w:snapToGrid w:val="0"/>
                <w:color w:val="auto"/>
                <w:spacing w:val="-6"/>
                <w:kern w:val="21"/>
                <w:sz w:val="21"/>
                <w:szCs w:val="21"/>
                <w:highlight w:val="none"/>
              </w:rPr>
              <w:t>分类</w:t>
            </w:r>
          </w:p>
        </w:tc>
        <w:tc>
          <w:tcPr>
            <w:tcW w:w="1815" w:type="dxa"/>
            <w:gridSpan w:val="2"/>
            <w:tcMar>
              <w:left w:w="28" w:type="dxa"/>
              <w:right w:w="28" w:type="dxa"/>
            </w:tcMar>
            <w:vAlign w:val="center"/>
          </w:tcPr>
          <w:p w14:paraId="71F7CD09">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spacing w:val="-6"/>
                <w:kern w:val="21"/>
                <w:sz w:val="21"/>
                <w:szCs w:val="21"/>
                <w:highlight w:val="none"/>
              </w:rPr>
            </w:pPr>
            <w:r>
              <w:rPr>
                <w:rFonts w:hint="default" w:ascii="Times New Roman" w:hAnsi="Times New Roman" w:cs="Times New Roman"/>
                <w:b/>
                <w:bCs/>
                <w:snapToGrid w:val="0"/>
                <w:color w:val="auto"/>
                <w:spacing w:val="-6"/>
                <w:kern w:val="21"/>
                <w:sz w:val="21"/>
                <w:szCs w:val="21"/>
                <w:highlight w:val="none"/>
              </w:rPr>
              <w:t>污染物名称</w:t>
            </w:r>
          </w:p>
        </w:tc>
        <w:tc>
          <w:tcPr>
            <w:tcW w:w="1563" w:type="dxa"/>
            <w:tcMar>
              <w:left w:w="28" w:type="dxa"/>
              <w:right w:w="28" w:type="dxa"/>
            </w:tcMar>
            <w:vAlign w:val="center"/>
          </w:tcPr>
          <w:p w14:paraId="2755E1B7">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spacing w:val="-6"/>
                <w:kern w:val="21"/>
                <w:sz w:val="21"/>
                <w:szCs w:val="21"/>
                <w:highlight w:val="none"/>
              </w:rPr>
            </w:pPr>
            <w:r>
              <w:rPr>
                <w:rFonts w:hint="default" w:ascii="Times New Roman" w:hAnsi="Times New Roman" w:cs="Times New Roman"/>
                <w:b/>
                <w:bCs/>
                <w:snapToGrid w:val="0"/>
                <w:color w:val="auto"/>
                <w:spacing w:val="-6"/>
                <w:kern w:val="21"/>
                <w:sz w:val="21"/>
                <w:szCs w:val="21"/>
                <w:highlight w:val="none"/>
              </w:rPr>
              <w:t>现有工程排放量（固体废物产生量）</w:t>
            </w:r>
            <w:r>
              <w:rPr>
                <w:rFonts w:hint="default" w:ascii="Times New Roman" w:hAnsi="Times New Roman" w:cs="Times New Roman"/>
                <w:b/>
                <w:bCs/>
                <w:snapToGrid w:val="0"/>
                <w:color w:val="auto"/>
                <w:spacing w:val="-6"/>
                <w:kern w:val="21"/>
                <w:sz w:val="21"/>
                <w:szCs w:val="21"/>
                <w:highlight w:val="none"/>
              </w:rPr>
              <w:fldChar w:fldCharType="begin"/>
            </w:r>
            <w:r>
              <w:rPr>
                <w:rFonts w:hint="default" w:ascii="Times New Roman" w:hAnsi="Times New Roman" w:cs="Times New Roman"/>
                <w:b/>
                <w:bCs/>
                <w:snapToGrid w:val="0"/>
                <w:color w:val="auto"/>
                <w:spacing w:val="-6"/>
                <w:kern w:val="21"/>
                <w:sz w:val="21"/>
                <w:szCs w:val="21"/>
                <w:highlight w:val="none"/>
              </w:rPr>
              <w:instrText xml:space="preserve"> = 1 \* GB3 \* MERGEFORMAT </w:instrText>
            </w:r>
            <w:r>
              <w:rPr>
                <w:rFonts w:hint="default" w:ascii="Times New Roman" w:hAnsi="Times New Roman" w:cs="Times New Roman"/>
                <w:b/>
                <w:bCs/>
                <w:snapToGrid w:val="0"/>
                <w:color w:val="auto"/>
                <w:spacing w:val="-6"/>
                <w:kern w:val="21"/>
                <w:sz w:val="21"/>
                <w:szCs w:val="21"/>
                <w:highlight w:val="none"/>
              </w:rPr>
              <w:fldChar w:fldCharType="separate"/>
            </w:r>
            <w:r>
              <w:rPr>
                <w:rFonts w:hint="default" w:ascii="Times New Roman" w:hAnsi="Times New Roman" w:cs="Times New Roman"/>
                <w:b/>
                <w:bCs/>
                <w:color w:val="auto"/>
                <w:kern w:val="2"/>
                <w:sz w:val="21"/>
                <w:szCs w:val="21"/>
                <w:highlight w:val="none"/>
              </w:rPr>
              <w:t>①</w:t>
            </w:r>
            <w:r>
              <w:rPr>
                <w:rFonts w:hint="default" w:ascii="Times New Roman" w:hAnsi="Times New Roman" w:cs="Times New Roman"/>
                <w:b/>
                <w:bCs/>
                <w:snapToGrid w:val="0"/>
                <w:color w:val="auto"/>
                <w:spacing w:val="-6"/>
                <w:kern w:val="21"/>
                <w:sz w:val="21"/>
                <w:szCs w:val="21"/>
                <w:highlight w:val="none"/>
              </w:rPr>
              <w:fldChar w:fldCharType="end"/>
            </w:r>
          </w:p>
        </w:tc>
        <w:tc>
          <w:tcPr>
            <w:tcW w:w="1400" w:type="dxa"/>
            <w:tcMar>
              <w:left w:w="28" w:type="dxa"/>
              <w:right w:w="28" w:type="dxa"/>
            </w:tcMar>
            <w:vAlign w:val="center"/>
          </w:tcPr>
          <w:p w14:paraId="23E16A64">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spacing w:val="-6"/>
                <w:kern w:val="21"/>
                <w:sz w:val="21"/>
                <w:szCs w:val="21"/>
                <w:highlight w:val="none"/>
              </w:rPr>
            </w:pPr>
            <w:r>
              <w:rPr>
                <w:rFonts w:hint="default" w:ascii="Times New Roman" w:hAnsi="Times New Roman" w:cs="Times New Roman"/>
                <w:b/>
                <w:bCs/>
                <w:snapToGrid w:val="0"/>
                <w:color w:val="auto"/>
                <w:spacing w:val="-6"/>
                <w:kern w:val="21"/>
                <w:sz w:val="21"/>
                <w:szCs w:val="21"/>
                <w:highlight w:val="none"/>
              </w:rPr>
              <w:t>现有工程许可排放量</w:t>
            </w:r>
            <w:r>
              <w:rPr>
                <w:rFonts w:hint="default" w:ascii="Times New Roman" w:hAnsi="Times New Roman" w:cs="Times New Roman"/>
                <w:b/>
                <w:bCs/>
                <w:snapToGrid w:val="0"/>
                <w:color w:val="auto"/>
                <w:spacing w:val="-6"/>
                <w:kern w:val="21"/>
                <w:sz w:val="21"/>
                <w:szCs w:val="21"/>
                <w:highlight w:val="none"/>
              </w:rPr>
              <w:fldChar w:fldCharType="begin"/>
            </w:r>
            <w:r>
              <w:rPr>
                <w:rFonts w:hint="default" w:ascii="Times New Roman" w:hAnsi="Times New Roman" w:cs="Times New Roman"/>
                <w:b/>
                <w:bCs/>
                <w:snapToGrid w:val="0"/>
                <w:color w:val="auto"/>
                <w:spacing w:val="-6"/>
                <w:kern w:val="21"/>
                <w:sz w:val="21"/>
                <w:szCs w:val="21"/>
                <w:highlight w:val="none"/>
              </w:rPr>
              <w:instrText xml:space="preserve"> = 2 \* GB3 \* MERGEFORMAT </w:instrText>
            </w:r>
            <w:r>
              <w:rPr>
                <w:rFonts w:hint="default" w:ascii="Times New Roman" w:hAnsi="Times New Roman" w:cs="Times New Roman"/>
                <w:b/>
                <w:bCs/>
                <w:snapToGrid w:val="0"/>
                <w:color w:val="auto"/>
                <w:spacing w:val="-6"/>
                <w:kern w:val="21"/>
                <w:sz w:val="21"/>
                <w:szCs w:val="21"/>
                <w:highlight w:val="none"/>
              </w:rPr>
              <w:fldChar w:fldCharType="separate"/>
            </w:r>
            <w:r>
              <w:rPr>
                <w:rFonts w:hint="default" w:ascii="Times New Roman" w:hAnsi="Times New Roman" w:cs="Times New Roman"/>
                <w:b/>
                <w:bCs/>
                <w:snapToGrid w:val="0"/>
                <w:color w:val="auto"/>
                <w:spacing w:val="-6"/>
                <w:kern w:val="21"/>
                <w:sz w:val="21"/>
                <w:szCs w:val="21"/>
                <w:highlight w:val="none"/>
              </w:rPr>
              <w:t>②</w:t>
            </w:r>
            <w:r>
              <w:rPr>
                <w:rFonts w:hint="default" w:ascii="Times New Roman" w:hAnsi="Times New Roman" w:cs="Times New Roman"/>
                <w:b/>
                <w:bCs/>
                <w:snapToGrid w:val="0"/>
                <w:color w:val="auto"/>
                <w:spacing w:val="-6"/>
                <w:kern w:val="21"/>
                <w:sz w:val="21"/>
                <w:szCs w:val="21"/>
                <w:highlight w:val="none"/>
              </w:rPr>
              <w:fldChar w:fldCharType="end"/>
            </w:r>
          </w:p>
        </w:tc>
        <w:tc>
          <w:tcPr>
            <w:tcW w:w="1401" w:type="dxa"/>
            <w:tcMar>
              <w:left w:w="28" w:type="dxa"/>
              <w:right w:w="28" w:type="dxa"/>
            </w:tcMar>
            <w:vAlign w:val="center"/>
          </w:tcPr>
          <w:p w14:paraId="448F227F">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spacing w:val="-6"/>
                <w:kern w:val="21"/>
                <w:sz w:val="21"/>
                <w:szCs w:val="21"/>
                <w:highlight w:val="none"/>
              </w:rPr>
            </w:pPr>
            <w:r>
              <w:rPr>
                <w:rFonts w:hint="default" w:ascii="Times New Roman" w:hAnsi="Times New Roman" w:cs="Times New Roman"/>
                <w:b/>
                <w:bCs/>
                <w:snapToGrid w:val="0"/>
                <w:color w:val="auto"/>
                <w:spacing w:val="-6"/>
                <w:kern w:val="21"/>
                <w:sz w:val="21"/>
                <w:szCs w:val="21"/>
                <w:highlight w:val="none"/>
              </w:rPr>
              <w:t>在建工程排放量（固体废物产生量）</w:t>
            </w:r>
            <w:r>
              <w:rPr>
                <w:rFonts w:hint="default" w:ascii="Times New Roman" w:hAnsi="Times New Roman" w:cs="Times New Roman"/>
                <w:b/>
                <w:bCs/>
                <w:snapToGrid w:val="0"/>
                <w:color w:val="auto"/>
                <w:spacing w:val="-6"/>
                <w:kern w:val="21"/>
                <w:sz w:val="21"/>
                <w:szCs w:val="21"/>
                <w:highlight w:val="none"/>
              </w:rPr>
              <w:fldChar w:fldCharType="begin"/>
            </w:r>
            <w:r>
              <w:rPr>
                <w:rFonts w:hint="default" w:ascii="Times New Roman" w:hAnsi="Times New Roman" w:cs="Times New Roman"/>
                <w:b/>
                <w:bCs/>
                <w:snapToGrid w:val="0"/>
                <w:color w:val="auto"/>
                <w:spacing w:val="-6"/>
                <w:kern w:val="21"/>
                <w:sz w:val="21"/>
                <w:szCs w:val="21"/>
                <w:highlight w:val="none"/>
              </w:rPr>
              <w:instrText xml:space="preserve"> = 3 \* GB3 \* MERGEFORMAT </w:instrText>
            </w:r>
            <w:r>
              <w:rPr>
                <w:rFonts w:hint="default" w:ascii="Times New Roman" w:hAnsi="Times New Roman" w:cs="Times New Roman"/>
                <w:b/>
                <w:bCs/>
                <w:snapToGrid w:val="0"/>
                <w:color w:val="auto"/>
                <w:spacing w:val="-6"/>
                <w:kern w:val="21"/>
                <w:sz w:val="21"/>
                <w:szCs w:val="21"/>
                <w:highlight w:val="none"/>
              </w:rPr>
              <w:fldChar w:fldCharType="separate"/>
            </w:r>
            <w:r>
              <w:rPr>
                <w:rFonts w:hint="default" w:ascii="Times New Roman" w:hAnsi="Times New Roman" w:cs="Times New Roman"/>
                <w:b/>
                <w:bCs/>
                <w:color w:val="auto"/>
                <w:kern w:val="2"/>
                <w:sz w:val="21"/>
                <w:szCs w:val="21"/>
                <w:highlight w:val="none"/>
              </w:rPr>
              <w:t>③</w:t>
            </w:r>
            <w:r>
              <w:rPr>
                <w:rFonts w:hint="default" w:ascii="Times New Roman" w:hAnsi="Times New Roman" w:cs="Times New Roman"/>
                <w:b/>
                <w:bCs/>
                <w:snapToGrid w:val="0"/>
                <w:color w:val="auto"/>
                <w:spacing w:val="-6"/>
                <w:kern w:val="21"/>
                <w:sz w:val="21"/>
                <w:szCs w:val="21"/>
                <w:highlight w:val="none"/>
              </w:rPr>
              <w:fldChar w:fldCharType="end"/>
            </w:r>
          </w:p>
        </w:tc>
        <w:tc>
          <w:tcPr>
            <w:tcW w:w="1960" w:type="dxa"/>
            <w:tcMar>
              <w:left w:w="28" w:type="dxa"/>
              <w:right w:w="28" w:type="dxa"/>
            </w:tcMar>
            <w:vAlign w:val="center"/>
          </w:tcPr>
          <w:p w14:paraId="39C93C0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b/>
                <w:bCs/>
                <w:color w:val="auto"/>
                <w:kern w:val="0"/>
                <w:sz w:val="21"/>
                <w:szCs w:val="21"/>
                <w:highlight w:val="none"/>
                <w:lang w:bidi="ar"/>
              </w:rPr>
            </w:pPr>
            <w:r>
              <w:rPr>
                <w:rFonts w:hint="default" w:ascii="Times New Roman" w:hAnsi="Times New Roman" w:eastAsia="宋体" w:cs="Times New Roman"/>
                <w:b/>
                <w:bCs/>
                <w:color w:val="auto"/>
                <w:kern w:val="0"/>
                <w:sz w:val="21"/>
                <w:szCs w:val="21"/>
                <w:highlight w:val="none"/>
                <w:lang w:bidi="ar"/>
              </w:rPr>
              <w:t>本项目排放量（固体废物产生量）</w:t>
            </w:r>
            <w:r>
              <w:rPr>
                <w:rFonts w:hint="default" w:ascii="Times New Roman" w:hAnsi="Times New Roman" w:eastAsia="宋体" w:cs="Times New Roman"/>
                <w:b/>
                <w:bCs/>
                <w:color w:val="auto"/>
                <w:kern w:val="0"/>
                <w:sz w:val="21"/>
                <w:szCs w:val="21"/>
                <w:highlight w:val="none"/>
                <w:lang w:bidi="ar"/>
              </w:rPr>
              <w:fldChar w:fldCharType="begin"/>
            </w:r>
            <w:r>
              <w:rPr>
                <w:rFonts w:hint="default" w:ascii="Times New Roman" w:hAnsi="Times New Roman" w:eastAsia="宋体" w:cs="Times New Roman"/>
                <w:b/>
                <w:bCs/>
                <w:color w:val="auto"/>
                <w:kern w:val="0"/>
                <w:sz w:val="21"/>
                <w:szCs w:val="21"/>
                <w:highlight w:val="none"/>
                <w:lang w:bidi="ar"/>
              </w:rPr>
              <w:instrText xml:space="preserve"> = 4 \* GB3 \* MERGEFORMAT </w:instrText>
            </w:r>
            <w:r>
              <w:rPr>
                <w:rFonts w:hint="default" w:ascii="Times New Roman" w:hAnsi="Times New Roman" w:eastAsia="宋体" w:cs="Times New Roman"/>
                <w:b/>
                <w:bCs/>
                <w:color w:val="auto"/>
                <w:kern w:val="0"/>
                <w:sz w:val="21"/>
                <w:szCs w:val="21"/>
                <w:highlight w:val="none"/>
                <w:lang w:bidi="ar"/>
              </w:rPr>
              <w:fldChar w:fldCharType="separate"/>
            </w:r>
            <w:r>
              <w:rPr>
                <w:rFonts w:hint="default" w:ascii="Times New Roman" w:hAnsi="Times New Roman" w:eastAsia="宋体" w:cs="Times New Roman"/>
                <w:b/>
                <w:bCs/>
                <w:color w:val="auto"/>
                <w:kern w:val="0"/>
                <w:sz w:val="21"/>
                <w:szCs w:val="21"/>
                <w:highlight w:val="none"/>
                <w:lang w:bidi="ar"/>
              </w:rPr>
              <w:t>④</w:t>
            </w:r>
            <w:r>
              <w:rPr>
                <w:rFonts w:hint="default" w:ascii="Times New Roman" w:hAnsi="Times New Roman" w:eastAsia="宋体" w:cs="Times New Roman"/>
                <w:b/>
                <w:bCs/>
                <w:color w:val="auto"/>
                <w:kern w:val="0"/>
                <w:sz w:val="21"/>
                <w:szCs w:val="21"/>
                <w:highlight w:val="none"/>
                <w:lang w:bidi="ar"/>
              </w:rPr>
              <w:fldChar w:fldCharType="end"/>
            </w:r>
          </w:p>
        </w:tc>
        <w:tc>
          <w:tcPr>
            <w:tcW w:w="1401" w:type="dxa"/>
            <w:tcMar>
              <w:left w:w="28" w:type="dxa"/>
              <w:right w:w="28" w:type="dxa"/>
            </w:tcMar>
            <w:vAlign w:val="center"/>
          </w:tcPr>
          <w:p w14:paraId="75F0DEC8">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kern w:val="21"/>
                <w:sz w:val="21"/>
                <w:szCs w:val="21"/>
                <w:highlight w:val="none"/>
              </w:rPr>
            </w:pPr>
            <w:r>
              <w:rPr>
                <w:rFonts w:hint="default" w:ascii="Times New Roman" w:hAnsi="Times New Roman" w:cs="Times New Roman"/>
                <w:b/>
                <w:bCs/>
                <w:snapToGrid w:val="0"/>
                <w:color w:val="auto"/>
                <w:kern w:val="21"/>
                <w:sz w:val="21"/>
                <w:szCs w:val="21"/>
                <w:highlight w:val="none"/>
              </w:rPr>
              <w:t>以新带老削减量（新建项目不填）</w:t>
            </w:r>
            <w:r>
              <w:rPr>
                <w:rFonts w:hint="default" w:ascii="Times New Roman" w:hAnsi="Times New Roman" w:cs="Times New Roman"/>
                <w:b/>
                <w:bCs/>
                <w:snapToGrid w:val="0"/>
                <w:color w:val="auto"/>
                <w:kern w:val="21"/>
                <w:sz w:val="21"/>
                <w:szCs w:val="21"/>
                <w:highlight w:val="none"/>
              </w:rPr>
              <w:fldChar w:fldCharType="begin"/>
            </w:r>
            <w:r>
              <w:rPr>
                <w:rFonts w:hint="default" w:ascii="Times New Roman" w:hAnsi="Times New Roman" w:cs="Times New Roman"/>
                <w:b/>
                <w:bCs/>
                <w:snapToGrid w:val="0"/>
                <w:color w:val="auto"/>
                <w:kern w:val="21"/>
                <w:sz w:val="21"/>
                <w:szCs w:val="21"/>
                <w:highlight w:val="none"/>
              </w:rPr>
              <w:instrText xml:space="preserve"> = 5 \* GB3 \* MERGEFORMAT </w:instrText>
            </w:r>
            <w:r>
              <w:rPr>
                <w:rFonts w:hint="default" w:ascii="Times New Roman" w:hAnsi="Times New Roman" w:cs="Times New Roman"/>
                <w:b/>
                <w:bCs/>
                <w:snapToGrid w:val="0"/>
                <w:color w:val="auto"/>
                <w:kern w:val="21"/>
                <w:sz w:val="21"/>
                <w:szCs w:val="21"/>
                <w:highlight w:val="none"/>
              </w:rPr>
              <w:fldChar w:fldCharType="separate"/>
            </w:r>
            <w:r>
              <w:rPr>
                <w:rFonts w:hint="default" w:ascii="Times New Roman" w:hAnsi="Times New Roman" w:cs="Times New Roman"/>
                <w:b/>
                <w:bCs/>
                <w:color w:val="auto"/>
                <w:kern w:val="2"/>
                <w:sz w:val="21"/>
                <w:szCs w:val="21"/>
                <w:highlight w:val="none"/>
              </w:rPr>
              <w:t>⑤</w:t>
            </w:r>
            <w:r>
              <w:rPr>
                <w:rFonts w:hint="default" w:ascii="Times New Roman" w:hAnsi="Times New Roman" w:cs="Times New Roman"/>
                <w:b/>
                <w:bCs/>
                <w:snapToGrid w:val="0"/>
                <w:color w:val="auto"/>
                <w:kern w:val="21"/>
                <w:sz w:val="21"/>
                <w:szCs w:val="21"/>
                <w:highlight w:val="none"/>
              </w:rPr>
              <w:fldChar w:fldCharType="end"/>
            </w:r>
          </w:p>
        </w:tc>
        <w:tc>
          <w:tcPr>
            <w:tcW w:w="1648" w:type="dxa"/>
            <w:tcMar>
              <w:left w:w="28" w:type="dxa"/>
              <w:right w:w="28" w:type="dxa"/>
            </w:tcMar>
            <w:vAlign w:val="center"/>
          </w:tcPr>
          <w:p w14:paraId="34B1DA33">
            <w:pPr>
              <w:pStyle w:val="99"/>
              <w:keepNext w:val="0"/>
              <w:keepLines w:val="0"/>
              <w:suppressLineNumbers w:val="0"/>
              <w:spacing w:beforeLines="0" w:afterLines="0" w:line="240" w:lineRule="auto"/>
              <w:ind w:left="0" w:right="0"/>
              <w:rPr>
                <w:rFonts w:hint="default" w:ascii="Times New Roman" w:hAnsi="Times New Roman" w:cs="Times New Roman"/>
                <w:b/>
                <w:bCs/>
                <w:snapToGrid w:val="0"/>
                <w:color w:val="auto"/>
                <w:kern w:val="21"/>
                <w:sz w:val="21"/>
                <w:szCs w:val="21"/>
                <w:highlight w:val="none"/>
              </w:rPr>
            </w:pPr>
            <w:r>
              <w:rPr>
                <w:rFonts w:hint="default" w:ascii="Times New Roman" w:hAnsi="Times New Roman" w:cs="Times New Roman"/>
                <w:b/>
                <w:bCs/>
                <w:snapToGrid w:val="0"/>
                <w:color w:val="auto"/>
                <w:kern w:val="21"/>
                <w:sz w:val="21"/>
                <w:szCs w:val="21"/>
                <w:highlight w:val="none"/>
              </w:rPr>
              <w:t>本项目建成后全厂排放量（固体废物产生量）</w:t>
            </w:r>
            <w:r>
              <w:rPr>
                <w:rFonts w:hint="default" w:ascii="Times New Roman" w:hAnsi="Times New Roman" w:cs="Times New Roman"/>
                <w:b/>
                <w:bCs/>
                <w:snapToGrid w:val="0"/>
                <w:color w:val="auto"/>
                <w:kern w:val="21"/>
                <w:sz w:val="21"/>
                <w:szCs w:val="21"/>
                <w:highlight w:val="none"/>
              </w:rPr>
              <w:fldChar w:fldCharType="begin"/>
            </w:r>
            <w:r>
              <w:rPr>
                <w:rFonts w:hint="default" w:ascii="Times New Roman" w:hAnsi="Times New Roman" w:cs="Times New Roman"/>
                <w:b/>
                <w:bCs/>
                <w:snapToGrid w:val="0"/>
                <w:color w:val="auto"/>
                <w:kern w:val="21"/>
                <w:sz w:val="21"/>
                <w:szCs w:val="21"/>
                <w:highlight w:val="none"/>
              </w:rPr>
              <w:instrText xml:space="preserve"> = 6 \* GB3 \* MERGEFORMAT </w:instrText>
            </w:r>
            <w:r>
              <w:rPr>
                <w:rFonts w:hint="default" w:ascii="Times New Roman" w:hAnsi="Times New Roman" w:cs="Times New Roman"/>
                <w:b/>
                <w:bCs/>
                <w:snapToGrid w:val="0"/>
                <w:color w:val="auto"/>
                <w:kern w:val="21"/>
                <w:sz w:val="21"/>
                <w:szCs w:val="21"/>
                <w:highlight w:val="none"/>
              </w:rPr>
              <w:fldChar w:fldCharType="separate"/>
            </w:r>
            <w:r>
              <w:rPr>
                <w:rFonts w:hint="default" w:ascii="Times New Roman" w:hAnsi="Times New Roman" w:cs="Times New Roman"/>
                <w:b/>
                <w:bCs/>
                <w:color w:val="auto"/>
                <w:kern w:val="2"/>
                <w:sz w:val="21"/>
                <w:szCs w:val="21"/>
                <w:highlight w:val="none"/>
              </w:rPr>
              <w:t>⑥</w:t>
            </w:r>
            <w:r>
              <w:rPr>
                <w:rFonts w:hint="default" w:ascii="Times New Roman" w:hAnsi="Times New Roman" w:cs="Times New Roman"/>
                <w:b/>
                <w:bCs/>
                <w:snapToGrid w:val="0"/>
                <w:color w:val="auto"/>
                <w:kern w:val="21"/>
                <w:sz w:val="21"/>
                <w:szCs w:val="21"/>
                <w:highlight w:val="none"/>
              </w:rPr>
              <w:fldChar w:fldCharType="end"/>
            </w:r>
          </w:p>
        </w:tc>
        <w:tc>
          <w:tcPr>
            <w:tcW w:w="1442" w:type="dxa"/>
            <w:tcMar>
              <w:left w:w="28" w:type="dxa"/>
              <w:right w:w="28" w:type="dxa"/>
            </w:tcMar>
            <w:vAlign w:val="center"/>
          </w:tcPr>
          <w:p w14:paraId="1FF52B0D">
            <w:pPr>
              <w:keepNext w:val="0"/>
              <w:keepLines w:val="0"/>
              <w:suppressLineNumbers w:val="0"/>
              <w:spacing w:before="0" w:beforeAutospacing="0" w:after="0" w:afterAutospacing="0"/>
              <w:ind w:left="0" w:right="0"/>
              <w:jc w:val="center"/>
              <w:rPr>
                <w:rFonts w:hint="default"/>
                <w:b/>
                <w:bCs/>
              </w:rPr>
            </w:pPr>
            <w:r>
              <w:rPr>
                <w:rFonts w:hint="default"/>
                <w:b/>
                <w:bCs/>
              </w:rPr>
              <w:t>变化量</w:t>
            </w:r>
          </w:p>
          <w:p w14:paraId="04F18B4F">
            <w:pPr>
              <w:keepNext w:val="0"/>
              <w:keepLines w:val="0"/>
              <w:suppressLineNumbers w:val="0"/>
              <w:spacing w:before="0" w:beforeAutospacing="0" w:after="0" w:afterAutospacing="0"/>
              <w:ind w:left="0" w:right="0"/>
              <w:jc w:val="center"/>
              <w:rPr>
                <w:rFonts w:hint="default"/>
                <w:b/>
                <w:bCs/>
              </w:rPr>
            </w:pPr>
            <w:r>
              <w:rPr>
                <w:rFonts w:hint="default"/>
                <w:b/>
                <w:bCs/>
              </w:rPr>
              <w:fldChar w:fldCharType="begin"/>
            </w:r>
            <w:r>
              <w:rPr>
                <w:rFonts w:hint="default"/>
                <w:b/>
                <w:bCs/>
              </w:rPr>
              <w:instrText xml:space="preserve"> = 7 \* GB3 \* MERGEFORMAT </w:instrText>
            </w:r>
            <w:r>
              <w:rPr>
                <w:rFonts w:hint="default"/>
                <w:b/>
                <w:bCs/>
              </w:rPr>
              <w:fldChar w:fldCharType="separate"/>
            </w:r>
            <w:r>
              <w:rPr>
                <w:rFonts w:hint="default"/>
                <w:b/>
                <w:bCs/>
              </w:rPr>
              <w:t>⑦</w:t>
            </w:r>
            <w:r>
              <w:rPr>
                <w:rFonts w:hint="default"/>
                <w:b/>
                <w:bCs/>
              </w:rPr>
              <w:fldChar w:fldCharType="end"/>
            </w:r>
          </w:p>
        </w:tc>
      </w:tr>
      <w:tr w14:paraId="2FC2BF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dxa"/>
            <w:vMerge w:val="restart"/>
            <w:vAlign w:val="center"/>
          </w:tcPr>
          <w:p w14:paraId="0CB3E37A">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废气</w:t>
            </w:r>
          </w:p>
        </w:tc>
        <w:tc>
          <w:tcPr>
            <w:tcW w:w="1815" w:type="dxa"/>
            <w:gridSpan w:val="2"/>
            <w:shd w:val="clear" w:color="auto" w:fill="auto"/>
            <w:vAlign w:val="center"/>
          </w:tcPr>
          <w:p w14:paraId="57E71EA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非甲烷总烃</w:t>
            </w:r>
          </w:p>
        </w:tc>
        <w:tc>
          <w:tcPr>
            <w:tcW w:w="1563" w:type="dxa"/>
            <w:vAlign w:val="center"/>
          </w:tcPr>
          <w:p w14:paraId="2FDBFA3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0</w:t>
            </w:r>
          </w:p>
        </w:tc>
        <w:tc>
          <w:tcPr>
            <w:tcW w:w="1400" w:type="dxa"/>
            <w:vAlign w:val="center"/>
          </w:tcPr>
          <w:p w14:paraId="293791B7">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sz w:val="21"/>
                <w:szCs w:val="21"/>
                <w:highlight w:val="none"/>
                <w:lang w:val="en-US" w:eastAsia="zh-CN"/>
              </w:rPr>
              <w:t>0.114</w:t>
            </w:r>
          </w:p>
        </w:tc>
        <w:tc>
          <w:tcPr>
            <w:tcW w:w="1401" w:type="dxa"/>
            <w:vAlign w:val="center"/>
          </w:tcPr>
          <w:p w14:paraId="08BEA83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182FFC9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0.2025</w:t>
            </w:r>
          </w:p>
        </w:tc>
        <w:tc>
          <w:tcPr>
            <w:tcW w:w="1401" w:type="dxa"/>
            <w:shd w:val="clear" w:color="auto" w:fill="auto"/>
            <w:vAlign w:val="center"/>
          </w:tcPr>
          <w:p w14:paraId="388A2530">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ascii="宋体" w:hAnsi="宋体" w:cs="宋体"/>
                <w:color w:val="000000"/>
              </w:rPr>
              <w:t>※</w:t>
            </w:r>
            <w:r>
              <w:rPr>
                <w:rFonts w:hint="eastAsia" w:ascii="Times New Roman" w:hAnsi="Times New Roman" w:eastAsia="宋体" w:cs="Times New Roman"/>
                <w:sz w:val="21"/>
                <w:szCs w:val="21"/>
                <w:highlight w:val="none"/>
                <w:lang w:val="en-US" w:eastAsia="zh-CN"/>
              </w:rPr>
              <w:t>0.114</w:t>
            </w:r>
          </w:p>
        </w:tc>
        <w:tc>
          <w:tcPr>
            <w:tcW w:w="1648" w:type="dxa"/>
            <w:vAlign w:val="center"/>
          </w:tcPr>
          <w:p w14:paraId="1CD7DE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bidi="ar"/>
              </w:rPr>
            </w:pPr>
            <w:r>
              <w:rPr>
                <w:rFonts w:hint="eastAsia" w:ascii="Times New Roman" w:hAnsi="Times New Roman" w:eastAsia="宋体" w:cs="Times New Roman"/>
                <w:color w:val="auto"/>
                <w:kern w:val="0"/>
                <w:sz w:val="21"/>
                <w:szCs w:val="21"/>
                <w:highlight w:val="none"/>
                <w:lang w:val="en-US" w:eastAsia="zh-CN" w:bidi="ar"/>
              </w:rPr>
              <w:t>0.0925</w:t>
            </w:r>
          </w:p>
        </w:tc>
        <w:tc>
          <w:tcPr>
            <w:tcW w:w="1442" w:type="dxa"/>
            <w:shd w:val="clear" w:color="auto" w:fill="auto"/>
            <w:vAlign w:val="center"/>
          </w:tcPr>
          <w:p w14:paraId="1B3247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-0.0215</w:t>
            </w:r>
          </w:p>
        </w:tc>
      </w:tr>
      <w:tr w14:paraId="1C692F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dxa"/>
            <w:vMerge w:val="continue"/>
            <w:vAlign w:val="center"/>
          </w:tcPr>
          <w:p w14:paraId="2C454470">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00E34766">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颗粒物</w:t>
            </w:r>
          </w:p>
        </w:tc>
        <w:tc>
          <w:tcPr>
            <w:tcW w:w="1563" w:type="dxa"/>
            <w:vAlign w:val="center"/>
          </w:tcPr>
          <w:p w14:paraId="45F0392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400" w:type="dxa"/>
            <w:vAlign w:val="center"/>
          </w:tcPr>
          <w:p w14:paraId="1055DF86">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sz w:val="21"/>
                <w:szCs w:val="21"/>
                <w:highlight w:val="none"/>
                <w:lang w:eastAsia="zh-CN"/>
              </w:rPr>
              <w:t>0.043</w:t>
            </w:r>
          </w:p>
        </w:tc>
        <w:tc>
          <w:tcPr>
            <w:tcW w:w="1401" w:type="dxa"/>
            <w:vAlign w:val="center"/>
          </w:tcPr>
          <w:p w14:paraId="5C1CD0E8">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4786128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3.7352</w:t>
            </w:r>
          </w:p>
        </w:tc>
        <w:tc>
          <w:tcPr>
            <w:tcW w:w="1401" w:type="dxa"/>
            <w:shd w:val="clear" w:color="auto" w:fill="auto"/>
            <w:vAlign w:val="center"/>
          </w:tcPr>
          <w:p w14:paraId="0D638F75">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ascii="宋体" w:hAnsi="宋体" w:cs="宋体"/>
                <w:color w:val="000000"/>
              </w:rPr>
              <w:t>※</w:t>
            </w:r>
            <w:r>
              <w:rPr>
                <w:rFonts w:hint="default" w:ascii="Times New Roman" w:hAnsi="Times New Roman" w:eastAsia="宋体" w:cs="Times New Roman"/>
                <w:sz w:val="21"/>
                <w:szCs w:val="21"/>
                <w:highlight w:val="none"/>
                <w:lang w:eastAsia="zh-CN"/>
              </w:rPr>
              <w:t>0.043</w:t>
            </w:r>
          </w:p>
        </w:tc>
        <w:tc>
          <w:tcPr>
            <w:tcW w:w="1648" w:type="dxa"/>
            <w:vAlign w:val="center"/>
          </w:tcPr>
          <w:p w14:paraId="296C26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3.6922</w:t>
            </w:r>
          </w:p>
        </w:tc>
        <w:tc>
          <w:tcPr>
            <w:tcW w:w="1442" w:type="dxa"/>
            <w:vAlign w:val="center"/>
          </w:tcPr>
          <w:p w14:paraId="0C3AA1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+3.6922</w:t>
            </w:r>
          </w:p>
        </w:tc>
      </w:tr>
      <w:tr w14:paraId="45F20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dxa"/>
            <w:vMerge w:val="continue"/>
            <w:vAlign w:val="center"/>
          </w:tcPr>
          <w:p w14:paraId="6E67FA3C">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229B7A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 w:val="21"/>
                <w:szCs w:val="21"/>
              </w:rPr>
              <w:t>SO</w:t>
            </w:r>
            <w:r>
              <w:rPr>
                <w:rFonts w:hint="default"/>
                <w:color w:val="auto"/>
                <w:sz w:val="21"/>
                <w:szCs w:val="21"/>
                <w:vertAlign w:val="subscript"/>
              </w:rPr>
              <w:t>2</w:t>
            </w:r>
          </w:p>
        </w:tc>
        <w:tc>
          <w:tcPr>
            <w:tcW w:w="1563" w:type="dxa"/>
            <w:shd w:val="clear" w:color="auto" w:fill="auto"/>
            <w:vAlign w:val="center"/>
          </w:tcPr>
          <w:p w14:paraId="5CA314E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0</w:t>
            </w:r>
          </w:p>
        </w:tc>
        <w:tc>
          <w:tcPr>
            <w:tcW w:w="1400" w:type="dxa"/>
            <w:shd w:val="clear" w:color="auto" w:fill="auto"/>
            <w:vAlign w:val="center"/>
          </w:tcPr>
          <w:p w14:paraId="57EE989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sz w:val="21"/>
                <w:szCs w:val="21"/>
                <w:highlight w:val="none"/>
                <w:lang w:eastAsia="zh-CN"/>
              </w:rPr>
              <w:t>0.002</w:t>
            </w:r>
          </w:p>
        </w:tc>
        <w:tc>
          <w:tcPr>
            <w:tcW w:w="1401" w:type="dxa"/>
            <w:shd w:val="clear" w:color="auto" w:fill="auto"/>
            <w:vAlign w:val="center"/>
          </w:tcPr>
          <w:p w14:paraId="3F34AC60">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5ABB7A3D">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0.024</w:t>
            </w:r>
          </w:p>
        </w:tc>
        <w:tc>
          <w:tcPr>
            <w:tcW w:w="1401" w:type="dxa"/>
            <w:shd w:val="clear" w:color="auto" w:fill="auto"/>
            <w:vAlign w:val="center"/>
          </w:tcPr>
          <w:p w14:paraId="4A7F1574">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ascii="宋体" w:hAnsi="宋体" w:cs="宋体"/>
                <w:color w:val="000000"/>
              </w:rPr>
              <w:t>※</w:t>
            </w:r>
            <w:r>
              <w:rPr>
                <w:rFonts w:hint="default" w:ascii="Times New Roman" w:hAnsi="Times New Roman" w:eastAsia="宋体" w:cs="Times New Roman"/>
                <w:sz w:val="21"/>
                <w:szCs w:val="21"/>
                <w:highlight w:val="none"/>
                <w:lang w:eastAsia="zh-CN"/>
              </w:rPr>
              <w:t>0.002</w:t>
            </w:r>
          </w:p>
        </w:tc>
        <w:tc>
          <w:tcPr>
            <w:tcW w:w="1648" w:type="dxa"/>
            <w:vAlign w:val="center"/>
          </w:tcPr>
          <w:p w14:paraId="12FCCB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0.022</w:t>
            </w:r>
          </w:p>
        </w:tc>
        <w:tc>
          <w:tcPr>
            <w:tcW w:w="1442" w:type="dxa"/>
            <w:vAlign w:val="center"/>
          </w:tcPr>
          <w:p w14:paraId="382BE7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+0.022</w:t>
            </w:r>
          </w:p>
        </w:tc>
      </w:tr>
      <w:tr w14:paraId="5D0DA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dxa"/>
            <w:vMerge w:val="continue"/>
            <w:vAlign w:val="center"/>
          </w:tcPr>
          <w:p w14:paraId="092D102B">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1A1E57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 w:val="21"/>
                <w:szCs w:val="21"/>
              </w:rPr>
              <w:t>NOx</w:t>
            </w:r>
          </w:p>
        </w:tc>
        <w:tc>
          <w:tcPr>
            <w:tcW w:w="1563" w:type="dxa"/>
            <w:shd w:val="clear" w:color="auto" w:fill="auto"/>
            <w:vAlign w:val="center"/>
          </w:tcPr>
          <w:p w14:paraId="77F0B40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w:t>
            </w:r>
          </w:p>
        </w:tc>
        <w:tc>
          <w:tcPr>
            <w:tcW w:w="1400" w:type="dxa"/>
            <w:shd w:val="clear" w:color="auto" w:fill="auto"/>
            <w:vAlign w:val="center"/>
          </w:tcPr>
          <w:p w14:paraId="750C4B2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sz w:val="21"/>
                <w:szCs w:val="21"/>
                <w:highlight w:val="none"/>
                <w:lang w:eastAsia="zh-CN"/>
              </w:rPr>
              <w:t>0.084</w:t>
            </w:r>
          </w:p>
        </w:tc>
        <w:tc>
          <w:tcPr>
            <w:tcW w:w="1401" w:type="dxa"/>
            <w:shd w:val="clear" w:color="auto" w:fill="auto"/>
            <w:vAlign w:val="center"/>
          </w:tcPr>
          <w:p w14:paraId="677F796D">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5A9D0D5E">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0.123</w:t>
            </w:r>
          </w:p>
        </w:tc>
        <w:tc>
          <w:tcPr>
            <w:tcW w:w="1401" w:type="dxa"/>
            <w:shd w:val="clear" w:color="auto" w:fill="auto"/>
            <w:vAlign w:val="center"/>
          </w:tcPr>
          <w:p w14:paraId="3DC33004">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ascii="宋体" w:hAnsi="宋体" w:cs="宋体"/>
                <w:color w:val="000000"/>
              </w:rPr>
              <w:t>※</w:t>
            </w:r>
            <w:r>
              <w:rPr>
                <w:rFonts w:hint="default" w:ascii="Times New Roman" w:hAnsi="Times New Roman" w:eastAsia="宋体" w:cs="Times New Roman"/>
                <w:sz w:val="21"/>
                <w:szCs w:val="21"/>
                <w:highlight w:val="none"/>
                <w:lang w:eastAsia="zh-CN"/>
              </w:rPr>
              <w:t>0.084</w:t>
            </w:r>
          </w:p>
        </w:tc>
        <w:tc>
          <w:tcPr>
            <w:tcW w:w="1648" w:type="dxa"/>
            <w:vAlign w:val="center"/>
          </w:tcPr>
          <w:p w14:paraId="5B7ED0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0.039</w:t>
            </w:r>
          </w:p>
        </w:tc>
        <w:tc>
          <w:tcPr>
            <w:tcW w:w="1442" w:type="dxa"/>
            <w:vAlign w:val="center"/>
          </w:tcPr>
          <w:p w14:paraId="088A627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+0.039</w:t>
            </w:r>
          </w:p>
        </w:tc>
      </w:tr>
      <w:tr w14:paraId="125E97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91" w:type="dxa"/>
            <w:vMerge w:val="restart"/>
            <w:vAlign w:val="center"/>
          </w:tcPr>
          <w:p w14:paraId="18E34474">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废水</w:t>
            </w:r>
          </w:p>
        </w:tc>
        <w:tc>
          <w:tcPr>
            <w:tcW w:w="1815" w:type="dxa"/>
            <w:gridSpan w:val="2"/>
            <w:vAlign w:val="center"/>
          </w:tcPr>
          <w:p w14:paraId="064A9F2C">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废水量</w:t>
            </w:r>
          </w:p>
        </w:tc>
        <w:tc>
          <w:tcPr>
            <w:tcW w:w="1563" w:type="dxa"/>
            <w:shd w:val="clear" w:color="auto" w:fill="auto"/>
            <w:vAlign w:val="center"/>
          </w:tcPr>
          <w:p w14:paraId="5817A0C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sz w:val="21"/>
                <w:szCs w:val="21"/>
                <w:highlight w:val="none"/>
                <w:lang w:val="en-US" w:eastAsia="zh-CN"/>
              </w:rPr>
              <w:t>360</w:t>
            </w:r>
          </w:p>
        </w:tc>
        <w:tc>
          <w:tcPr>
            <w:tcW w:w="1400" w:type="dxa"/>
            <w:vAlign w:val="center"/>
          </w:tcPr>
          <w:p w14:paraId="0FC37417">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04DF94F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vAlign w:val="center"/>
          </w:tcPr>
          <w:p w14:paraId="1C58620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color w:val="auto"/>
                <w:szCs w:val="21"/>
                <w:highlight w:val="none"/>
                <w:lang w:val="en-US" w:eastAsia="zh-CN"/>
              </w:rPr>
              <w:t>2597.339</w:t>
            </w:r>
          </w:p>
        </w:tc>
        <w:tc>
          <w:tcPr>
            <w:tcW w:w="1401" w:type="dxa"/>
            <w:vAlign w:val="center"/>
          </w:tcPr>
          <w:p w14:paraId="4301636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vAlign w:val="center"/>
          </w:tcPr>
          <w:p w14:paraId="4C0627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2597.339</w:t>
            </w:r>
          </w:p>
        </w:tc>
        <w:tc>
          <w:tcPr>
            <w:tcW w:w="1442" w:type="dxa"/>
            <w:vAlign w:val="center"/>
          </w:tcPr>
          <w:p w14:paraId="1F700E9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+2597.339</w:t>
            </w:r>
          </w:p>
        </w:tc>
      </w:tr>
      <w:tr w14:paraId="2F4C17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91" w:type="dxa"/>
            <w:vMerge w:val="continue"/>
            <w:vAlign w:val="center"/>
          </w:tcPr>
          <w:p w14:paraId="752DBAC4">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vAlign w:val="center"/>
          </w:tcPr>
          <w:p w14:paraId="021243E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COD</w:t>
            </w:r>
          </w:p>
        </w:tc>
        <w:tc>
          <w:tcPr>
            <w:tcW w:w="1563" w:type="dxa"/>
            <w:shd w:val="clear" w:color="auto" w:fill="auto"/>
            <w:vAlign w:val="center"/>
          </w:tcPr>
          <w:p w14:paraId="75D919C5">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lang w:val="en-US" w:eastAsia="zh-CN"/>
              </w:rPr>
            </w:pPr>
            <w:r>
              <w:rPr>
                <w:rFonts w:hint="eastAsia" w:cs="Times New Roman"/>
                <w:color w:val="auto"/>
                <w:szCs w:val="21"/>
                <w:highlight w:val="none"/>
                <w:lang w:val="en-US" w:eastAsia="zh-CN"/>
              </w:rPr>
              <w:t>0.018</w:t>
            </w:r>
          </w:p>
        </w:tc>
        <w:tc>
          <w:tcPr>
            <w:tcW w:w="1400" w:type="dxa"/>
            <w:vAlign w:val="center"/>
          </w:tcPr>
          <w:p w14:paraId="30F5EF7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eastAsia" w:cs="Times New Roman"/>
                <w:color w:val="auto"/>
                <w:szCs w:val="21"/>
                <w:highlight w:val="none"/>
                <w:lang w:val="en-US" w:eastAsia="zh-CN"/>
              </w:rPr>
              <w:t>0.048</w:t>
            </w:r>
          </w:p>
        </w:tc>
        <w:tc>
          <w:tcPr>
            <w:tcW w:w="1401" w:type="dxa"/>
            <w:vAlign w:val="center"/>
          </w:tcPr>
          <w:p w14:paraId="0C7CBB80">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2791652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0.589 </w:t>
            </w:r>
          </w:p>
        </w:tc>
        <w:tc>
          <w:tcPr>
            <w:tcW w:w="1401" w:type="dxa"/>
            <w:vAlign w:val="center"/>
          </w:tcPr>
          <w:p w14:paraId="248C1BF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eastAsia" w:ascii="宋体" w:hAnsi="宋体" w:cs="宋体"/>
                <w:color w:val="000000"/>
              </w:rPr>
              <w:t>※</w:t>
            </w:r>
            <w:r>
              <w:rPr>
                <w:rFonts w:hint="eastAsia" w:cs="Times New Roman"/>
                <w:color w:val="auto"/>
                <w:szCs w:val="21"/>
                <w:highlight w:val="none"/>
                <w:lang w:val="en-US" w:eastAsia="zh-CN"/>
              </w:rPr>
              <w:t>0.048</w:t>
            </w:r>
          </w:p>
        </w:tc>
        <w:tc>
          <w:tcPr>
            <w:tcW w:w="1648" w:type="dxa"/>
            <w:vAlign w:val="center"/>
          </w:tcPr>
          <w:p w14:paraId="50C455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0.541</w:t>
            </w:r>
          </w:p>
        </w:tc>
        <w:tc>
          <w:tcPr>
            <w:tcW w:w="1442" w:type="dxa"/>
            <w:shd w:val="clear" w:color="auto" w:fill="auto"/>
            <w:vAlign w:val="center"/>
          </w:tcPr>
          <w:p w14:paraId="3A2A335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+0.541</w:t>
            </w:r>
          </w:p>
        </w:tc>
      </w:tr>
      <w:tr w14:paraId="7D23C9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91" w:type="dxa"/>
            <w:vMerge w:val="continue"/>
            <w:vAlign w:val="center"/>
          </w:tcPr>
          <w:p w14:paraId="2F0C7B75">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vAlign w:val="center"/>
          </w:tcPr>
          <w:p w14:paraId="1AD2B005">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BOD</w:t>
            </w:r>
            <w:r>
              <w:rPr>
                <w:rFonts w:hint="default" w:ascii="Times New Roman" w:hAnsi="Times New Roman" w:cs="Times New Roman"/>
                <w:color w:val="auto"/>
                <w:kern w:val="0"/>
                <w:sz w:val="21"/>
                <w:szCs w:val="21"/>
                <w:highlight w:val="none"/>
                <w:vertAlign w:val="subscript"/>
                <w:lang w:bidi="ar"/>
              </w:rPr>
              <w:t>5</w:t>
            </w:r>
          </w:p>
        </w:tc>
        <w:tc>
          <w:tcPr>
            <w:tcW w:w="1563" w:type="dxa"/>
            <w:vAlign w:val="center"/>
          </w:tcPr>
          <w:p w14:paraId="0604C6DC">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lang w:val="en-US" w:eastAsia="zh-CN"/>
              </w:rPr>
            </w:pPr>
            <w:r>
              <w:rPr>
                <w:rFonts w:hint="eastAsia" w:cs="Times New Roman"/>
                <w:color w:val="auto"/>
                <w:szCs w:val="21"/>
                <w:highlight w:val="none"/>
                <w:lang w:val="en-US" w:eastAsia="zh-CN"/>
              </w:rPr>
              <w:t>0.024</w:t>
            </w:r>
          </w:p>
        </w:tc>
        <w:tc>
          <w:tcPr>
            <w:tcW w:w="1400" w:type="dxa"/>
            <w:vAlign w:val="center"/>
          </w:tcPr>
          <w:p w14:paraId="0EA6B01C">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653E47E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1A2C02F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0.331 </w:t>
            </w:r>
          </w:p>
        </w:tc>
        <w:tc>
          <w:tcPr>
            <w:tcW w:w="1401" w:type="dxa"/>
            <w:vAlign w:val="center"/>
          </w:tcPr>
          <w:p w14:paraId="3ACE027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vAlign w:val="center"/>
          </w:tcPr>
          <w:p w14:paraId="7E9303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0.331</w:t>
            </w:r>
          </w:p>
        </w:tc>
        <w:tc>
          <w:tcPr>
            <w:tcW w:w="1442" w:type="dxa"/>
            <w:shd w:val="clear" w:color="auto" w:fill="auto"/>
            <w:vAlign w:val="center"/>
          </w:tcPr>
          <w:p w14:paraId="72C5AED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+0.331</w:t>
            </w:r>
          </w:p>
        </w:tc>
      </w:tr>
      <w:tr w14:paraId="383C2C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91" w:type="dxa"/>
            <w:vMerge w:val="continue"/>
            <w:vAlign w:val="center"/>
          </w:tcPr>
          <w:p w14:paraId="36517FA3">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vAlign w:val="center"/>
          </w:tcPr>
          <w:p w14:paraId="16E11162">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SS</w:t>
            </w:r>
          </w:p>
        </w:tc>
        <w:tc>
          <w:tcPr>
            <w:tcW w:w="1563" w:type="dxa"/>
            <w:vAlign w:val="center"/>
          </w:tcPr>
          <w:p w14:paraId="0E38572B">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lang w:val="en-US" w:eastAsia="zh-CN"/>
              </w:rPr>
            </w:pPr>
            <w:r>
              <w:rPr>
                <w:rFonts w:hint="eastAsia" w:cs="Times New Roman"/>
                <w:color w:val="auto"/>
                <w:szCs w:val="21"/>
                <w:highlight w:val="none"/>
                <w:lang w:val="en-US" w:eastAsia="zh-CN"/>
              </w:rPr>
              <w:t>0.018</w:t>
            </w:r>
          </w:p>
        </w:tc>
        <w:tc>
          <w:tcPr>
            <w:tcW w:w="1400" w:type="dxa"/>
            <w:vAlign w:val="center"/>
          </w:tcPr>
          <w:p w14:paraId="66AB454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4BC082E7">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03F0FDA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0.227 </w:t>
            </w:r>
          </w:p>
        </w:tc>
        <w:tc>
          <w:tcPr>
            <w:tcW w:w="1401" w:type="dxa"/>
            <w:vAlign w:val="center"/>
          </w:tcPr>
          <w:p w14:paraId="446862C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vAlign w:val="center"/>
          </w:tcPr>
          <w:p w14:paraId="239E9B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0.227</w:t>
            </w:r>
          </w:p>
        </w:tc>
        <w:tc>
          <w:tcPr>
            <w:tcW w:w="1442" w:type="dxa"/>
            <w:shd w:val="clear" w:color="auto" w:fill="auto"/>
            <w:vAlign w:val="center"/>
          </w:tcPr>
          <w:p w14:paraId="4F970AA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+0.227</w:t>
            </w:r>
          </w:p>
        </w:tc>
      </w:tr>
      <w:tr w14:paraId="6A6179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91" w:type="dxa"/>
            <w:vMerge w:val="continue"/>
            <w:vAlign w:val="center"/>
          </w:tcPr>
          <w:p w14:paraId="73C2E02C">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vAlign w:val="center"/>
          </w:tcPr>
          <w:p w14:paraId="3C639F1B">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NH</w:t>
            </w:r>
            <w:r>
              <w:rPr>
                <w:rFonts w:hint="default" w:ascii="Times New Roman" w:hAnsi="Times New Roman" w:cs="Times New Roman"/>
                <w:color w:val="auto"/>
                <w:kern w:val="0"/>
                <w:sz w:val="21"/>
                <w:szCs w:val="21"/>
                <w:highlight w:val="none"/>
                <w:vertAlign w:val="subscript"/>
                <w:lang w:bidi="ar"/>
              </w:rPr>
              <w:t>3</w:t>
            </w:r>
            <w:r>
              <w:rPr>
                <w:rFonts w:hint="default" w:ascii="Times New Roman" w:hAnsi="Times New Roman" w:cs="Times New Roman"/>
                <w:color w:val="auto"/>
                <w:kern w:val="0"/>
                <w:sz w:val="21"/>
                <w:szCs w:val="21"/>
                <w:highlight w:val="none"/>
                <w:lang w:bidi="ar"/>
              </w:rPr>
              <w:t>-N</w:t>
            </w:r>
          </w:p>
        </w:tc>
        <w:tc>
          <w:tcPr>
            <w:tcW w:w="1563" w:type="dxa"/>
            <w:vAlign w:val="center"/>
          </w:tcPr>
          <w:p w14:paraId="0A3FAF8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lang w:val="en-US" w:eastAsia="zh-CN"/>
              </w:rPr>
            </w:pPr>
            <w:r>
              <w:rPr>
                <w:rFonts w:hint="eastAsia" w:cs="Times New Roman"/>
                <w:color w:val="auto"/>
                <w:szCs w:val="21"/>
                <w:highlight w:val="none"/>
                <w:lang w:val="en-US" w:eastAsia="zh-CN"/>
              </w:rPr>
              <w:t>0.003</w:t>
            </w:r>
          </w:p>
        </w:tc>
        <w:tc>
          <w:tcPr>
            <w:tcW w:w="1400" w:type="dxa"/>
            <w:vAlign w:val="center"/>
          </w:tcPr>
          <w:p w14:paraId="58762E3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eastAsia" w:cs="Times New Roman"/>
                <w:color w:val="auto"/>
                <w:szCs w:val="21"/>
                <w:highlight w:val="none"/>
                <w:lang w:val="en-US" w:eastAsia="zh-CN"/>
              </w:rPr>
              <w:t>0.004</w:t>
            </w:r>
          </w:p>
        </w:tc>
        <w:tc>
          <w:tcPr>
            <w:tcW w:w="1401" w:type="dxa"/>
            <w:vAlign w:val="center"/>
          </w:tcPr>
          <w:p w14:paraId="28BCDDBF">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5F84D24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0.073 </w:t>
            </w:r>
          </w:p>
        </w:tc>
        <w:tc>
          <w:tcPr>
            <w:tcW w:w="1401" w:type="dxa"/>
            <w:vAlign w:val="center"/>
          </w:tcPr>
          <w:p w14:paraId="7A331CC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eastAsia" w:ascii="宋体" w:hAnsi="宋体" w:cs="宋体"/>
                <w:color w:val="000000"/>
              </w:rPr>
              <w:t>※</w:t>
            </w:r>
            <w:r>
              <w:rPr>
                <w:rFonts w:hint="eastAsia" w:cs="Times New Roman"/>
                <w:color w:val="auto"/>
                <w:szCs w:val="21"/>
                <w:highlight w:val="none"/>
                <w:lang w:val="en-US" w:eastAsia="zh-CN"/>
              </w:rPr>
              <w:t>0.004</w:t>
            </w:r>
          </w:p>
        </w:tc>
        <w:tc>
          <w:tcPr>
            <w:tcW w:w="1648" w:type="dxa"/>
            <w:vAlign w:val="center"/>
          </w:tcPr>
          <w:p w14:paraId="334089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0.069</w:t>
            </w:r>
          </w:p>
        </w:tc>
        <w:tc>
          <w:tcPr>
            <w:tcW w:w="1442" w:type="dxa"/>
            <w:shd w:val="clear" w:color="auto" w:fill="auto"/>
            <w:vAlign w:val="center"/>
          </w:tcPr>
          <w:p w14:paraId="26946D9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+0.069</w:t>
            </w:r>
          </w:p>
        </w:tc>
      </w:tr>
      <w:tr w14:paraId="2902F2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91" w:type="dxa"/>
            <w:vMerge w:val="continue"/>
            <w:vAlign w:val="center"/>
          </w:tcPr>
          <w:p w14:paraId="4FB34A75">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vAlign w:val="center"/>
          </w:tcPr>
          <w:p w14:paraId="038748D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TP</w:t>
            </w:r>
          </w:p>
        </w:tc>
        <w:tc>
          <w:tcPr>
            <w:tcW w:w="1563" w:type="dxa"/>
            <w:vAlign w:val="center"/>
          </w:tcPr>
          <w:p w14:paraId="6C96678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eastAsia" w:cs="Times New Roman"/>
                <w:color w:val="auto"/>
                <w:szCs w:val="21"/>
                <w:highlight w:val="none"/>
                <w:lang w:val="en-US" w:eastAsia="zh-CN"/>
              </w:rPr>
              <w:t>0.0003</w:t>
            </w:r>
          </w:p>
        </w:tc>
        <w:tc>
          <w:tcPr>
            <w:tcW w:w="1400" w:type="dxa"/>
            <w:vAlign w:val="center"/>
          </w:tcPr>
          <w:p w14:paraId="2B6C45D6">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eastAsia="宋体" w:cs="Times New Roman"/>
                <w:sz w:val="21"/>
                <w:szCs w:val="21"/>
                <w:highlight w:val="none"/>
                <w:lang w:eastAsia="zh-CN"/>
              </w:rPr>
              <w:t>0.001</w:t>
            </w:r>
          </w:p>
        </w:tc>
        <w:tc>
          <w:tcPr>
            <w:tcW w:w="1401" w:type="dxa"/>
            <w:vAlign w:val="center"/>
          </w:tcPr>
          <w:p w14:paraId="3D2524C8">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1E7D4B3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0.007 </w:t>
            </w:r>
          </w:p>
        </w:tc>
        <w:tc>
          <w:tcPr>
            <w:tcW w:w="1401" w:type="dxa"/>
            <w:vAlign w:val="center"/>
          </w:tcPr>
          <w:p w14:paraId="191F266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eastAsia" w:ascii="宋体" w:hAnsi="宋体" w:cs="宋体"/>
                <w:color w:val="000000"/>
              </w:rPr>
              <w:t>※</w:t>
            </w:r>
            <w:r>
              <w:rPr>
                <w:rFonts w:hint="default" w:ascii="Times New Roman" w:hAnsi="Times New Roman" w:eastAsia="宋体" w:cs="Times New Roman"/>
                <w:sz w:val="21"/>
                <w:szCs w:val="21"/>
                <w:highlight w:val="none"/>
                <w:lang w:eastAsia="zh-CN"/>
              </w:rPr>
              <w:t>0.001</w:t>
            </w:r>
          </w:p>
        </w:tc>
        <w:tc>
          <w:tcPr>
            <w:tcW w:w="1648" w:type="dxa"/>
            <w:vAlign w:val="center"/>
          </w:tcPr>
          <w:p w14:paraId="3F7C42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0.006</w:t>
            </w:r>
          </w:p>
        </w:tc>
        <w:tc>
          <w:tcPr>
            <w:tcW w:w="1442" w:type="dxa"/>
            <w:shd w:val="clear" w:color="auto" w:fill="auto"/>
            <w:vAlign w:val="center"/>
          </w:tcPr>
          <w:p w14:paraId="78FDBD4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+0.006</w:t>
            </w:r>
          </w:p>
        </w:tc>
      </w:tr>
      <w:tr w14:paraId="7F82F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91" w:type="dxa"/>
            <w:vMerge w:val="continue"/>
            <w:vAlign w:val="center"/>
          </w:tcPr>
          <w:p w14:paraId="1B4CEAC9">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vAlign w:val="center"/>
          </w:tcPr>
          <w:p w14:paraId="5B2A9B3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TN</w:t>
            </w:r>
          </w:p>
        </w:tc>
        <w:tc>
          <w:tcPr>
            <w:tcW w:w="1563" w:type="dxa"/>
            <w:vAlign w:val="center"/>
          </w:tcPr>
          <w:p w14:paraId="70C418E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400" w:type="dxa"/>
            <w:vAlign w:val="center"/>
          </w:tcPr>
          <w:p w14:paraId="7CB95CBA">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3D643CE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717A86E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0.111 </w:t>
            </w:r>
          </w:p>
        </w:tc>
        <w:tc>
          <w:tcPr>
            <w:tcW w:w="1401" w:type="dxa"/>
            <w:vAlign w:val="center"/>
          </w:tcPr>
          <w:p w14:paraId="15997BB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vAlign w:val="center"/>
          </w:tcPr>
          <w:p w14:paraId="31F20A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0.111</w:t>
            </w:r>
          </w:p>
        </w:tc>
        <w:tc>
          <w:tcPr>
            <w:tcW w:w="1442" w:type="dxa"/>
            <w:shd w:val="clear" w:color="auto" w:fill="auto"/>
            <w:vAlign w:val="center"/>
          </w:tcPr>
          <w:p w14:paraId="037B1C2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auto"/>
                <w:kern w:val="0"/>
                <w:sz w:val="21"/>
                <w:szCs w:val="21"/>
                <w:highlight w:val="none"/>
                <w:lang w:val="en-US" w:eastAsia="zh-CN" w:bidi="ar"/>
              </w:rPr>
              <w:t>+0.111</w:t>
            </w:r>
          </w:p>
        </w:tc>
      </w:tr>
      <w:tr w14:paraId="5DFC31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91" w:type="dxa"/>
            <w:vMerge w:val="continue"/>
            <w:vAlign w:val="center"/>
          </w:tcPr>
          <w:p w14:paraId="511D8021">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0B2CE5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
              </w:rPr>
            </w:pPr>
            <w:r>
              <w:rPr>
                <w:rFonts w:hint="default"/>
                <w:color w:val="auto"/>
                <w:sz w:val="21"/>
                <w:szCs w:val="21"/>
                <w:lang w:bidi="ar"/>
              </w:rPr>
              <w:t>LAS</w:t>
            </w:r>
          </w:p>
        </w:tc>
        <w:tc>
          <w:tcPr>
            <w:tcW w:w="1563" w:type="dxa"/>
            <w:vAlign w:val="center"/>
          </w:tcPr>
          <w:p w14:paraId="39FBB042">
            <w:pPr>
              <w:keepNext w:val="0"/>
              <w:keepLines w:val="0"/>
              <w:suppressLineNumbers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w:t>
            </w:r>
          </w:p>
        </w:tc>
        <w:tc>
          <w:tcPr>
            <w:tcW w:w="1400" w:type="dxa"/>
            <w:vAlign w:val="center"/>
          </w:tcPr>
          <w:p w14:paraId="33415B34">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05F4ED9E">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6F93DE0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0.009 </w:t>
            </w:r>
          </w:p>
        </w:tc>
        <w:tc>
          <w:tcPr>
            <w:tcW w:w="1401" w:type="dxa"/>
            <w:vAlign w:val="center"/>
          </w:tcPr>
          <w:p w14:paraId="569BBF6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vAlign w:val="center"/>
          </w:tcPr>
          <w:p w14:paraId="3B77DE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0.009</w:t>
            </w:r>
          </w:p>
        </w:tc>
        <w:tc>
          <w:tcPr>
            <w:tcW w:w="1442" w:type="dxa"/>
            <w:shd w:val="clear" w:color="auto" w:fill="auto"/>
            <w:vAlign w:val="center"/>
          </w:tcPr>
          <w:p w14:paraId="46B0BB9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+0.009</w:t>
            </w:r>
          </w:p>
        </w:tc>
      </w:tr>
      <w:tr w14:paraId="3C37D4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91" w:type="dxa"/>
            <w:vMerge w:val="continue"/>
            <w:vAlign w:val="center"/>
          </w:tcPr>
          <w:p w14:paraId="68A5E212">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42BC3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
              </w:rPr>
            </w:pPr>
            <w:r>
              <w:rPr>
                <w:rFonts w:hint="default"/>
                <w:color w:val="auto"/>
                <w:sz w:val="21"/>
                <w:szCs w:val="21"/>
                <w:lang w:bidi="ar"/>
              </w:rPr>
              <w:t>石油类</w:t>
            </w:r>
          </w:p>
        </w:tc>
        <w:tc>
          <w:tcPr>
            <w:tcW w:w="1563" w:type="dxa"/>
            <w:vAlign w:val="center"/>
          </w:tcPr>
          <w:p w14:paraId="42B7B913">
            <w:pPr>
              <w:keepNext w:val="0"/>
              <w:keepLines w:val="0"/>
              <w:suppressLineNumbers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w:t>
            </w:r>
          </w:p>
        </w:tc>
        <w:tc>
          <w:tcPr>
            <w:tcW w:w="1400" w:type="dxa"/>
            <w:vAlign w:val="center"/>
          </w:tcPr>
          <w:p w14:paraId="3FFA17C4">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71D18B45">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2C4C3CD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0.003 </w:t>
            </w:r>
          </w:p>
        </w:tc>
        <w:tc>
          <w:tcPr>
            <w:tcW w:w="1401" w:type="dxa"/>
            <w:vAlign w:val="center"/>
          </w:tcPr>
          <w:p w14:paraId="435183A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vAlign w:val="center"/>
          </w:tcPr>
          <w:p w14:paraId="2AFE7F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0.003</w:t>
            </w:r>
          </w:p>
        </w:tc>
        <w:tc>
          <w:tcPr>
            <w:tcW w:w="1442" w:type="dxa"/>
            <w:shd w:val="clear" w:color="auto" w:fill="auto"/>
            <w:vAlign w:val="center"/>
          </w:tcPr>
          <w:p w14:paraId="7062264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+0.003</w:t>
            </w:r>
          </w:p>
        </w:tc>
      </w:tr>
      <w:tr w14:paraId="4C5BC0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dxa"/>
            <w:vMerge w:val="restart"/>
            <w:vAlign w:val="center"/>
          </w:tcPr>
          <w:p w14:paraId="4FA397E4">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一般工业固体废物</w:t>
            </w:r>
          </w:p>
        </w:tc>
        <w:tc>
          <w:tcPr>
            <w:tcW w:w="750" w:type="dxa"/>
            <w:vMerge w:val="restart"/>
            <w:shd w:val="clear" w:color="auto" w:fill="auto"/>
            <w:vAlign w:val="center"/>
          </w:tcPr>
          <w:p w14:paraId="660521AB">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000000" w:themeColor="text1"/>
                <w:sz w:val="21"/>
                <w:szCs w:val="21"/>
                <w14:textFill>
                  <w14:solidFill>
                    <w14:schemeClr w14:val="tx1"/>
                  </w14:solidFill>
                </w14:textFill>
              </w:rPr>
              <w:t>除尘装置收集的粉尘</w:t>
            </w:r>
          </w:p>
        </w:tc>
        <w:tc>
          <w:tcPr>
            <w:tcW w:w="1065" w:type="dxa"/>
            <w:shd w:val="clear" w:color="auto" w:fill="auto"/>
            <w:vAlign w:val="center"/>
          </w:tcPr>
          <w:p w14:paraId="753BE3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人工去毛刺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打磨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喷砂</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抛丸</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抛光</w:t>
            </w:r>
            <w:r>
              <w:rPr>
                <w:rFonts w:hint="default" w:ascii="Times New Roman" w:hAnsi="Times New Roman" w:eastAsia="宋体" w:cs="Times New Roman"/>
                <w:color w:val="000000" w:themeColor="text1"/>
                <w:sz w:val="21"/>
                <w:szCs w:val="21"/>
                <w14:textFill>
                  <w14:solidFill>
                    <w14:schemeClr w14:val="tx1"/>
                  </w14:solidFill>
                </w14:textFill>
              </w:rPr>
              <w:t>工序</w:t>
            </w:r>
          </w:p>
        </w:tc>
        <w:tc>
          <w:tcPr>
            <w:tcW w:w="1563" w:type="dxa"/>
            <w:vMerge w:val="restart"/>
            <w:shd w:val="clear" w:color="auto" w:fill="auto"/>
            <w:vAlign w:val="center"/>
          </w:tcPr>
          <w:p w14:paraId="1BF9408C">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0</w:t>
            </w:r>
          </w:p>
        </w:tc>
        <w:tc>
          <w:tcPr>
            <w:tcW w:w="1400" w:type="dxa"/>
            <w:vAlign w:val="center"/>
          </w:tcPr>
          <w:p w14:paraId="56860DDE">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5D031024">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07B074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2.771</w:t>
            </w:r>
          </w:p>
        </w:tc>
        <w:tc>
          <w:tcPr>
            <w:tcW w:w="1401" w:type="dxa"/>
            <w:vAlign w:val="center"/>
          </w:tcPr>
          <w:p w14:paraId="7B1A99E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55CB7AC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2.771</w:t>
            </w:r>
          </w:p>
        </w:tc>
        <w:tc>
          <w:tcPr>
            <w:tcW w:w="1442" w:type="dxa"/>
            <w:shd w:val="clear" w:color="auto" w:fill="auto"/>
            <w:vAlign w:val="center"/>
          </w:tcPr>
          <w:p w14:paraId="3B4C6A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+2.771</w:t>
            </w:r>
          </w:p>
        </w:tc>
      </w:tr>
      <w:tr w14:paraId="699DC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dxa"/>
            <w:vMerge w:val="continue"/>
            <w:vAlign w:val="center"/>
          </w:tcPr>
          <w:p w14:paraId="73A9BA59">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750" w:type="dxa"/>
            <w:vMerge w:val="continue"/>
            <w:shd w:val="clear" w:color="auto" w:fill="auto"/>
            <w:vAlign w:val="center"/>
          </w:tcPr>
          <w:p w14:paraId="562D5C36">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p>
        </w:tc>
        <w:tc>
          <w:tcPr>
            <w:tcW w:w="1065" w:type="dxa"/>
            <w:shd w:val="clear" w:color="auto" w:fill="auto"/>
            <w:vAlign w:val="center"/>
          </w:tcPr>
          <w:p w14:paraId="4112E0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喷粉工序</w:t>
            </w:r>
          </w:p>
        </w:tc>
        <w:tc>
          <w:tcPr>
            <w:tcW w:w="1563" w:type="dxa"/>
            <w:vMerge w:val="continue"/>
            <w:shd w:val="clear" w:color="auto" w:fill="auto"/>
            <w:vAlign w:val="center"/>
          </w:tcPr>
          <w:p w14:paraId="26A67DCC">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p>
        </w:tc>
        <w:tc>
          <w:tcPr>
            <w:tcW w:w="1400" w:type="dxa"/>
            <w:vAlign w:val="center"/>
          </w:tcPr>
          <w:p w14:paraId="7B440506">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67E21CAD">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593C04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51.118</w:t>
            </w:r>
          </w:p>
        </w:tc>
        <w:tc>
          <w:tcPr>
            <w:tcW w:w="1401" w:type="dxa"/>
            <w:vAlign w:val="center"/>
          </w:tcPr>
          <w:p w14:paraId="203C0A7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3679BD8F">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000000" w:themeColor="text1"/>
                <w:szCs w:val="21"/>
                <w:lang w:val="en-US" w:eastAsia="zh-CN"/>
                <w14:textFill>
                  <w14:solidFill>
                    <w14:schemeClr w14:val="tx1"/>
                  </w14:solidFill>
                </w14:textFill>
              </w:rPr>
              <w:t>51.118</w:t>
            </w:r>
          </w:p>
        </w:tc>
        <w:tc>
          <w:tcPr>
            <w:tcW w:w="1442" w:type="dxa"/>
            <w:shd w:val="clear" w:color="auto" w:fill="auto"/>
            <w:vAlign w:val="center"/>
          </w:tcPr>
          <w:p w14:paraId="7F8C16D1">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000000" w:themeColor="text1"/>
                <w:szCs w:val="21"/>
                <w:lang w:val="en-US" w:eastAsia="zh-CN"/>
                <w14:textFill>
                  <w14:solidFill>
                    <w14:schemeClr w14:val="tx1"/>
                  </w14:solidFill>
                </w14:textFill>
              </w:rPr>
              <w:t>+51.118</w:t>
            </w:r>
          </w:p>
        </w:tc>
      </w:tr>
      <w:tr w14:paraId="3646B1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7A9167BE">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2B35A6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废包装材料</w:t>
            </w:r>
          </w:p>
        </w:tc>
        <w:tc>
          <w:tcPr>
            <w:tcW w:w="1563" w:type="dxa"/>
            <w:shd w:val="clear" w:color="auto" w:fill="auto"/>
            <w:vAlign w:val="center"/>
          </w:tcPr>
          <w:p w14:paraId="084B5EFF">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bCs/>
                <w:color w:val="auto"/>
                <w:kern w:val="0"/>
                <w:sz w:val="21"/>
                <w:szCs w:val="21"/>
                <w:highlight w:val="none"/>
              </w:rPr>
              <w:t>0</w:t>
            </w:r>
          </w:p>
        </w:tc>
        <w:tc>
          <w:tcPr>
            <w:tcW w:w="1400" w:type="dxa"/>
            <w:vAlign w:val="center"/>
          </w:tcPr>
          <w:p w14:paraId="794F1678">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0E236492">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2B30789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0.05</w:t>
            </w:r>
          </w:p>
        </w:tc>
        <w:tc>
          <w:tcPr>
            <w:tcW w:w="1401" w:type="dxa"/>
            <w:shd w:val="clear" w:color="auto" w:fill="auto"/>
            <w:vAlign w:val="center"/>
          </w:tcPr>
          <w:p w14:paraId="10F6A4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3BEAB00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0.05</w:t>
            </w:r>
          </w:p>
        </w:tc>
        <w:tc>
          <w:tcPr>
            <w:tcW w:w="1442" w:type="dxa"/>
            <w:shd w:val="clear" w:color="auto" w:fill="auto"/>
            <w:vAlign w:val="center"/>
          </w:tcPr>
          <w:p w14:paraId="4DDBD38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0.05</w:t>
            </w:r>
          </w:p>
        </w:tc>
      </w:tr>
      <w:tr w14:paraId="7D8D6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0ABE3A72">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0B34BE1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废布袋、滤筒</w:t>
            </w:r>
          </w:p>
        </w:tc>
        <w:tc>
          <w:tcPr>
            <w:tcW w:w="1563" w:type="dxa"/>
            <w:shd w:val="clear" w:color="auto" w:fill="auto"/>
            <w:vAlign w:val="center"/>
          </w:tcPr>
          <w:p w14:paraId="47188E73">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bCs/>
                <w:color w:val="auto"/>
                <w:kern w:val="0"/>
                <w:sz w:val="21"/>
                <w:szCs w:val="21"/>
                <w:highlight w:val="none"/>
              </w:rPr>
              <w:t>0</w:t>
            </w:r>
          </w:p>
        </w:tc>
        <w:tc>
          <w:tcPr>
            <w:tcW w:w="1400" w:type="dxa"/>
            <w:vAlign w:val="center"/>
          </w:tcPr>
          <w:p w14:paraId="502B572F">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0095A770">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41ABC6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000000" w:themeColor="text1"/>
                <w:szCs w:val="21"/>
                <w14:textFill>
                  <w14:solidFill>
                    <w14:schemeClr w14:val="tx1"/>
                  </w14:solidFill>
                </w14:textFill>
              </w:rPr>
              <w:t>0.2</w:t>
            </w:r>
          </w:p>
        </w:tc>
        <w:tc>
          <w:tcPr>
            <w:tcW w:w="1401" w:type="dxa"/>
            <w:shd w:val="clear" w:color="auto" w:fill="auto"/>
            <w:vAlign w:val="center"/>
          </w:tcPr>
          <w:p w14:paraId="79953E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1950967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0.2</w:t>
            </w:r>
          </w:p>
        </w:tc>
        <w:tc>
          <w:tcPr>
            <w:tcW w:w="1442" w:type="dxa"/>
            <w:shd w:val="clear" w:color="auto" w:fill="auto"/>
            <w:vAlign w:val="center"/>
          </w:tcPr>
          <w:p w14:paraId="3F903DF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0.2</w:t>
            </w:r>
          </w:p>
        </w:tc>
      </w:tr>
      <w:tr w14:paraId="454500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991" w:type="dxa"/>
            <w:vMerge w:val="continue"/>
            <w:vAlign w:val="center"/>
          </w:tcPr>
          <w:p w14:paraId="04AEF8C3">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750" w:type="dxa"/>
            <w:vMerge w:val="restart"/>
            <w:shd w:val="clear" w:color="auto" w:fill="auto"/>
            <w:vAlign w:val="center"/>
          </w:tcPr>
          <w:p w14:paraId="03C1D4B7">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000000" w:themeColor="text1"/>
                <w:sz w:val="21"/>
                <w:szCs w:val="21"/>
                <w14:textFill>
                  <w14:solidFill>
                    <w14:schemeClr w14:val="tx1"/>
                  </w14:solidFill>
                </w14:textFill>
              </w:rPr>
              <w:t>废金属屑及边角料</w:t>
            </w:r>
          </w:p>
        </w:tc>
        <w:tc>
          <w:tcPr>
            <w:tcW w:w="1065" w:type="dxa"/>
            <w:shd w:val="clear" w:color="auto" w:fill="auto"/>
            <w:vAlign w:val="center"/>
          </w:tcPr>
          <w:p w14:paraId="058D1D14">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000000" w:themeColor="text1"/>
                <w:sz w:val="21"/>
                <w:szCs w:val="21"/>
                <w14:textFill>
                  <w14:solidFill>
                    <w14:schemeClr w14:val="tx1"/>
                  </w14:solidFill>
                </w14:textFill>
              </w:rPr>
              <w:t>废钢材</w:t>
            </w:r>
          </w:p>
        </w:tc>
        <w:tc>
          <w:tcPr>
            <w:tcW w:w="1563" w:type="dxa"/>
            <w:vMerge w:val="restart"/>
            <w:vAlign w:val="center"/>
          </w:tcPr>
          <w:p w14:paraId="2B2BDB6C">
            <w:pPr>
              <w:pStyle w:val="99"/>
              <w:keepNext w:val="0"/>
              <w:keepLines w:val="0"/>
              <w:suppressLineNumbers w:val="0"/>
              <w:spacing w:beforeLines="0" w:afterLines="0" w:line="240" w:lineRule="auto"/>
              <w:ind w:left="0" w:right="0"/>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0.1</w:t>
            </w:r>
          </w:p>
        </w:tc>
        <w:tc>
          <w:tcPr>
            <w:tcW w:w="1400" w:type="dxa"/>
            <w:vAlign w:val="center"/>
          </w:tcPr>
          <w:p w14:paraId="6525C8A3">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4E6AD1AD">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2FB434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0.62</w:t>
            </w:r>
          </w:p>
        </w:tc>
        <w:tc>
          <w:tcPr>
            <w:tcW w:w="1401" w:type="dxa"/>
            <w:vAlign w:val="center"/>
          </w:tcPr>
          <w:p w14:paraId="0BDDD90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723FB45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0.62</w:t>
            </w:r>
          </w:p>
        </w:tc>
        <w:tc>
          <w:tcPr>
            <w:tcW w:w="1442" w:type="dxa"/>
            <w:shd w:val="clear" w:color="auto" w:fill="auto"/>
            <w:vAlign w:val="center"/>
          </w:tcPr>
          <w:p w14:paraId="030C9AB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+0.62</w:t>
            </w:r>
          </w:p>
        </w:tc>
      </w:tr>
      <w:tr w14:paraId="7BF32D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991" w:type="dxa"/>
            <w:vMerge w:val="continue"/>
            <w:vAlign w:val="center"/>
          </w:tcPr>
          <w:p w14:paraId="07F93CF1">
            <w:pPr>
              <w:keepNext w:val="0"/>
              <w:keepLines w:val="0"/>
              <w:widowControl/>
              <w:suppressLineNumbers w:val="0"/>
              <w:spacing w:before="0" w:beforeAutospacing="0" w:after="0" w:afterAutospacing="0"/>
              <w:ind w:left="0" w:right="0"/>
              <w:jc w:val="center"/>
              <w:rPr>
                <w:rFonts w:hint="default"/>
                <w:sz w:val="21"/>
                <w:szCs w:val="21"/>
              </w:rPr>
            </w:pPr>
          </w:p>
        </w:tc>
        <w:tc>
          <w:tcPr>
            <w:tcW w:w="750" w:type="dxa"/>
            <w:vMerge w:val="continue"/>
            <w:shd w:val="clear" w:color="auto" w:fill="auto"/>
            <w:vAlign w:val="center"/>
          </w:tcPr>
          <w:p w14:paraId="7D643B35">
            <w:pPr>
              <w:keepNext w:val="0"/>
              <w:keepLines w:val="0"/>
              <w:suppressLineNumbers w:val="0"/>
              <w:spacing w:before="0" w:beforeAutospacing="0" w:after="0" w:afterAutospacing="0"/>
              <w:ind w:left="0" w:right="0"/>
              <w:jc w:val="center"/>
              <w:rPr>
                <w:rFonts w:hint="default"/>
                <w:sz w:val="21"/>
                <w:szCs w:val="21"/>
              </w:rPr>
            </w:pPr>
          </w:p>
        </w:tc>
        <w:tc>
          <w:tcPr>
            <w:tcW w:w="1065" w:type="dxa"/>
            <w:shd w:val="clear" w:color="auto" w:fill="auto"/>
            <w:vAlign w:val="center"/>
          </w:tcPr>
          <w:p w14:paraId="617063BC">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000000" w:themeColor="text1"/>
                <w:sz w:val="21"/>
                <w:szCs w:val="21"/>
                <w14:textFill>
                  <w14:solidFill>
                    <w14:schemeClr w14:val="tx1"/>
                  </w14:solidFill>
                </w14:textFill>
              </w:rPr>
              <w:t>废铝材</w:t>
            </w:r>
          </w:p>
        </w:tc>
        <w:tc>
          <w:tcPr>
            <w:tcW w:w="1563" w:type="dxa"/>
            <w:vMerge w:val="continue"/>
            <w:vAlign w:val="center"/>
          </w:tcPr>
          <w:p w14:paraId="4B101EFD">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p>
        </w:tc>
        <w:tc>
          <w:tcPr>
            <w:tcW w:w="1400" w:type="dxa"/>
            <w:vAlign w:val="center"/>
          </w:tcPr>
          <w:p w14:paraId="1FAC8EF8">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auto"/>
                <w:kern w:val="0"/>
                <w:sz w:val="21"/>
                <w:szCs w:val="21"/>
                <w:highlight w:val="none"/>
                <w:lang w:bidi="ar"/>
              </w:rPr>
              <w:t>/</w:t>
            </w:r>
          </w:p>
        </w:tc>
        <w:tc>
          <w:tcPr>
            <w:tcW w:w="1401" w:type="dxa"/>
            <w:vAlign w:val="center"/>
          </w:tcPr>
          <w:p w14:paraId="6A278A16">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5FE129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w:t>
            </w:r>
          </w:p>
        </w:tc>
        <w:tc>
          <w:tcPr>
            <w:tcW w:w="1401" w:type="dxa"/>
            <w:vAlign w:val="center"/>
          </w:tcPr>
          <w:p w14:paraId="5C40299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0</w:t>
            </w:r>
          </w:p>
        </w:tc>
        <w:tc>
          <w:tcPr>
            <w:tcW w:w="1648" w:type="dxa"/>
            <w:shd w:val="clear" w:color="auto" w:fill="auto"/>
            <w:vAlign w:val="center"/>
          </w:tcPr>
          <w:p w14:paraId="3257135D">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0.8</w:t>
            </w:r>
          </w:p>
        </w:tc>
        <w:tc>
          <w:tcPr>
            <w:tcW w:w="1442" w:type="dxa"/>
            <w:shd w:val="clear" w:color="auto" w:fill="auto"/>
            <w:vAlign w:val="center"/>
          </w:tcPr>
          <w:p w14:paraId="3206D2FC">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0"/>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+0.8</w:t>
            </w:r>
          </w:p>
        </w:tc>
      </w:tr>
      <w:tr w14:paraId="3BC063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739B59AF">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76DA0D0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含油金属屑</w:t>
            </w:r>
          </w:p>
        </w:tc>
        <w:tc>
          <w:tcPr>
            <w:tcW w:w="1563" w:type="dxa"/>
            <w:vAlign w:val="center"/>
          </w:tcPr>
          <w:p w14:paraId="203E8497">
            <w:pPr>
              <w:pStyle w:val="99"/>
              <w:keepNext w:val="0"/>
              <w:keepLines w:val="0"/>
              <w:suppressLineNumbers w:val="0"/>
              <w:spacing w:beforeLines="0" w:afterLines="0" w:line="240" w:lineRule="auto"/>
              <w:ind w:left="0" w:right="0"/>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0.3</w:t>
            </w:r>
          </w:p>
        </w:tc>
        <w:tc>
          <w:tcPr>
            <w:tcW w:w="1400" w:type="dxa"/>
            <w:vAlign w:val="center"/>
          </w:tcPr>
          <w:p w14:paraId="0F851827">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64A34AC3">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4EF84B1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0.01</w:t>
            </w:r>
            <w:r>
              <w:rPr>
                <w:rFonts w:hint="eastAsia" w:ascii="Times New Roman" w:hAnsi="Times New Roman" w:cs="Times New Roman"/>
                <w:color w:val="000000" w:themeColor="text1"/>
                <w:szCs w:val="21"/>
                <w:lang w:val="en-US" w:eastAsia="zh-CN"/>
                <w14:textFill>
                  <w14:solidFill>
                    <w14:schemeClr w14:val="tx1"/>
                  </w14:solidFill>
                </w14:textFill>
              </w:rPr>
              <w:t>4</w:t>
            </w:r>
          </w:p>
        </w:tc>
        <w:tc>
          <w:tcPr>
            <w:tcW w:w="1401" w:type="dxa"/>
            <w:shd w:val="clear" w:color="auto" w:fill="auto"/>
            <w:vAlign w:val="center"/>
          </w:tcPr>
          <w:p w14:paraId="305A60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58D493F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0.01</w:t>
            </w:r>
            <w:r>
              <w:rPr>
                <w:rFonts w:hint="eastAsia" w:ascii="Times New Roman" w:hAnsi="Times New Roman" w:cs="Times New Roman"/>
                <w:color w:val="000000" w:themeColor="text1"/>
                <w:szCs w:val="21"/>
                <w:lang w:val="en-US" w:eastAsia="zh-CN"/>
                <w14:textFill>
                  <w14:solidFill>
                    <w14:schemeClr w14:val="tx1"/>
                  </w14:solidFill>
                </w14:textFill>
              </w:rPr>
              <w:t>4</w:t>
            </w:r>
          </w:p>
        </w:tc>
        <w:tc>
          <w:tcPr>
            <w:tcW w:w="1442" w:type="dxa"/>
            <w:shd w:val="clear" w:color="auto" w:fill="auto"/>
            <w:vAlign w:val="center"/>
          </w:tcPr>
          <w:p w14:paraId="55CC478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0.01</w:t>
            </w:r>
            <w:r>
              <w:rPr>
                <w:rFonts w:hint="eastAsia" w:ascii="Times New Roman" w:hAnsi="Times New Roman" w:cs="Times New Roman"/>
                <w:color w:val="000000" w:themeColor="text1"/>
                <w:szCs w:val="21"/>
                <w:lang w:val="en-US" w:eastAsia="zh-CN"/>
                <w14:textFill>
                  <w14:solidFill>
                    <w14:schemeClr w14:val="tx1"/>
                  </w14:solidFill>
                </w14:textFill>
              </w:rPr>
              <w:t>4</w:t>
            </w:r>
          </w:p>
        </w:tc>
      </w:tr>
      <w:tr w14:paraId="4BA92B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43DB3206">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63037E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水性漆渣</w:t>
            </w:r>
          </w:p>
        </w:tc>
        <w:tc>
          <w:tcPr>
            <w:tcW w:w="1563" w:type="dxa"/>
            <w:vAlign w:val="center"/>
          </w:tcPr>
          <w:p w14:paraId="5A6C5237">
            <w:pPr>
              <w:pStyle w:val="99"/>
              <w:keepNext w:val="0"/>
              <w:keepLines w:val="0"/>
              <w:suppressLineNumbers w:val="0"/>
              <w:spacing w:beforeLines="0" w:afterLines="0" w:line="240" w:lineRule="auto"/>
              <w:ind w:left="0" w:right="0"/>
              <w:rPr>
                <w:rFonts w:hint="eastAsia" w:ascii="Times New Roman" w:hAnsi="Times New Roman" w:eastAsia="宋体" w:cs="Times New Roman"/>
                <w:color w:val="auto"/>
                <w:sz w:val="21"/>
                <w:szCs w:val="21"/>
                <w:highlight w:val="none"/>
                <w:lang w:eastAsia="zh-CN" w:bidi="ar"/>
              </w:rPr>
            </w:pPr>
            <w:r>
              <w:rPr>
                <w:rFonts w:hint="eastAsia" w:ascii="Times New Roman" w:hAnsi="Times New Roman" w:cs="Times New Roman"/>
                <w:color w:val="auto"/>
                <w:sz w:val="21"/>
                <w:szCs w:val="21"/>
                <w:highlight w:val="none"/>
                <w:lang w:val="en-US" w:eastAsia="zh-CN" w:bidi="ar"/>
              </w:rPr>
              <w:t>0</w:t>
            </w:r>
          </w:p>
        </w:tc>
        <w:tc>
          <w:tcPr>
            <w:tcW w:w="1400" w:type="dxa"/>
            <w:vAlign w:val="center"/>
          </w:tcPr>
          <w:p w14:paraId="16F9F0DC">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6E97767D">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6B58F01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1.5019</w:t>
            </w:r>
          </w:p>
        </w:tc>
        <w:tc>
          <w:tcPr>
            <w:tcW w:w="1401" w:type="dxa"/>
            <w:shd w:val="clear" w:color="auto" w:fill="auto"/>
            <w:vAlign w:val="center"/>
          </w:tcPr>
          <w:p w14:paraId="198CA2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64E46BB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1.5019</w:t>
            </w:r>
          </w:p>
        </w:tc>
        <w:tc>
          <w:tcPr>
            <w:tcW w:w="1442" w:type="dxa"/>
            <w:shd w:val="clear" w:color="auto" w:fill="auto"/>
            <w:vAlign w:val="center"/>
          </w:tcPr>
          <w:p w14:paraId="77B445B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+1.5019</w:t>
            </w:r>
          </w:p>
        </w:tc>
      </w:tr>
      <w:tr w14:paraId="272516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43D606D2">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117408E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不合格品</w:t>
            </w:r>
          </w:p>
        </w:tc>
        <w:tc>
          <w:tcPr>
            <w:tcW w:w="1563" w:type="dxa"/>
            <w:vAlign w:val="center"/>
          </w:tcPr>
          <w:p w14:paraId="5D4A2452">
            <w:pPr>
              <w:pStyle w:val="99"/>
              <w:keepNext w:val="0"/>
              <w:keepLines w:val="0"/>
              <w:suppressLineNumbers w:val="0"/>
              <w:spacing w:beforeLines="0" w:afterLines="0" w:line="240" w:lineRule="auto"/>
              <w:ind w:left="0" w:right="0"/>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0.35</w:t>
            </w:r>
          </w:p>
        </w:tc>
        <w:tc>
          <w:tcPr>
            <w:tcW w:w="1400" w:type="dxa"/>
            <w:vAlign w:val="center"/>
          </w:tcPr>
          <w:p w14:paraId="7EBBE2F1">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4904C532">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2022662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1.42</w:t>
            </w:r>
          </w:p>
        </w:tc>
        <w:tc>
          <w:tcPr>
            <w:tcW w:w="1401" w:type="dxa"/>
            <w:shd w:val="clear" w:color="auto" w:fill="auto"/>
            <w:vAlign w:val="center"/>
          </w:tcPr>
          <w:p w14:paraId="10FADD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47305755">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000000" w:themeColor="text1"/>
                <w:szCs w:val="21"/>
                <w:lang w:val="en-US" w:eastAsia="zh-CN"/>
                <w14:textFill>
                  <w14:solidFill>
                    <w14:schemeClr w14:val="tx1"/>
                  </w14:solidFill>
                </w14:textFill>
              </w:rPr>
              <w:t>1.42</w:t>
            </w:r>
          </w:p>
        </w:tc>
        <w:tc>
          <w:tcPr>
            <w:tcW w:w="1442" w:type="dxa"/>
            <w:shd w:val="clear" w:color="auto" w:fill="auto"/>
            <w:vAlign w:val="center"/>
          </w:tcPr>
          <w:p w14:paraId="271F214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hAnsi="Times New Roman" w:cs="Times New Roman"/>
                <w:color w:val="000000" w:themeColor="text1"/>
                <w:szCs w:val="21"/>
                <w:lang w:val="en-US" w:eastAsia="zh-CN"/>
                <w14:textFill>
                  <w14:solidFill>
                    <w14:schemeClr w14:val="tx1"/>
                  </w14:solidFill>
                </w14:textFill>
              </w:rPr>
              <w:t>+1.42</w:t>
            </w:r>
          </w:p>
        </w:tc>
      </w:tr>
      <w:tr w14:paraId="7B41E2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471B5C85">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3F527B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废钢丸</w:t>
            </w:r>
          </w:p>
        </w:tc>
        <w:tc>
          <w:tcPr>
            <w:tcW w:w="1563" w:type="dxa"/>
            <w:vAlign w:val="center"/>
          </w:tcPr>
          <w:p w14:paraId="7548F93D">
            <w:pPr>
              <w:pStyle w:val="99"/>
              <w:keepNext w:val="0"/>
              <w:keepLines w:val="0"/>
              <w:suppressLineNumbers w:val="0"/>
              <w:spacing w:beforeLines="0" w:afterLines="0" w:line="240" w:lineRule="auto"/>
              <w:ind w:left="0" w:right="0"/>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1400" w:type="dxa"/>
            <w:vAlign w:val="center"/>
          </w:tcPr>
          <w:p w14:paraId="5CA071EF">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11AA0F05">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6D07DB5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1401" w:type="dxa"/>
            <w:shd w:val="clear" w:color="auto" w:fill="auto"/>
            <w:vAlign w:val="center"/>
          </w:tcPr>
          <w:p w14:paraId="3C634F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32630C76">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1442" w:type="dxa"/>
            <w:shd w:val="clear" w:color="auto" w:fill="auto"/>
            <w:vAlign w:val="center"/>
          </w:tcPr>
          <w:p w14:paraId="78FB5B8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hAnsi="Times New Roman" w:cs="Times New Roman"/>
                <w:color w:val="000000" w:themeColor="text1"/>
                <w:szCs w:val="21"/>
                <w:lang w:val="en-US" w:eastAsia="zh-CN"/>
                <w14:textFill>
                  <w14:solidFill>
                    <w14:schemeClr w14:val="tx1"/>
                  </w14:solidFill>
                </w14:textFill>
              </w:rPr>
              <w:t>+0.01</w:t>
            </w:r>
          </w:p>
        </w:tc>
      </w:tr>
      <w:tr w14:paraId="6AA2A7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433146E2">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37757E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废钢</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砂</w:t>
            </w:r>
          </w:p>
        </w:tc>
        <w:tc>
          <w:tcPr>
            <w:tcW w:w="1563" w:type="dxa"/>
            <w:vAlign w:val="center"/>
          </w:tcPr>
          <w:p w14:paraId="4E81C35F">
            <w:pPr>
              <w:pStyle w:val="99"/>
              <w:keepNext w:val="0"/>
              <w:keepLines w:val="0"/>
              <w:suppressLineNumbers w:val="0"/>
              <w:spacing w:beforeLines="0" w:afterLines="0" w:line="240" w:lineRule="auto"/>
              <w:ind w:left="0" w:right="0"/>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1400" w:type="dxa"/>
            <w:vAlign w:val="center"/>
          </w:tcPr>
          <w:p w14:paraId="5A50569D">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18504867">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2797D82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1401" w:type="dxa"/>
            <w:shd w:val="clear" w:color="auto" w:fill="auto"/>
            <w:vAlign w:val="center"/>
          </w:tcPr>
          <w:p w14:paraId="467DCC8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25C25F32">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1442" w:type="dxa"/>
            <w:shd w:val="clear" w:color="auto" w:fill="auto"/>
            <w:vAlign w:val="center"/>
          </w:tcPr>
          <w:p w14:paraId="6A7AACB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hAnsi="Times New Roman" w:cs="Times New Roman"/>
                <w:color w:val="000000" w:themeColor="text1"/>
                <w:szCs w:val="21"/>
                <w:lang w:val="en-US" w:eastAsia="zh-CN"/>
                <w14:textFill>
                  <w14:solidFill>
                    <w14:schemeClr w14:val="tx1"/>
                  </w14:solidFill>
                </w14:textFill>
              </w:rPr>
              <w:t>+0.01</w:t>
            </w:r>
          </w:p>
        </w:tc>
      </w:tr>
      <w:tr w14:paraId="55D0BE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07342906">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368109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废</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砂带</w:t>
            </w:r>
          </w:p>
        </w:tc>
        <w:tc>
          <w:tcPr>
            <w:tcW w:w="1563" w:type="dxa"/>
            <w:vAlign w:val="center"/>
          </w:tcPr>
          <w:p w14:paraId="63B186E5">
            <w:pPr>
              <w:pStyle w:val="99"/>
              <w:keepNext w:val="0"/>
              <w:keepLines w:val="0"/>
              <w:suppressLineNumbers w:val="0"/>
              <w:spacing w:beforeLines="0" w:afterLines="0" w:line="240" w:lineRule="auto"/>
              <w:ind w:left="0" w:right="0"/>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1400" w:type="dxa"/>
            <w:vAlign w:val="center"/>
          </w:tcPr>
          <w:p w14:paraId="5DB02093">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09F6F124">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2A071CD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1401" w:type="dxa"/>
            <w:shd w:val="clear" w:color="auto" w:fill="auto"/>
            <w:vAlign w:val="center"/>
          </w:tcPr>
          <w:p w14:paraId="76A3C6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4BD4DD6C">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000000" w:themeColor="text1"/>
                <w:szCs w:val="21"/>
                <w:lang w:val="en-US" w:eastAsia="zh-CN"/>
                <w14:textFill>
                  <w14:solidFill>
                    <w14:schemeClr w14:val="tx1"/>
                  </w14:solidFill>
                </w14:textFill>
              </w:rPr>
              <w:t>0.01</w:t>
            </w:r>
          </w:p>
        </w:tc>
        <w:tc>
          <w:tcPr>
            <w:tcW w:w="1442" w:type="dxa"/>
            <w:shd w:val="clear" w:color="auto" w:fill="auto"/>
            <w:vAlign w:val="center"/>
          </w:tcPr>
          <w:p w14:paraId="3E0A51FA">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hAnsi="Times New Roman" w:cs="Times New Roman"/>
                <w:color w:val="000000" w:themeColor="text1"/>
                <w:szCs w:val="21"/>
                <w:lang w:val="en-US" w:eastAsia="zh-CN"/>
                <w14:textFill>
                  <w14:solidFill>
                    <w14:schemeClr w14:val="tx1"/>
                  </w14:solidFill>
                </w14:textFill>
              </w:rPr>
              <w:t>+0.01</w:t>
            </w:r>
          </w:p>
        </w:tc>
      </w:tr>
      <w:tr w14:paraId="47A53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0E9290C5">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464D35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废反渗透膜</w:t>
            </w:r>
          </w:p>
        </w:tc>
        <w:tc>
          <w:tcPr>
            <w:tcW w:w="1563" w:type="dxa"/>
            <w:vAlign w:val="center"/>
          </w:tcPr>
          <w:p w14:paraId="4EFCE002">
            <w:pPr>
              <w:pStyle w:val="99"/>
              <w:keepNext w:val="0"/>
              <w:keepLines w:val="0"/>
              <w:suppressLineNumbers w:val="0"/>
              <w:spacing w:beforeLines="0" w:afterLines="0" w:line="240" w:lineRule="auto"/>
              <w:ind w:left="0" w:right="0"/>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1400" w:type="dxa"/>
            <w:vAlign w:val="center"/>
          </w:tcPr>
          <w:p w14:paraId="4268B20A">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44D9F328">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1CDD2E7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000000" w:themeColor="text1"/>
                <w:szCs w:val="21"/>
                <w:lang w:val="en-US" w:eastAsia="zh-CN"/>
                <w14:textFill>
                  <w14:solidFill>
                    <w14:schemeClr w14:val="tx1"/>
                  </w14:solidFill>
                </w14:textFill>
              </w:rPr>
              <w:t>0.5</w:t>
            </w:r>
          </w:p>
        </w:tc>
        <w:tc>
          <w:tcPr>
            <w:tcW w:w="1401" w:type="dxa"/>
            <w:shd w:val="clear" w:color="auto" w:fill="auto"/>
            <w:vAlign w:val="center"/>
          </w:tcPr>
          <w:p w14:paraId="2B20FC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0B96FBA3">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000000" w:themeColor="text1"/>
                <w:szCs w:val="21"/>
                <w:lang w:val="en-US" w:eastAsia="zh-CN"/>
                <w14:textFill>
                  <w14:solidFill>
                    <w14:schemeClr w14:val="tx1"/>
                  </w14:solidFill>
                </w14:textFill>
              </w:rPr>
              <w:t>0.5</w:t>
            </w:r>
          </w:p>
        </w:tc>
        <w:tc>
          <w:tcPr>
            <w:tcW w:w="1442" w:type="dxa"/>
            <w:shd w:val="clear" w:color="auto" w:fill="auto"/>
            <w:vAlign w:val="center"/>
          </w:tcPr>
          <w:p w14:paraId="50EC8556">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hAnsi="Times New Roman" w:eastAsia="宋体" w:cs="Times New Roman"/>
                <w:color w:val="000000" w:themeColor="text1"/>
                <w:szCs w:val="21"/>
                <w:lang w:val="en-US" w:eastAsia="zh-CN"/>
                <w14:textFill>
                  <w14:solidFill>
                    <w14:schemeClr w14:val="tx1"/>
                  </w14:solidFill>
                </w14:textFill>
              </w:rPr>
              <w:t>+0.5</w:t>
            </w:r>
          </w:p>
        </w:tc>
      </w:tr>
      <w:tr w14:paraId="133452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restart"/>
            <w:vAlign w:val="center"/>
          </w:tcPr>
          <w:p w14:paraId="13138172">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危险废物</w:t>
            </w:r>
          </w:p>
        </w:tc>
        <w:tc>
          <w:tcPr>
            <w:tcW w:w="1815" w:type="dxa"/>
            <w:gridSpan w:val="2"/>
            <w:shd w:val="clear" w:color="auto" w:fill="auto"/>
            <w:vAlign w:val="center"/>
          </w:tcPr>
          <w:p w14:paraId="184AC0E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废活性炭</w:t>
            </w:r>
          </w:p>
        </w:tc>
        <w:tc>
          <w:tcPr>
            <w:tcW w:w="1563" w:type="dxa"/>
            <w:shd w:val="clear" w:color="auto" w:fill="auto"/>
            <w:vAlign w:val="center"/>
          </w:tcPr>
          <w:p w14:paraId="763283D1">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0"/>
                <w:sz w:val="21"/>
                <w:szCs w:val="21"/>
                <w:highlight w:val="none"/>
                <w:lang w:eastAsia="zh-CN"/>
              </w:rPr>
            </w:pPr>
            <w:r>
              <w:rPr>
                <w:rFonts w:hint="eastAsia" w:cs="Times New Roman"/>
                <w:bCs/>
                <w:color w:val="auto"/>
                <w:kern w:val="0"/>
                <w:sz w:val="21"/>
                <w:szCs w:val="21"/>
                <w:highlight w:val="none"/>
                <w:lang w:val="en-US" w:eastAsia="zh-CN"/>
              </w:rPr>
              <w:t>0</w:t>
            </w:r>
          </w:p>
        </w:tc>
        <w:tc>
          <w:tcPr>
            <w:tcW w:w="1400" w:type="dxa"/>
            <w:vAlign w:val="center"/>
          </w:tcPr>
          <w:p w14:paraId="02C58143">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578BC8B6">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5DECA7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1.987</w:t>
            </w:r>
          </w:p>
        </w:tc>
        <w:tc>
          <w:tcPr>
            <w:tcW w:w="1401" w:type="dxa"/>
            <w:shd w:val="clear" w:color="auto" w:fill="auto"/>
            <w:vAlign w:val="center"/>
          </w:tcPr>
          <w:p w14:paraId="333A0A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19D139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1.987</w:t>
            </w:r>
          </w:p>
        </w:tc>
        <w:tc>
          <w:tcPr>
            <w:tcW w:w="1442" w:type="dxa"/>
            <w:shd w:val="clear" w:color="auto" w:fill="auto"/>
            <w:vAlign w:val="center"/>
          </w:tcPr>
          <w:p w14:paraId="6D7C7A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+1.987</w:t>
            </w:r>
          </w:p>
        </w:tc>
      </w:tr>
      <w:tr w14:paraId="0815B2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6A5014AB">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2991C1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废过滤棉</w:t>
            </w:r>
          </w:p>
        </w:tc>
        <w:tc>
          <w:tcPr>
            <w:tcW w:w="1563" w:type="dxa"/>
            <w:shd w:val="clear" w:color="auto" w:fill="auto"/>
            <w:vAlign w:val="center"/>
          </w:tcPr>
          <w:p w14:paraId="2E76424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0"/>
                <w:sz w:val="21"/>
                <w:szCs w:val="21"/>
                <w:highlight w:val="none"/>
                <w:lang w:eastAsia="zh-CN"/>
              </w:rPr>
            </w:pPr>
            <w:r>
              <w:rPr>
                <w:rFonts w:hint="eastAsia" w:cs="Times New Roman"/>
                <w:bCs/>
                <w:color w:val="auto"/>
                <w:kern w:val="0"/>
                <w:sz w:val="21"/>
                <w:szCs w:val="21"/>
                <w:highlight w:val="none"/>
                <w:lang w:val="en-US" w:eastAsia="zh-CN"/>
              </w:rPr>
              <w:t>0</w:t>
            </w:r>
          </w:p>
        </w:tc>
        <w:tc>
          <w:tcPr>
            <w:tcW w:w="1400" w:type="dxa"/>
            <w:vAlign w:val="center"/>
          </w:tcPr>
          <w:p w14:paraId="7B7FFA45">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0A999620">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38DA254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000000" w:themeColor="text1"/>
                <w:szCs w:val="21"/>
                <w14:textFill>
                  <w14:solidFill>
                    <w14:schemeClr w14:val="tx1"/>
                  </w14:solidFill>
                </w14:textFill>
              </w:rPr>
              <w:t>0.02</w:t>
            </w:r>
          </w:p>
        </w:tc>
        <w:tc>
          <w:tcPr>
            <w:tcW w:w="1401" w:type="dxa"/>
            <w:shd w:val="clear" w:color="auto" w:fill="auto"/>
            <w:vAlign w:val="center"/>
          </w:tcPr>
          <w:p w14:paraId="5B711D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7A5EF68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0.02</w:t>
            </w:r>
          </w:p>
        </w:tc>
        <w:tc>
          <w:tcPr>
            <w:tcW w:w="1442" w:type="dxa"/>
            <w:shd w:val="clear" w:color="auto" w:fill="auto"/>
            <w:vAlign w:val="center"/>
          </w:tcPr>
          <w:p w14:paraId="469825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0.02</w:t>
            </w:r>
          </w:p>
        </w:tc>
      </w:tr>
      <w:tr w14:paraId="632EBD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91" w:type="dxa"/>
            <w:vMerge w:val="continue"/>
            <w:vAlign w:val="center"/>
          </w:tcPr>
          <w:p w14:paraId="5C79A371">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7D9F15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废切削液</w:t>
            </w:r>
          </w:p>
        </w:tc>
        <w:tc>
          <w:tcPr>
            <w:tcW w:w="1563" w:type="dxa"/>
            <w:shd w:val="clear" w:color="auto" w:fill="auto"/>
            <w:vAlign w:val="center"/>
          </w:tcPr>
          <w:p w14:paraId="46332F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rPr>
              <w:t>0</w:t>
            </w:r>
            <w:r>
              <w:rPr>
                <w:rFonts w:hint="eastAsia" w:cs="Times New Roman"/>
                <w:bCs/>
                <w:color w:val="auto"/>
                <w:kern w:val="0"/>
                <w:sz w:val="21"/>
                <w:szCs w:val="21"/>
                <w:highlight w:val="none"/>
                <w:lang w:val="en-US" w:eastAsia="zh-CN"/>
              </w:rPr>
              <w:t>.3</w:t>
            </w:r>
          </w:p>
        </w:tc>
        <w:tc>
          <w:tcPr>
            <w:tcW w:w="1400" w:type="dxa"/>
            <w:vAlign w:val="center"/>
          </w:tcPr>
          <w:p w14:paraId="0A78ECBB">
            <w:pPr>
              <w:pStyle w:val="99"/>
              <w:keepNext w:val="0"/>
              <w:keepLines w:val="0"/>
              <w:suppressLineNumbers w:val="0"/>
              <w:spacing w:beforeLines="0" w:afterLines="0" w:line="240" w:lineRule="auto"/>
              <w:ind w:left="0" w:right="0"/>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w:t>
            </w:r>
          </w:p>
        </w:tc>
        <w:tc>
          <w:tcPr>
            <w:tcW w:w="1401" w:type="dxa"/>
            <w:vAlign w:val="center"/>
          </w:tcPr>
          <w:p w14:paraId="6BB00F4A">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5509C14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1.26</w:t>
            </w:r>
          </w:p>
        </w:tc>
        <w:tc>
          <w:tcPr>
            <w:tcW w:w="1401" w:type="dxa"/>
            <w:shd w:val="clear" w:color="auto" w:fill="auto"/>
            <w:vAlign w:val="center"/>
          </w:tcPr>
          <w:p w14:paraId="2BB0DB1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3619EE7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1.26</w:t>
            </w:r>
          </w:p>
        </w:tc>
        <w:tc>
          <w:tcPr>
            <w:tcW w:w="1442" w:type="dxa"/>
            <w:shd w:val="clear" w:color="auto" w:fill="auto"/>
            <w:vAlign w:val="center"/>
          </w:tcPr>
          <w:p w14:paraId="557B46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1.26</w:t>
            </w:r>
          </w:p>
        </w:tc>
      </w:tr>
      <w:tr w14:paraId="4DD9F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991" w:type="dxa"/>
            <w:vMerge w:val="continue"/>
            <w:vAlign w:val="center"/>
          </w:tcPr>
          <w:p w14:paraId="6978CEA4">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3F8940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废润滑油</w:t>
            </w:r>
          </w:p>
        </w:tc>
        <w:tc>
          <w:tcPr>
            <w:tcW w:w="1563" w:type="dxa"/>
            <w:vMerge w:val="restart"/>
            <w:shd w:val="clear" w:color="auto" w:fill="auto"/>
            <w:vAlign w:val="center"/>
          </w:tcPr>
          <w:p w14:paraId="49660650">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eastAsia="宋体" w:cs="Times New Roman"/>
                <w:bCs/>
                <w:color w:val="auto"/>
                <w:kern w:val="0"/>
                <w:sz w:val="21"/>
                <w:szCs w:val="21"/>
                <w:highlight w:val="none"/>
                <w:lang w:val="en-US" w:eastAsia="zh-CN"/>
              </w:rPr>
              <w:t>0.5</w:t>
            </w:r>
          </w:p>
        </w:tc>
        <w:tc>
          <w:tcPr>
            <w:tcW w:w="1400" w:type="dxa"/>
            <w:vAlign w:val="center"/>
          </w:tcPr>
          <w:p w14:paraId="276F3F6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77412A82">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5B36422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2</w:t>
            </w:r>
          </w:p>
        </w:tc>
        <w:tc>
          <w:tcPr>
            <w:tcW w:w="1401" w:type="dxa"/>
            <w:shd w:val="clear" w:color="auto" w:fill="auto"/>
            <w:vAlign w:val="center"/>
          </w:tcPr>
          <w:p w14:paraId="6779A0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5AE8DCA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2</w:t>
            </w:r>
          </w:p>
        </w:tc>
        <w:tc>
          <w:tcPr>
            <w:tcW w:w="1442" w:type="dxa"/>
            <w:shd w:val="clear" w:color="auto" w:fill="auto"/>
            <w:vAlign w:val="center"/>
          </w:tcPr>
          <w:p w14:paraId="530081F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2</w:t>
            </w:r>
          </w:p>
        </w:tc>
      </w:tr>
      <w:tr w14:paraId="5F21F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991" w:type="dxa"/>
            <w:vMerge w:val="continue"/>
            <w:vAlign w:val="center"/>
          </w:tcPr>
          <w:p w14:paraId="1C5460B3">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78C5A9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废液压油</w:t>
            </w:r>
          </w:p>
        </w:tc>
        <w:tc>
          <w:tcPr>
            <w:tcW w:w="1563" w:type="dxa"/>
            <w:vMerge w:val="continue"/>
            <w:vAlign w:val="center"/>
          </w:tcPr>
          <w:p w14:paraId="4E16787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1400" w:type="dxa"/>
            <w:vAlign w:val="center"/>
          </w:tcPr>
          <w:p w14:paraId="098C216A">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11475AC1">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1249F65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1</w:t>
            </w:r>
          </w:p>
        </w:tc>
        <w:tc>
          <w:tcPr>
            <w:tcW w:w="1401" w:type="dxa"/>
            <w:shd w:val="clear" w:color="auto" w:fill="auto"/>
            <w:vAlign w:val="center"/>
          </w:tcPr>
          <w:p w14:paraId="5FBE58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00347527">
            <w:pPr>
              <w:keepNext w:val="0"/>
              <w:keepLines w:val="0"/>
              <w:suppressLineNumbers w:val="0"/>
              <w:spacing w:before="0" w:beforeAutospacing="0" w:after="0" w:afterAutospacing="0"/>
              <w:ind w:left="0" w:right="0"/>
              <w:jc w:val="center"/>
              <w:rPr>
                <w:rFonts w:hint="default" w:ascii="Times New Roman" w:hAnsi="Times New Roman" w:cs="Times New Roman"/>
                <w:color w:val="auto"/>
                <w:spacing w:val="-4"/>
                <w:sz w:val="21"/>
                <w:szCs w:val="21"/>
                <w:highlight w:val="none"/>
              </w:rPr>
            </w:pP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1</w:t>
            </w:r>
          </w:p>
        </w:tc>
        <w:tc>
          <w:tcPr>
            <w:tcW w:w="1442" w:type="dxa"/>
            <w:shd w:val="clear" w:color="auto" w:fill="auto"/>
            <w:vAlign w:val="center"/>
          </w:tcPr>
          <w:p w14:paraId="79595EB4">
            <w:pPr>
              <w:keepNext w:val="0"/>
              <w:keepLines w:val="0"/>
              <w:suppressLineNumbers w:val="0"/>
              <w:spacing w:before="0" w:beforeAutospacing="0" w:after="0" w:afterAutospacing="0"/>
              <w:ind w:left="0" w:right="0"/>
              <w:jc w:val="center"/>
              <w:rPr>
                <w:rFonts w:hint="default" w:ascii="Times New Roman" w:hAnsi="Times New Roman" w:cs="Times New Roman"/>
                <w:color w:val="auto"/>
                <w:spacing w:val="-4"/>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lang w:val="en-US" w:eastAsia="zh-CN"/>
                <w14:textFill>
                  <w14:solidFill>
                    <w14:schemeClr w14:val="tx1"/>
                  </w14:solidFill>
                </w14:textFill>
              </w:rPr>
              <w:t>1</w:t>
            </w:r>
          </w:p>
        </w:tc>
      </w:tr>
      <w:tr w14:paraId="4DEE1F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991" w:type="dxa"/>
            <w:vMerge w:val="continue"/>
            <w:vAlign w:val="center"/>
          </w:tcPr>
          <w:p w14:paraId="38573C4E">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2EDA630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废化学品包装桶</w:t>
            </w:r>
          </w:p>
        </w:tc>
        <w:tc>
          <w:tcPr>
            <w:tcW w:w="1563" w:type="dxa"/>
            <w:vAlign w:val="center"/>
          </w:tcPr>
          <w:p w14:paraId="5C10463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bidi="ar"/>
              </w:rPr>
              <w:t>0</w:t>
            </w:r>
            <w:r>
              <w:rPr>
                <w:rFonts w:hint="eastAsia" w:cs="Times New Roman"/>
                <w:color w:val="auto"/>
                <w:kern w:val="0"/>
                <w:sz w:val="21"/>
                <w:szCs w:val="21"/>
                <w:highlight w:val="none"/>
                <w:lang w:val="en-US" w:eastAsia="zh-CN" w:bidi="ar"/>
              </w:rPr>
              <w:t>.2</w:t>
            </w:r>
          </w:p>
        </w:tc>
        <w:tc>
          <w:tcPr>
            <w:tcW w:w="1400" w:type="dxa"/>
            <w:vAlign w:val="center"/>
          </w:tcPr>
          <w:p w14:paraId="029A69E4">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338A58FE">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10E9C9D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0.875</w:t>
            </w:r>
          </w:p>
        </w:tc>
        <w:tc>
          <w:tcPr>
            <w:tcW w:w="1401" w:type="dxa"/>
            <w:shd w:val="clear" w:color="auto" w:fill="auto"/>
            <w:vAlign w:val="center"/>
          </w:tcPr>
          <w:p w14:paraId="7C3501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5A9D745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0.875</w:t>
            </w:r>
          </w:p>
        </w:tc>
        <w:tc>
          <w:tcPr>
            <w:tcW w:w="1442" w:type="dxa"/>
            <w:shd w:val="clear" w:color="auto" w:fill="auto"/>
            <w:vAlign w:val="center"/>
          </w:tcPr>
          <w:p w14:paraId="4C06758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000000" w:themeColor="text1"/>
                <w:szCs w:val="21"/>
                <w:lang w:val="en-US" w:eastAsia="zh-CN"/>
                <w14:textFill>
                  <w14:solidFill>
                    <w14:schemeClr w14:val="tx1"/>
                  </w14:solidFill>
                </w14:textFill>
              </w:rPr>
              <w:t>+0.875</w:t>
            </w:r>
          </w:p>
        </w:tc>
      </w:tr>
      <w:tr w14:paraId="1C6314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991" w:type="dxa"/>
            <w:vMerge w:val="continue"/>
            <w:vAlign w:val="center"/>
          </w:tcPr>
          <w:p w14:paraId="0029BD5F">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58B76F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废油桶</w:t>
            </w:r>
          </w:p>
        </w:tc>
        <w:tc>
          <w:tcPr>
            <w:tcW w:w="1563" w:type="dxa"/>
            <w:vAlign w:val="center"/>
          </w:tcPr>
          <w:p w14:paraId="53213F19">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bidi="ar"/>
              </w:rPr>
              <w:t>0</w:t>
            </w:r>
            <w:r>
              <w:rPr>
                <w:rFonts w:hint="eastAsia" w:cs="Times New Roman"/>
                <w:color w:val="auto"/>
                <w:kern w:val="0"/>
                <w:sz w:val="21"/>
                <w:szCs w:val="21"/>
                <w:highlight w:val="none"/>
                <w:lang w:val="en-US" w:eastAsia="zh-CN" w:bidi="ar"/>
              </w:rPr>
              <w:t>.7</w:t>
            </w:r>
          </w:p>
        </w:tc>
        <w:tc>
          <w:tcPr>
            <w:tcW w:w="1400" w:type="dxa"/>
            <w:vAlign w:val="center"/>
          </w:tcPr>
          <w:p w14:paraId="7A18537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2FA2C855">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349DF13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eastAsia" w:ascii="Times New Roman" w:hAnsi="Times New Roman" w:eastAsia="宋体" w:cs="Times New Roman"/>
                <w:color w:val="000000" w:themeColor="text1"/>
                <w:szCs w:val="21"/>
                <w:lang w:val="en-US" w:eastAsia="zh-CN"/>
                <w14:textFill>
                  <w14:solidFill>
                    <w14:schemeClr w14:val="tx1"/>
                  </w14:solidFill>
                </w14:textFill>
              </w:rPr>
              <w:t>0.72</w:t>
            </w:r>
          </w:p>
        </w:tc>
        <w:tc>
          <w:tcPr>
            <w:tcW w:w="1401" w:type="dxa"/>
            <w:shd w:val="clear" w:color="auto" w:fill="auto"/>
            <w:vAlign w:val="center"/>
          </w:tcPr>
          <w:p w14:paraId="4E480F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4438467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000000" w:themeColor="text1"/>
                <w:szCs w:val="21"/>
                <w:lang w:val="en-US" w:eastAsia="zh-CN"/>
                <w14:textFill>
                  <w14:solidFill>
                    <w14:schemeClr w14:val="tx1"/>
                  </w14:solidFill>
                </w14:textFill>
              </w:rPr>
              <w:t>0.72</w:t>
            </w:r>
          </w:p>
        </w:tc>
        <w:tc>
          <w:tcPr>
            <w:tcW w:w="1442" w:type="dxa"/>
            <w:shd w:val="clear" w:color="auto" w:fill="auto"/>
            <w:vAlign w:val="center"/>
          </w:tcPr>
          <w:p w14:paraId="3C48ED2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000000" w:themeColor="text1"/>
                <w:szCs w:val="21"/>
                <w:lang w:val="en-US" w:eastAsia="zh-CN"/>
                <w14:textFill>
                  <w14:solidFill>
                    <w14:schemeClr w14:val="tx1"/>
                  </w14:solidFill>
                </w14:textFill>
              </w:rPr>
              <w:t>+0.72</w:t>
            </w:r>
          </w:p>
        </w:tc>
      </w:tr>
      <w:tr w14:paraId="07FBA7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991" w:type="dxa"/>
            <w:vMerge w:val="continue"/>
            <w:vAlign w:val="center"/>
          </w:tcPr>
          <w:p w14:paraId="7D1FE669">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6709C1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 w:val="21"/>
                <w:szCs w:val="21"/>
                <w14:textFill>
                  <w14:solidFill>
                    <w14:schemeClr w14:val="tx1"/>
                  </w14:solidFill>
                </w14:textFill>
              </w:rPr>
              <w:t>槽渣</w:t>
            </w:r>
          </w:p>
        </w:tc>
        <w:tc>
          <w:tcPr>
            <w:tcW w:w="1563" w:type="dxa"/>
            <w:vAlign w:val="center"/>
          </w:tcPr>
          <w:p w14:paraId="55899383">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400" w:type="dxa"/>
            <w:vAlign w:val="center"/>
          </w:tcPr>
          <w:p w14:paraId="6515A267">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498DA144">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5E0EDF3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color w:val="000000" w:themeColor="text1"/>
                <w:szCs w:val="21"/>
                <w14:textFill>
                  <w14:solidFill>
                    <w14:schemeClr w14:val="tx1"/>
                  </w14:solidFill>
                </w14:textFill>
              </w:rPr>
              <w:t>2</w:t>
            </w:r>
          </w:p>
        </w:tc>
        <w:tc>
          <w:tcPr>
            <w:tcW w:w="1401" w:type="dxa"/>
            <w:shd w:val="clear" w:color="auto" w:fill="auto"/>
            <w:vAlign w:val="center"/>
          </w:tcPr>
          <w:p w14:paraId="5CF48B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4D037FD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color w:val="000000" w:themeColor="text1"/>
                <w:szCs w:val="21"/>
                <w14:textFill>
                  <w14:solidFill>
                    <w14:schemeClr w14:val="tx1"/>
                  </w14:solidFill>
                </w14:textFill>
              </w:rPr>
              <w:t>2</w:t>
            </w:r>
          </w:p>
        </w:tc>
        <w:tc>
          <w:tcPr>
            <w:tcW w:w="1442" w:type="dxa"/>
            <w:shd w:val="clear" w:color="auto" w:fill="auto"/>
            <w:vAlign w:val="center"/>
          </w:tcPr>
          <w:p w14:paraId="0F438B2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color w:val="000000" w:themeColor="text1"/>
                <w:szCs w:val="21"/>
                <w:lang w:val="en-US" w:eastAsia="zh-CN"/>
                <w14:textFill>
                  <w14:solidFill>
                    <w14:schemeClr w14:val="tx1"/>
                  </w14:solidFill>
                </w14:textFill>
              </w:rPr>
              <w:t>+</w:t>
            </w:r>
            <w:r>
              <w:rPr>
                <w:rFonts w:hint="default"/>
                <w:color w:val="000000" w:themeColor="text1"/>
                <w:szCs w:val="21"/>
                <w14:textFill>
                  <w14:solidFill>
                    <w14:schemeClr w14:val="tx1"/>
                  </w14:solidFill>
                </w14:textFill>
              </w:rPr>
              <w:t>2</w:t>
            </w:r>
          </w:p>
        </w:tc>
      </w:tr>
      <w:tr w14:paraId="32A9E4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991" w:type="dxa"/>
            <w:vMerge w:val="continue"/>
            <w:vAlign w:val="center"/>
          </w:tcPr>
          <w:p w14:paraId="1F328C79">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p>
        </w:tc>
        <w:tc>
          <w:tcPr>
            <w:tcW w:w="1815" w:type="dxa"/>
            <w:gridSpan w:val="2"/>
            <w:shd w:val="clear" w:color="auto" w:fill="auto"/>
            <w:vAlign w:val="center"/>
          </w:tcPr>
          <w:p w14:paraId="308056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color w:val="auto"/>
                <w:sz w:val="21"/>
                <w:szCs w:val="21"/>
              </w:rPr>
              <w:t>污泥</w:t>
            </w:r>
          </w:p>
        </w:tc>
        <w:tc>
          <w:tcPr>
            <w:tcW w:w="1563" w:type="dxa"/>
            <w:vAlign w:val="center"/>
          </w:tcPr>
          <w:p w14:paraId="06E7A538">
            <w:pPr>
              <w:keepNext w:val="0"/>
              <w:keepLines w:val="0"/>
              <w:suppressLineNumbers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color w:val="auto"/>
                <w:kern w:val="0"/>
                <w:sz w:val="21"/>
                <w:szCs w:val="21"/>
                <w:highlight w:val="none"/>
                <w:lang w:eastAsia="zh-CN" w:bidi="ar"/>
              </w:rPr>
            </w:pPr>
            <w:r>
              <w:rPr>
                <w:rFonts w:hint="eastAsia" w:cs="Times New Roman"/>
                <w:color w:val="auto"/>
                <w:kern w:val="0"/>
                <w:sz w:val="21"/>
                <w:szCs w:val="21"/>
                <w:highlight w:val="none"/>
                <w:lang w:val="en-US" w:eastAsia="zh-CN" w:bidi="ar"/>
              </w:rPr>
              <w:t>0</w:t>
            </w:r>
          </w:p>
        </w:tc>
        <w:tc>
          <w:tcPr>
            <w:tcW w:w="1400" w:type="dxa"/>
            <w:vAlign w:val="center"/>
          </w:tcPr>
          <w:p w14:paraId="63556B6E">
            <w:pPr>
              <w:pStyle w:val="99"/>
              <w:keepNext w:val="0"/>
              <w:keepLines w:val="0"/>
              <w:suppressLineNumbers w:val="0"/>
              <w:spacing w:beforeLines="0" w:afterLines="0" w:line="240" w:lineRule="auto"/>
              <w:ind w:left="0" w:right="0"/>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w:t>
            </w:r>
          </w:p>
        </w:tc>
        <w:tc>
          <w:tcPr>
            <w:tcW w:w="1401" w:type="dxa"/>
            <w:vAlign w:val="center"/>
          </w:tcPr>
          <w:p w14:paraId="3C65782C">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kern w:val="0"/>
                <w:sz w:val="21"/>
                <w:szCs w:val="21"/>
                <w:highlight w:val="none"/>
                <w:lang w:bidi="ar"/>
              </w:rPr>
              <w:t>0</w:t>
            </w:r>
          </w:p>
        </w:tc>
        <w:tc>
          <w:tcPr>
            <w:tcW w:w="1960" w:type="dxa"/>
            <w:shd w:val="clear" w:color="auto" w:fill="auto"/>
            <w:vAlign w:val="center"/>
          </w:tcPr>
          <w:p w14:paraId="2A64A1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eastAsia"/>
                <w:color w:val="auto"/>
                <w:szCs w:val="21"/>
                <w:lang w:val="en-US" w:eastAsia="zh-CN"/>
              </w:rPr>
              <w:t>0.177</w:t>
            </w:r>
          </w:p>
        </w:tc>
        <w:tc>
          <w:tcPr>
            <w:tcW w:w="1401" w:type="dxa"/>
            <w:shd w:val="clear" w:color="auto" w:fill="auto"/>
            <w:vAlign w:val="center"/>
          </w:tcPr>
          <w:p w14:paraId="751603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010A4B8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color w:val="auto"/>
                <w:szCs w:val="21"/>
                <w:lang w:val="en-US" w:eastAsia="zh-CN"/>
              </w:rPr>
              <w:t>0.177</w:t>
            </w:r>
          </w:p>
        </w:tc>
        <w:tc>
          <w:tcPr>
            <w:tcW w:w="1442" w:type="dxa"/>
            <w:shd w:val="clear" w:color="auto" w:fill="auto"/>
            <w:vAlign w:val="center"/>
          </w:tcPr>
          <w:p w14:paraId="27BC07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olor w:val="auto"/>
                <w:szCs w:val="21"/>
                <w:lang w:val="en-US" w:eastAsia="zh-CN"/>
              </w:rPr>
              <w:t>+0.177</w:t>
            </w:r>
          </w:p>
        </w:tc>
      </w:tr>
      <w:tr w14:paraId="30C924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91" w:type="dxa"/>
            <w:vAlign w:val="center"/>
          </w:tcPr>
          <w:p w14:paraId="10D14958">
            <w:pPr>
              <w:pStyle w:val="99"/>
              <w:keepNext w:val="0"/>
              <w:keepLines w:val="0"/>
              <w:suppressLineNumbers w:val="0"/>
              <w:spacing w:beforeLines="0" w:afterLines="0" w:line="240" w:lineRule="auto"/>
              <w:ind w:left="0" w:right="0"/>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生活垃圾</w:t>
            </w:r>
          </w:p>
        </w:tc>
        <w:tc>
          <w:tcPr>
            <w:tcW w:w="1815" w:type="dxa"/>
            <w:gridSpan w:val="2"/>
            <w:vAlign w:val="center"/>
          </w:tcPr>
          <w:p w14:paraId="2F810A3F">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生活垃圾</w:t>
            </w:r>
          </w:p>
        </w:tc>
        <w:tc>
          <w:tcPr>
            <w:tcW w:w="1563" w:type="dxa"/>
            <w:vAlign w:val="center"/>
          </w:tcPr>
          <w:p w14:paraId="03AED211">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4.5</w:t>
            </w:r>
          </w:p>
        </w:tc>
        <w:tc>
          <w:tcPr>
            <w:tcW w:w="1400" w:type="dxa"/>
            <w:vAlign w:val="center"/>
          </w:tcPr>
          <w:p w14:paraId="4F3D47B0">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kern w:val="0"/>
                <w:sz w:val="21"/>
                <w:szCs w:val="21"/>
                <w:highlight w:val="none"/>
                <w:lang w:bidi="ar"/>
              </w:rPr>
              <w:t>/</w:t>
            </w:r>
          </w:p>
        </w:tc>
        <w:tc>
          <w:tcPr>
            <w:tcW w:w="1401" w:type="dxa"/>
            <w:vAlign w:val="center"/>
          </w:tcPr>
          <w:p w14:paraId="6D20857D">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color w:val="auto"/>
                <w:kern w:val="0"/>
                <w:sz w:val="21"/>
                <w:szCs w:val="21"/>
                <w:highlight w:val="none"/>
                <w:lang w:bidi="ar"/>
              </w:rPr>
            </w:pPr>
            <w:r>
              <w:rPr>
                <w:rFonts w:hint="default" w:ascii="Times New Roman" w:hAnsi="Times New Roman" w:cs="Times New Roman"/>
                <w:color w:val="auto"/>
                <w:sz w:val="21"/>
                <w:szCs w:val="21"/>
                <w:highlight w:val="none"/>
              </w:rPr>
              <w:t>0</w:t>
            </w:r>
          </w:p>
        </w:tc>
        <w:tc>
          <w:tcPr>
            <w:tcW w:w="1960" w:type="dxa"/>
            <w:shd w:val="clear" w:color="auto" w:fill="auto"/>
            <w:vAlign w:val="center"/>
          </w:tcPr>
          <w:p w14:paraId="50AA30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000000" w:themeColor="text1"/>
                <w:szCs w:val="21"/>
                <w:lang w:val="en-US" w:eastAsia="zh-CN"/>
                <w14:textFill>
                  <w14:solidFill>
                    <w14:schemeClr w14:val="tx1"/>
                  </w14:solidFill>
                </w14:textFill>
              </w:rPr>
              <w:t>16</w:t>
            </w:r>
          </w:p>
        </w:tc>
        <w:tc>
          <w:tcPr>
            <w:tcW w:w="1401" w:type="dxa"/>
            <w:shd w:val="clear" w:color="auto" w:fill="auto"/>
            <w:vAlign w:val="center"/>
          </w:tcPr>
          <w:p w14:paraId="7C9B18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auto"/>
                <w:kern w:val="0"/>
                <w:sz w:val="21"/>
                <w:szCs w:val="21"/>
                <w:highlight w:val="none"/>
                <w:lang w:bidi="ar"/>
              </w:rPr>
              <w:t>0</w:t>
            </w:r>
          </w:p>
        </w:tc>
        <w:tc>
          <w:tcPr>
            <w:tcW w:w="1648" w:type="dxa"/>
            <w:shd w:val="clear" w:color="auto" w:fill="auto"/>
            <w:vAlign w:val="center"/>
          </w:tcPr>
          <w:p w14:paraId="762B62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0"/>
                <w:sz w:val="21"/>
                <w:szCs w:val="21"/>
                <w:highlight w:val="none"/>
                <w:lang w:val="en-US" w:eastAsia="zh-CN" w:bidi="ar"/>
              </w:rPr>
              <w:t>16</w:t>
            </w:r>
          </w:p>
        </w:tc>
        <w:tc>
          <w:tcPr>
            <w:tcW w:w="1442" w:type="dxa"/>
            <w:shd w:val="clear" w:color="auto" w:fill="auto"/>
            <w:vAlign w:val="center"/>
          </w:tcPr>
          <w:p w14:paraId="044E86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kern w:val="0"/>
                <w:sz w:val="21"/>
                <w:szCs w:val="21"/>
                <w:highlight w:val="none"/>
                <w:lang w:bidi="ar"/>
              </w:rPr>
              <w:t>+</w:t>
            </w:r>
            <w:r>
              <w:rPr>
                <w:rFonts w:hint="eastAsia" w:cs="Times New Roman"/>
                <w:color w:val="auto"/>
                <w:kern w:val="0"/>
                <w:sz w:val="21"/>
                <w:szCs w:val="21"/>
                <w:highlight w:val="none"/>
                <w:lang w:val="en-US" w:eastAsia="zh-CN" w:bidi="ar"/>
              </w:rPr>
              <w:t>16</w:t>
            </w:r>
          </w:p>
        </w:tc>
      </w:tr>
    </w:tbl>
    <w:p w14:paraId="1F89A924">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注：</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6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⑥</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1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①</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3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③</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4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④</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5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⑤</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7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⑦</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6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⑥</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rPr>
        <w:fldChar w:fldCharType="begin"/>
      </w:r>
      <w:r>
        <w:rPr>
          <w:rFonts w:hint="default" w:ascii="Times New Roman" w:hAnsi="Times New Roman" w:cs="Times New Roman"/>
          <w:color w:val="auto"/>
          <w:sz w:val="24"/>
          <w:highlight w:val="none"/>
        </w:rPr>
        <w:instrText xml:space="preserve"> = 1 \* GB3 \* MERGEFORMAT </w:instrText>
      </w:r>
      <w:r>
        <w:rPr>
          <w:rFonts w:hint="default" w:ascii="Times New Roman" w:hAnsi="Times New Roman" w:cs="Times New Roman"/>
          <w:color w:val="auto"/>
          <w:sz w:val="24"/>
          <w:highlight w:val="none"/>
        </w:rPr>
        <w:fldChar w:fldCharType="separate"/>
      </w:r>
      <w:r>
        <w:rPr>
          <w:rFonts w:hint="default" w:ascii="Times New Roman" w:hAnsi="Times New Roman" w:cs="Times New Roman"/>
          <w:color w:val="auto"/>
          <w:sz w:val="24"/>
          <w:highlight w:val="none"/>
        </w:rPr>
        <w:t>①</w:t>
      </w:r>
      <w:r>
        <w:rPr>
          <w:rFonts w:hint="default" w:ascii="Times New Roman" w:hAnsi="Times New Roman" w:cs="Times New Roman"/>
          <w:color w:val="auto"/>
          <w:sz w:val="24"/>
          <w:highlight w:val="none"/>
        </w:rPr>
        <w:fldChar w:fldCharType="end"/>
      </w:r>
      <w:r>
        <w:rPr>
          <w:rFonts w:hint="default" w:ascii="Times New Roman" w:hAnsi="Times New Roman" w:cs="Times New Roman"/>
          <w:color w:val="auto"/>
          <w:sz w:val="24"/>
          <w:highlight w:val="none"/>
        </w:rPr>
        <w:t xml:space="preserve"> </w:t>
      </w:r>
    </w:p>
    <w:p w14:paraId="78FFCCA8">
      <w:pPr>
        <w:spacing w:line="360" w:lineRule="auto"/>
        <w:ind w:firstLine="420" w:firstLineChars="200"/>
        <w:rPr>
          <w:rFonts w:hint="default" w:ascii="Times New Roman" w:hAnsi="Times New Roman" w:eastAsia="宋体" w:cs="Times New Roman"/>
          <w:b w:val="0"/>
          <w:bCs w:val="0"/>
          <w:color w:val="auto"/>
          <w:highlight w:val="none"/>
          <w:lang w:val="en-US" w:eastAsia="zh-CN"/>
        </w:rPr>
        <w:sectPr>
          <w:footerReference r:id="rId7"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r>
        <w:rPr>
          <w:rFonts w:hint="eastAsia" w:ascii="宋体" w:hAnsi="宋体" w:cs="宋体"/>
          <w:color w:val="000000"/>
        </w:rPr>
        <w:t>※“以新带老”削减量</w:t>
      </w:r>
      <w:r>
        <w:rPr>
          <w:rFonts w:hint="eastAsia" w:ascii="宋体" w:hAnsi="宋体" w:cs="宋体"/>
          <w:color w:val="000000"/>
          <w:lang w:eastAsia="zh-CN"/>
        </w:rPr>
        <w:t>：</w:t>
      </w:r>
      <w:r>
        <w:rPr>
          <w:rFonts w:hint="eastAsia" w:ascii="宋体" w:hAnsi="宋体" w:cs="宋体"/>
          <w:color w:val="000000"/>
          <w:lang w:val="en-US" w:eastAsia="zh-CN"/>
        </w:rPr>
        <w:t>因本项目为迁建项目，本项目建成后，迁建前的现有项目即停止生产，故迁建前的现有项目批复上的总量全部</w:t>
      </w:r>
      <w:r>
        <w:rPr>
          <w:rFonts w:hint="eastAsia" w:ascii="宋体" w:hAnsi="宋体" w:cs="宋体"/>
          <w:color w:val="000000"/>
        </w:rPr>
        <w:t>以新带老削减</w:t>
      </w:r>
      <w:r>
        <w:rPr>
          <w:rFonts w:hint="eastAsia" w:ascii="宋体" w:hAnsi="宋体" w:cs="宋体"/>
          <w:color w:val="000000"/>
          <w:lang w:eastAsia="zh-CN"/>
        </w:rPr>
        <w:t>，</w:t>
      </w:r>
      <w:r>
        <w:rPr>
          <w:rFonts w:hint="eastAsia" w:ascii="宋体" w:hAnsi="宋体" w:cs="宋体"/>
          <w:b w:val="0"/>
          <w:bCs w:val="0"/>
          <w:color w:val="000000"/>
          <w:lang w:val="en-US" w:eastAsia="zh-CN"/>
        </w:rPr>
        <w:t>则</w:t>
      </w:r>
      <w:r>
        <w:rPr>
          <w:rFonts w:hint="default" w:ascii="Times New Roman" w:hAnsi="Times New Roman" w:cs="Times New Roman"/>
          <w:b w:val="0"/>
          <w:bCs w:val="0"/>
          <w:snapToGrid w:val="0"/>
          <w:color w:val="auto"/>
          <w:kern w:val="21"/>
          <w:sz w:val="21"/>
          <w:szCs w:val="21"/>
          <w:highlight w:val="none"/>
        </w:rPr>
        <w:t>本项目建成后全厂排放量</w:t>
      </w:r>
      <w:r>
        <w:rPr>
          <w:rFonts w:hint="eastAsia" w:ascii="Times New Roman" w:hAnsi="Times New Roman" w:cs="Times New Roman"/>
          <w:b w:val="0"/>
          <w:bCs w:val="0"/>
          <w:snapToGrid w:val="0"/>
          <w:color w:val="auto"/>
          <w:kern w:val="21"/>
          <w:sz w:val="21"/>
          <w:szCs w:val="21"/>
          <w:highlight w:val="none"/>
          <w:lang w:val="en-US" w:eastAsia="zh-CN"/>
        </w:rPr>
        <w:t>无需加上现有项目排放量，变化即本项目建成后全厂排放量。</w:t>
      </w:r>
    </w:p>
    <w:p w14:paraId="765ABBB8">
      <w:pPr>
        <w:rPr>
          <w:rFonts w:hint="default" w:ascii="Times New Roman" w:hAnsi="Times New Roman" w:cs="Times New Roman"/>
          <w:color w:val="auto"/>
          <w:highlight w:val="none"/>
        </w:rPr>
      </w:pPr>
    </w:p>
    <w:tbl>
      <w:tblPr>
        <w:tblStyle w:val="61"/>
        <w:tblW w:w="9285"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285"/>
      </w:tblGrid>
      <w:tr w14:paraId="48F50F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47" w:hRule="atLeast"/>
        </w:trPr>
        <w:tc>
          <w:tcPr>
            <w:tcW w:w="9285" w:type="dxa"/>
          </w:tcPr>
          <w:p w14:paraId="007000D9">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预审意见：</w:t>
            </w:r>
          </w:p>
          <w:p w14:paraId="633F5F20">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0F0C58C">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D2EA737">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DA358C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7D83D158">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EECEBAD">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57FEF2D">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2AE02F8">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A6C6975">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4B9956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423B0C4">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C045E0E">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1D1082E">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2E62744C">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 xml:space="preserve">                                                 公章</w:t>
            </w:r>
          </w:p>
          <w:p w14:paraId="6516584A">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经办人：                                    年   月   日</w:t>
            </w:r>
          </w:p>
        </w:tc>
      </w:tr>
      <w:tr w14:paraId="18ADDB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380" w:hRule="atLeast"/>
        </w:trPr>
        <w:tc>
          <w:tcPr>
            <w:tcW w:w="9285" w:type="dxa"/>
          </w:tcPr>
          <w:p w14:paraId="054DE657">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下一级环境保护行政主管部门审查意见：</w:t>
            </w:r>
          </w:p>
          <w:p w14:paraId="118241B4">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256E1BD">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36EAD0D">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4A4099C">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F867091">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96C0AAE">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9D35DB0">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CAF2A86">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E57FC1E">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D2D97F6">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F68192A">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76CF3A97">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BC76E48">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C668A10">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F76BFB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E84A444">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F45F985">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C2836F2">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E4E247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 xml:space="preserve">                                                 公章</w:t>
            </w:r>
          </w:p>
          <w:p w14:paraId="26DEE927">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经办人：                                    年   月   日</w:t>
            </w:r>
          </w:p>
        </w:tc>
      </w:tr>
      <w:tr w14:paraId="79036D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30" w:hRule="atLeast"/>
        </w:trPr>
        <w:tc>
          <w:tcPr>
            <w:tcW w:w="9285" w:type="dxa"/>
          </w:tcPr>
          <w:p w14:paraId="256FBFA0">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审批意见：</w:t>
            </w:r>
          </w:p>
          <w:p w14:paraId="645288CA">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782B0EF7">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032103A">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6FC65B0">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7FE8EF3D">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4F1FEB0">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761FCC2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F53B155">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08733EF8">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2FC715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4AC1088">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7E005B1">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0808D21B">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D5894BE">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25F72DFC">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08387CC5">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DE32E27">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F028392">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9CCC1DA">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0D4BEA29">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0FDCB147">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C701AA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67666F26">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A10793E">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37AD7ED">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E676B2C">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2CD007F">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F26841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B74BF5A">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01139218">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3659605">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FC88764">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156F39E5">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3B26AD11">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9833F98">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52715B93">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p>
          <w:p w14:paraId="41596FC6">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 xml:space="preserve">                                                 公章</w:t>
            </w:r>
          </w:p>
          <w:p w14:paraId="6CAA14AD">
            <w:pPr>
              <w:keepNext w:val="0"/>
              <w:keepLines w:val="0"/>
              <w:suppressLineNumbers w:val="0"/>
              <w:spacing w:before="0" w:beforeAutospacing="0" w:after="0" w:afterAutospacing="0"/>
              <w:ind w:left="0" w:right="0"/>
              <w:rPr>
                <w:rFonts w:hint="default" w:ascii="Times New Roman" w:hAnsi="Times New Roman" w:cs="Times New Roman"/>
                <w:color w:val="auto"/>
                <w:sz w:val="28"/>
                <w:highlight w:val="none"/>
              </w:rPr>
            </w:pPr>
            <w:r>
              <w:rPr>
                <w:rFonts w:hint="default" w:ascii="Times New Roman" w:hAnsi="Times New Roman" w:cs="Times New Roman"/>
                <w:color w:val="auto"/>
                <w:sz w:val="28"/>
                <w:highlight w:val="none"/>
              </w:rPr>
              <w:t>经办人：                                    年   月   日</w:t>
            </w:r>
          </w:p>
        </w:tc>
      </w:tr>
    </w:tbl>
    <w:p w14:paraId="6F6DA5C4">
      <w:pPr>
        <w:widowControl/>
        <w:spacing w:line="360" w:lineRule="auto"/>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附件：</w:t>
      </w:r>
    </w:p>
    <w:p w14:paraId="45258846">
      <w:pPr>
        <w:widowControl/>
        <w:spacing w:line="360" w:lineRule="auto"/>
        <w:ind w:firstLine="480" w:firstLineChars="200"/>
        <w:rPr>
          <w:rFonts w:hint="default" w:ascii="Times New Roman" w:hAnsi="Times New Roman" w:cs="Times New Roman"/>
          <w:b/>
          <w:color w:val="auto"/>
          <w:kern w:val="0"/>
          <w:sz w:val="24"/>
          <w:highlight w:val="none"/>
        </w:rPr>
      </w:pPr>
      <w:r>
        <w:rPr>
          <w:rFonts w:hint="default" w:ascii="Times New Roman" w:hAnsi="Times New Roman" w:cs="Times New Roman"/>
          <w:color w:val="auto"/>
          <w:sz w:val="24"/>
          <w:highlight w:val="none"/>
        </w:rPr>
        <w:t>附件1   委托书</w:t>
      </w:r>
    </w:p>
    <w:p w14:paraId="1A75C642">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附件2   声明</w:t>
      </w:r>
    </w:p>
    <w:p w14:paraId="62736117">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附件3   立项文件</w:t>
      </w:r>
    </w:p>
    <w:p w14:paraId="177F80DA">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sz w:val="24"/>
          <w:highlight w:val="none"/>
        </w:rPr>
        <w:t xml:space="preserve">附件4   </w:t>
      </w:r>
      <w:r>
        <w:rPr>
          <w:rFonts w:hint="eastAsia" w:cs="Times New Roman"/>
          <w:color w:val="auto"/>
          <w:sz w:val="24"/>
          <w:highlight w:val="none"/>
          <w:lang w:val="en-US" w:eastAsia="zh-CN"/>
        </w:rPr>
        <w:t>危险废物处置承诺</w:t>
      </w:r>
    </w:p>
    <w:p w14:paraId="5FF1C9DE">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 xml:space="preserve">附件5   </w:t>
      </w:r>
      <w:r>
        <w:rPr>
          <w:rFonts w:hint="eastAsia" w:ascii="Times New Roman" w:hAnsi="Times New Roman" w:cs="Times New Roman"/>
          <w:color w:val="auto"/>
          <w:sz w:val="24"/>
          <w:highlight w:val="none"/>
          <w:lang w:val="en-US" w:eastAsia="zh-CN"/>
        </w:rPr>
        <w:t>营业执照</w:t>
      </w:r>
    </w:p>
    <w:p w14:paraId="30865FAA">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 xml:space="preserve">   法人身份证</w:t>
      </w:r>
    </w:p>
    <w:p w14:paraId="706701A7">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w:t>
      </w:r>
      <w:r>
        <w:rPr>
          <w:rFonts w:hint="eastAsia" w:cs="Times New Roman"/>
          <w:color w:val="auto"/>
          <w:sz w:val="24"/>
          <w:highlight w:val="none"/>
          <w:lang w:val="en-US" w:eastAsia="zh-CN"/>
        </w:rPr>
        <w:t>7</w:t>
      </w:r>
      <w:r>
        <w:rPr>
          <w:rFonts w:hint="default" w:ascii="Times New Roman" w:hAnsi="Times New Roman" w:cs="Times New Roman"/>
          <w:color w:val="auto"/>
          <w:sz w:val="24"/>
          <w:highlight w:val="none"/>
        </w:rPr>
        <w:t xml:space="preserve">   厂房产权证</w:t>
      </w:r>
    </w:p>
    <w:p w14:paraId="6A5DED71">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w:t>
      </w:r>
      <w:r>
        <w:rPr>
          <w:rFonts w:hint="eastAsia" w:cs="Times New Roman"/>
          <w:color w:val="auto"/>
          <w:sz w:val="24"/>
          <w:highlight w:val="none"/>
          <w:lang w:val="en-US" w:eastAsia="zh-CN"/>
        </w:rPr>
        <w:t>8</w:t>
      </w:r>
      <w:r>
        <w:rPr>
          <w:rFonts w:hint="default" w:ascii="Times New Roman" w:hAnsi="Times New Roman" w:cs="Times New Roman"/>
          <w:color w:val="auto"/>
          <w:sz w:val="24"/>
          <w:highlight w:val="none"/>
        </w:rPr>
        <w:t xml:space="preserve">   厂房租赁协议</w:t>
      </w:r>
    </w:p>
    <w:p w14:paraId="7A895FF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w:t>
      </w:r>
      <w:r>
        <w:rPr>
          <w:rFonts w:hint="eastAsia" w:cs="Times New Roman"/>
          <w:color w:val="auto"/>
          <w:sz w:val="24"/>
          <w:highlight w:val="none"/>
          <w:lang w:val="en-US" w:eastAsia="zh-CN"/>
        </w:rPr>
        <w:t>9</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迁建前</w:t>
      </w:r>
      <w:r>
        <w:rPr>
          <w:rFonts w:hint="default" w:ascii="Times New Roman" w:hAnsi="Times New Roman" w:cs="Times New Roman"/>
          <w:color w:val="auto"/>
          <w:sz w:val="24"/>
          <w:highlight w:val="none"/>
        </w:rPr>
        <w:t>现有项目批复</w:t>
      </w:r>
    </w:p>
    <w:p w14:paraId="2892D97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w:t>
      </w:r>
      <w:r>
        <w:rPr>
          <w:rFonts w:hint="eastAsia" w:cs="Times New Roman"/>
          <w:color w:val="auto"/>
          <w:sz w:val="24"/>
          <w:highlight w:val="none"/>
          <w:lang w:val="en-US" w:eastAsia="zh-CN"/>
        </w:rPr>
        <w:t>10</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迁建前</w:t>
      </w:r>
      <w:r>
        <w:rPr>
          <w:rFonts w:hint="default" w:ascii="Times New Roman" w:hAnsi="Times New Roman" w:cs="Times New Roman"/>
          <w:color w:val="auto"/>
          <w:sz w:val="24"/>
          <w:highlight w:val="none"/>
        </w:rPr>
        <w:t>现有项目验收意见</w:t>
      </w:r>
    </w:p>
    <w:p w14:paraId="62D8BE46">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附件1</w:t>
      </w:r>
      <w:r>
        <w:rPr>
          <w:rFonts w:hint="eastAsia" w:cs="Times New Roman"/>
          <w:color w:val="auto"/>
          <w:sz w:val="24"/>
          <w:highlight w:val="none"/>
          <w:lang w:val="en-US" w:eastAsia="zh-CN"/>
        </w:rPr>
        <w:t>1</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 xml:space="preserve"> </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迁建前</w:t>
      </w:r>
      <w:r>
        <w:rPr>
          <w:rFonts w:hint="default" w:ascii="Times New Roman" w:hAnsi="Times New Roman" w:cs="Times New Roman"/>
          <w:color w:val="auto"/>
          <w:sz w:val="24"/>
          <w:highlight w:val="none"/>
        </w:rPr>
        <w:t>现有项目</w:t>
      </w:r>
      <w:r>
        <w:rPr>
          <w:rFonts w:hint="eastAsia" w:cs="Times New Roman"/>
          <w:color w:val="auto"/>
          <w:sz w:val="24"/>
          <w:highlight w:val="none"/>
          <w:lang w:val="en-US" w:eastAsia="zh-CN"/>
        </w:rPr>
        <w:t>年度检测报告</w:t>
      </w:r>
    </w:p>
    <w:p w14:paraId="02D64D69">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附件1</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 xml:space="preserve"> 迁建前</w:t>
      </w:r>
      <w:r>
        <w:rPr>
          <w:rFonts w:hint="default" w:ascii="Times New Roman" w:hAnsi="Times New Roman" w:cs="Times New Roman"/>
          <w:color w:val="auto"/>
          <w:sz w:val="24"/>
          <w:highlight w:val="none"/>
        </w:rPr>
        <w:t>现有项目排污许可证登记回执、登记表</w:t>
      </w:r>
    </w:p>
    <w:p w14:paraId="1B391206">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附件1</w:t>
      </w:r>
      <w:r>
        <w:rPr>
          <w:rFonts w:hint="eastAsia" w:cs="Times New Roman"/>
          <w:color w:val="auto"/>
          <w:sz w:val="24"/>
          <w:highlight w:val="none"/>
          <w:lang w:val="en-US" w:eastAsia="zh-CN"/>
        </w:rPr>
        <w:t>3</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 xml:space="preserve"> </w:t>
      </w:r>
      <w:r>
        <w:rPr>
          <w:rFonts w:hint="default" w:ascii="Times New Roman" w:hAnsi="Times New Roman" w:cs="Times New Roman"/>
          <w:color w:val="auto"/>
          <w:sz w:val="24"/>
          <w:highlight w:val="none"/>
        </w:rPr>
        <w:t>（省厅）安徽省生态环境厅关于印送《安徽新芜经济开发区扩区总体发展规划（2023-2035年）环境影响报告书审查意见》的函 皖环函 [2024] 870 号</w:t>
      </w:r>
    </w:p>
    <w:p w14:paraId="7BF031CB">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附件1</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水性光亮剂MSDS</w:t>
      </w:r>
    </w:p>
    <w:p w14:paraId="6325BDD0">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附件1</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硅烷处理剂MSDS</w:t>
      </w:r>
    </w:p>
    <w:p w14:paraId="037E9B17">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附件1</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脱脂剂MSDS</w:t>
      </w:r>
    </w:p>
    <w:p w14:paraId="48DF3B4B">
      <w:pPr>
        <w:widowControl/>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附件1</w:t>
      </w:r>
      <w:r>
        <w:rPr>
          <w:rFonts w:hint="eastAsia" w:cs="Times New Roman"/>
          <w:color w:val="auto"/>
          <w:sz w:val="24"/>
          <w:highlight w:val="none"/>
          <w:lang w:val="en-US" w:eastAsia="zh-CN"/>
        </w:rPr>
        <w:t>7</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塑粉MSDS</w:t>
      </w:r>
    </w:p>
    <w:p w14:paraId="76FAA500">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附件1</w:t>
      </w:r>
      <w:r>
        <w:rPr>
          <w:rFonts w:hint="eastAsia"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color w:val="auto"/>
          <w:sz w:val="24"/>
          <w:highlight w:val="none"/>
          <w:lang w:val="en-US" w:eastAsia="zh-CN"/>
        </w:rPr>
        <w:t>水性底漆</w:t>
      </w:r>
      <w:r>
        <w:rPr>
          <w:rFonts w:hint="default" w:ascii="Times New Roman" w:hAnsi="Times New Roman" w:eastAsia="宋体" w:cs="Times New Roman"/>
          <w:color w:val="auto"/>
          <w:sz w:val="24"/>
          <w:highlight w:val="none"/>
          <w:lang w:val="en-US" w:eastAsia="zh-CN"/>
        </w:rPr>
        <w:t>MSDS</w:t>
      </w:r>
    </w:p>
    <w:p w14:paraId="46FD38D4">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附件</w:t>
      </w:r>
      <w:r>
        <w:rPr>
          <w:rFonts w:hint="eastAsia" w:ascii="Times New Roman" w:hAnsi="Times New Roman" w:eastAsia="宋体" w:cs="Times New Roman"/>
          <w:color w:val="auto"/>
          <w:sz w:val="24"/>
          <w:highlight w:val="none"/>
          <w:lang w:val="en-US" w:eastAsia="zh-CN"/>
        </w:rPr>
        <w:t>19</w:t>
      </w:r>
      <w:r>
        <w:rPr>
          <w:rFonts w:hint="default" w:ascii="Times New Roman" w:hAnsi="Times New Roman" w:eastAsia="宋体" w:cs="Times New Roman"/>
          <w:color w:val="auto"/>
          <w:sz w:val="24"/>
          <w:highlight w:val="none"/>
          <w:lang w:val="en-US" w:eastAsia="zh-CN"/>
        </w:rPr>
        <w:t xml:space="preserve">  TSP引用检测数据</w:t>
      </w:r>
    </w:p>
    <w:p w14:paraId="1CD28994">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附件</w:t>
      </w:r>
      <w:r>
        <w:rPr>
          <w:rFonts w:hint="eastAsia" w:ascii="Times New Roman" w:hAnsi="Times New Roman" w:eastAsia="宋体" w:cs="Times New Roman"/>
          <w:color w:val="auto"/>
          <w:sz w:val="24"/>
          <w:highlight w:val="none"/>
          <w:lang w:val="en-US" w:eastAsia="zh-CN"/>
        </w:rPr>
        <w:t>20</w:t>
      </w:r>
      <w:r>
        <w:rPr>
          <w:rFonts w:hint="default"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color w:val="auto"/>
          <w:sz w:val="24"/>
          <w:highlight w:val="none"/>
          <w:lang w:val="en-US" w:eastAsia="zh-CN"/>
        </w:rPr>
        <w:t>50m范围内敏感点噪声检测报告</w:t>
      </w:r>
    </w:p>
    <w:p w14:paraId="352202A9">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附件2</w:t>
      </w:r>
      <w:r>
        <w:rPr>
          <w:rFonts w:hint="eastAsia"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val="en-US" w:eastAsia="zh-CN"/>
        </w:rPr>
        <w:t xml:space="preserve">  全本公示</w:t>
      </w:r>
    </w:p>
    <w:p w14:paraId="26CB6BA0">
      <w:pPr>
        <w:widowControl/>
        <w:spacing w:line="360" w:lineRule="auto"/>
        <w:ind w:firstLine="480" w:firstLineChars="200"/>
        <w:jc w:val="left"/>
        <w:rPr>
          <w:rFonts w:hint="default" w:ascii="Times New Roman" w:hAnsi="Times New Roman" w:cs="Times New Roman"/>
          <w:color w:val="auto"/>
          <w:sz w:val="24"/>
          <w:highlight w:val="none"/>
        </w:rPr>
      </w:pPr>
    </w:p>
    <w:p w14:paraId="533CF8AB">
      <w:pPr>
        <w:widowControl/>
        <w:spacing w:line="360" w:lineRule="auto"/>
        <w:ind w:firstLine="482" w:firstLineChars="200"/>
        <w:jc w:val="left"/>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附图：</w:t>
      </w:r>
    </w:p>
    <w:p w14:paraId="039A60B8">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附图1   项目地理位置图</w:t>
      </w:r>
    </w:p>
    <w:p w14:paraId="2E3E907B">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附图2   项目周边500米概况图</w:t>
      </w:r>
    </w:p>
    <w:p w14:paraId="236CC4F9">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附图3   项目生产车间平面布置图</w:t>
      </w:r>
    </w:p>
    <w:p w14:paraId="51D7C90C">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rPr>
        <w:t xml:space="preserve">   本项目生产车间分区防渗图</w:t>
      </w:r>
    </w:p>
    <w:p w14:paraId="491A219A">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 xml:space="preserve">   芜湖市生态保护红线位置关系图（本项目不在红线范围内）</w:t>
      </w:r>
    </w:p>
    <w:p w14:paraId="703D879B">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 xml:space="preserve">   新芜开发区扩区与三区三线位置关系图</w:t>
      </w:r>
    </w:p>
    <w:p w14:paraId="28C8F989">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w:t>
      </w:r>
      <w:r>
        <w:rPr>
          <w:rFonts w:hint="eastAsia" w:cs="Times New Roman"/>
          <w:color w:val="auto"/>
          <w:sz w:val="24"/>
          <w:highlight w:val="none"/>
          <w:lang w:val="en-US" w:eastAsia="zh-CN"/>
        </w:rPr>
        <w:t>7</w:t>
      </w:r>
      <w:r>
        <w:rPr>
          <w:rFonts w:hint="default" w:ascii="Times New Roman" w:hAnsi="Times New Roman" w:cs="Times New Roman"/>
          <w:color w:val="auto"/>
          <w:sz w:val="24"/>
          <w:highlight w:val="none"/>
        </w:rPr>
        <w:t xml:space="preserve">   安徽新芜经济开发区扩区总体规划图</w:t>
      </w:r>
    </w:p>
    <w:p w14:paraId="0A783A2C">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w:t>
      </w:r>
      <w:r>
        <w:rPr>
          <w:rFonts w:hint="eastAsia" w:cs="Times New Roman"/>
          <w:color w:val="auto"/>
          <w:sz w:val="24"/>
          <w:highlight w:val="none"/>
          <w:lang w:val="en-US" w:eastAsia="zh-CN"/>
        </w:rPr>
        <w:t>8</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 xml:space="preserve"> </w:t>
      </w:r>
      <w:r>
        <w:rPr>
          <w:rFonts w:hint="default" w:ascii="Times New Roman" w:hAnsi="Times New Roman" w:cs="Times New Roman"/>
          <w:color w:val="auto"/>
          <w:sz w:val="24"/>
          <w:highlight w:val="none"/>
        </w:rPr>
        <w:t>项目水环境分区管控图</w:t>
      </w:r>
    </w:p>
    <w:p w14:paraId="4F21C1D5">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w:t>
      </w:r>
      <w:r>
        <w:rPr>
          <w:rFonts w:hint="eastAsia" w:cs="Times New Roman"/>
          <w:color w:val="auto"/>
          <w:sz w:val="24"/>
          <w:highlight w:val="none"/>
          <w:lang w:val="en-US" w:eastAsia="zh-CN"/>
        </w:rPr>
        <w:t>9</w:t>
      </w:r>
      <w:r>
        <w:rPr>
          <w:rFonts w:hint="default" w:ascii="Times New Roman" w:hAnsi="Times New Roman" w:cs="Times New Roman"/>
          <w:color w:val="auto"/>
          <w:sz w:val="24"/>
          <w:highlight w:val="none"/>
        </w:rPr>
        <w:t xml:space="preserve">  </w:t>
      </w:r>
      <w:r>
        <w:rPr>
          <w:rFonts w:hint="eastAsia" w:cs="Times New Roman"/>
          <w:color w:val="auto"/>
          <w:sz w:val="24"/>
          <w:highlight w:val="none"/>
          <w:lang w:val="en-US" w:eastAsia="zh-CN"/>
        </w:rPr>
        <w:t xml:space="preserve"> </w:t>
      </w:r>
      <w:r>
        <w:rPr>
          <w:rFonts w:hint="default" w:ascii="Times New Roman" w:hAnsi="Times New Roman" w:cs="Times New Roman"/>
          <w:color w:val="auto"/>
          <w:sz w:val="24"/>
          <w:highlight w:val="none"/>
        </w:rPr>
        <w:t>项目大气环境分区管控图</w:t>
      </w:r>
    </w:p>
    <w:p w14:paraId="3BBC719A">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附图1</w:t>
      </w:r>
      <w:r>
        <w:rPr>
          <w:rFonts w:hint="eastAsia" w:cs="Times New Roman"/>
          <w:color w:val="auto"/>
          <w:sz w:val="24"/>
          <w:highlight w:val="none"/>
          <w:lang w:val="en-US" w:eastAsia="zh-CN"/>
        </w:rPr>
        <w:t>0</w:t>
      </w:r>
      <w:r>
        <w:rPr>
          <w:rFonts w:hint="default" w:ascii="Times New Roman" w:hAnsi="Times New Roman" w:cs="Times New Roman"/>
          <w:color w:val="auto"/>
          <w:sz w:val="24"/>
          <w:highlight w:val="none"/>
        </w:rPr>
        <w:t xml:space="preserve">  项目土壤环境风险分区管控图</w:t>
      </w:r>
    </w:p>
    <w:p w14:paraId="39737404">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附图1</w:t>
      </w:r>
      <w:r>
        <w:rPr>
          <w:rFonts w:hint="eastAsia" w:cs="Times New Roman"/>
          <w:color w:val="auto"/>
          <w:sz w:val="24"/>
          <w:highlight w:val="none"/>
          <w:lang w:val="en-US" w:eastAsia="zh-CN"/>
        </w:rPr>
        <w:t>1</w:t>
      </w:r>
      <w:r>
        <w:rPr>
          <w:rFonts w:hint="default" w:ascii="Times New Roman" w:hAnsi="Times New Roman" w:cs="Times New Roman"/>
          <w:color w:val="auto"/>
          <w:sz w:val="24"/>
          <w:highlight w:val="none"/>
        </w:rPr>
        <w:t xml:space="preserve">  项目土地资源分区管控图</w:t>
      </w:r>
    </w:p>
    <w:p w14:paraId="71C7AD28">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附图1</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rPr>
        <w:t xml:space="preserve">  项目生态环境管控单元图</w:t>
      </w:r>
    </w:p>
    <w:p w14:paraId="59B0131A">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附图1</w:t>
      </w:r>
      <w:r>
        <w:rPr>
          <w:rFonts w:hint="eastAsia" w:cs="Times New Roman"/>
          <w:color w:val="auto"/>
          <w:sz w:val="24"/>
          <w:highlight w:val="none"/>
          <w:lang w:val="en-US" w:eastAsia="zh-CN"/>
        </w:rPr>
        <w:t>3</w:t>
      </w:r>
      <w:r>
        <w:rPr>
          <w:rFonts w:hint="default" w:ascii="Times New Roman" w:hAnsi="Times New Roman" w:cs="Times New Roman"/>
          <w:color w:val="auto"/>
          <w:sz w:val="24"/>
          <w:highlight w:val="none"/>
        </w:rPr>
        <w:t xml:space="preserve">  湾沚区城区声环境功能图</w:t>
      </w:r>
    </w:p>
    <w:p w14:paraId="566EEA0B">
      <w:pPr>
        <w:widowControl/>
        <w:adjustRightInd w:val="0"/>
        <w:snapToGrid w:val="0"/>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附图1</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rPr>
        <w:t xml:space="preserve">  湾沚污水处理厂规划收水范围示意图</w:t>
      </w:r>
    </w:p>
    <w:p w14:paraId="5C66F191">
      <w:pPr>
        <w:widowControl/>
        <w:adjustRightInd w:val="0"/>
        <w:snapToGrid w:val="0"/>
        <w:jc w:val="center"/>
        <w:textAlignment w:val="baseline"/>
        <w:rPr>
          <w:rFonts w:hint="default" w:ascii="Times New Roman" w:hAnsi="Times New Roman" w:cs="Times New Roman"/>
          <w:b/>
          <w:color w:val="auto"/>
          <w:kern w:val="0"/>
          <w:sz w:val="24"/>
          <w:highlight w:val="none"/>
        </w:rPr>
      </w:pPr>
    </w:p>
    <w:sectPr>
      <w:footerReference r:id="rId8" w:type="default"/>
      <w:pgSz w:w="11905" w:h="16838"/>
      <w:pgMar w:top="1701" w:right="1531" w:bottom="2126" w:left="1531" w:header="851" w:footer="850" w:gutter="0"/>
      <w:pgBorders>
        <w:top w:val="none" w:sz="0" w:space="0"/>
        <w:left w:val="none" w:sz="0" w:space="0"/>
        <w:bottom w:val="none" w:sz="0" w:space="0"/>
        <w:right w:val="none" w:sz="0" w:space="0"/>
      </w:pgBorders>
      <w:cols w:space="0" w:num="1"/>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王俊" w:date="2025-11-24T16:30:49Z" w:initials="">
    <w:p w14:paraId="386F58DD">
      <w:pPr>
        <w:pStyle w:val="23"/>
        <w:ind w:firstLine="420"/>
      </w:pPr>
      <w:r>
        <w:rPr>
          <w:rFonts w:hint="eastAsia"/>
          <w:bCs/>
        </w:rPr>
        <w:t>与图1</w:t>
      </w:r>
      <w:r>
        <w:rPr>
          <w:bCs/>
        </w:rPr>
        <w:t>-1</w:t>
      </w:r>
      <w:r>
        <w:rPr>
          <w:rFonts w:hint="eastAsia"/>
          <w:bCs/>
        </w:rPr>
        <w:t>中的经纬度坐标不一致，核实！</w:t>
      </w:r>
      <w:r>
        <w:rPr>
          <w:rFonts w:hint="eastAsia"/>
          <w:bCs/>
          <w:color w:val="FF0000"/>
          <w:lang w:eastAsia="zh-CN"/>
        </w:rPr>
        <w:t>（</w:t>
      </w:r>
      <w:r>
        <w:rPr>
          <w:rFonts w:hint="eastAsia"/>
          <w:bCs/>
          <w:color w:val="FF0000"/>
          <w:lang w:val="en-US" w:eastAsia="zh-CN"/>
        </w:rPr>
        <w:t>已核实）</w:t>
      </w:r>
    </w:p>
  </w:comment>
  <w:comment w:id="1" w:author="王俊" w:date="2025-11-21T13:15:28Z" w:initials="">
    <w:p w14:paraId="1CA7794C">
      <w:pPr>
        <w:pStyle w:val="23"/>
        <w:ind w:firstLine="420"/>
      </w:pPr>
      <w:r>
        <w:rPr>
          <w:rFonts w:hint="eastAsia"/>
        </w:rPr>
        <w:t>与备案对不上，核实！</w:t>
      </w:r>
      <w:r>
        <w:rPr>
          <w:rFonts w:hint="eastAsia"/>
          <w:bCs/>
          <w:color w:val="FF0000"/>
          <w:lang w:eastAsia="zh-CN"/>
        </w:rPr>
        <w:t>（</w:t>
      </w:r>
      <w:r>
        <w:rPr>
          <w:rFonts w:hint="eastAsia"/>
          <w:bCs/>
          <w:color w:val="FF0000"/>
          <w:lang w:val="en-US" w:eastAsia="zh-CN"/>
        </w:rPr>
        <w:t>已核实）</w:t>
      </w:r>
    </w:p>
  </w:comment>
  <w:comment w:id="2" w:author="王俊" w:date="2025-11-21T13:15:47Z" w:initials="">
    <w:p w14:paraId="02FE7DBA">
      <w:pPr>
        <w:pStyle w:val="23"/>
        <w:ind w:firstLine="420"/>
      </w:pPr>
      <w:r>
        <w:rPr>
          <w:rFonts w:hint="eastAsia"/>
        </w:rPr>
        <w:t>此审查意见做附件。</w:t>
      </w:r>
      <w:r>
        <w:rPr>
          <w:rFonts w:hint="eastAsia"/>
          <w:color w:val="FF0000"/>
          <w:lang w:eastAsia="zh-CN"/>
        </w:rPr>
        <w:t>（</w:t>
      </w:r>
      <w:r>
        <w:rPr>
          <w:rFonts w:hint="eastAsia"/>
          <w:color w:val="FF0000"/>
          <w:lang w:val="en-US" w:eastAsia="zh-CN"/>
        </w:rPr>
        <w:t>已补充）</w:t>
      </w:r>
    </w:p>
  </w:comment>
  <w:comment w:id="3" w:author="王俊" w:date="2025-11-21T13:16:34Z" w:initials="">
    <w:p w14:paraId="20BB577F">
      <w:pPr>
        <w:pStyle w:val="23"/>
        <w:ind w:firstLine="420"/>
      </w:pPr>
      <w:r>
        <w:rPr>
          <w:rFonts w:hint="eastAsia" w:eastAsiaTheme="minorEastAsia"/>
          <w:lang w:val="en-US" w:eastAsia="zh-CN"/>
        </w:rPr>
        <w:t>光电设备配件</w:t>
      </w:r>
      <w:r>
        <w:rPr>
          <w:rFonts w:hint="eastAsia" w:eastAsiaTheme="minorEastAsia"/>
        </w:rPr>
        <w:t>此产品方案应该不能纳入“汽车零部件及高端装备制造中，前后文相关产品方案不一致，补充说明清楚。</w:t>
      </w:r>
    </w:p>
    <w:p w14:paraId="016DA54D">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年产汽车零部件750万件）</w:t>
      </w:r>
    </w:p>
  </w:comment>
  <w:comment w:id="4" w:author="王俊" w:date="2025-11-21T13:17:14Z" w:initials="">
    <w:p w14:paraId="14AA5568">
      <w:pPr>
        <w:pStyle w:val="23"/>
        <w:rPr>
          <w:rFonts w:hint="default" w:eastAsia="宋体"/>
          <w:lang w:val="en-US" w:eastAsia="zh-CN"/>
        </w:rPr>
      </w:pPr>
      <w:r>
        <w:rPr>
          <w:rFonts w:hint="eastAsia"/>
        </w:rPr>
        <w:t>属于鼓励类呀！C</w:t>
      </w:r>
      <w:r>
        <w:t>3311</w:t>
      </w:r>
      <w:r>
        <w:rPr>
          <w:rFonts w:hint="eastAsia"/>
        </w:rPr>
        <w:t>在允许类里，是否涉及别的产品方案及别的所属行业，根据备案情况，建议说明清楚</w:t>
      </w:r>
      <w:r>
        <w:rPr>
          <w:rFonts w:hint="eastAsia"/>
          <w:color w:val="FF0000"/>
          <w:lang w:eastAsia="zh-CN"/>
        </w:rPr>
        <w:t>（</w:t>
      </w:r>
      <w:r>
        <w:rPr>
          <w:rFonts w:hint="eastAsia"/>
          <w:color w:val="FF0000"/>
          <w:lang w:val="en-US" w:eastAsia="zh-CN"/>
        </w:rPr>
        <w:t>已修改）</w:t>
      </w:r>
    </w:p>
  </w:comment>
  <w:comment w:id="5" w:author="王俊" w:date="2025-11-24T16:32:05Z" w:initials="">
    <w:p w14:paraId="38EB2D54">
      <w:pPr>
        <w:pStyle w:val="23"/>
        <w:ind w:firstLine="420"/>
        <w:rPr>
          <w:rFonts w:hint="default" w:eastAsia="宋体"/>
          <w:color w:val="FF0000"/>
          <w:lang w:val="en-US" w:eastAsia="zh-CN"/>
        </w:rPr>
      </w:pPr>
      <w:r>
        <w:rPr>
          <w:rFonts w:hint="eastAsia"/>
        </w:rPr>
        <w:t>现在最新版是2</w:t>
      </w:r>
      <w:r>
        <w:t>025</w:t>
      </w:r>
      <w:r>
        <w:rPr>
          <w:rFonts w:hint="eastAsia"/>
        </w:rPr>
        <w:t>版。看写老版还是新版？</w:t>
      </w:r>
      <w:r>
        <w:rPr>
          <w:rFonts w:hint="eastAsia"/>
          <w:color w:val="FF0000"/>
          <w:lang w:eastAsia="zh-CN"/>
        </w:rPr>
        <w:t>（</w:t>
      </w:r>
      <w:r>
        <w:rPr>
          <w:rFonts w:hint="eastAsia"/>
          <w:color w:val="FF0000"/>
          <w:lang w:val="en-US" w:eastAsia="zh-CN"/>
        </w:rPr>
        <w:t>已修改）</w:t>
      </w:r>
    </w:p>
  </w:comment>
  <w:comment w:id="6" w:author="王俊" w:date="2025-11-24T16:32:18Z" w:initials="">
    <w:p w14:paraId="3C0B053C">
      <w:pPr>
        <w:pStyle w:val="23"/>
        <w:rPr>
          <w:rFonts w:hint="default" w:eastAsia="宋体"/>
          <w:i w:val="0"/>
          <w:iCs w:val="0"/>
          <w:color w:val="FF0000"/>
          <w:lang w:val="en-US" w:eastAsia="zh-CN"/>
        </w:rPr>
      </w:pPr>
      <w:r>
        <w:rPr>
          <w:rFonts w:hint="eastAsia"/>
          <w:i w:val="0"/>
          <w:iCs w:val="0"/>
          <w:lang w:val="en-US" w:eastAsia="zh-CN"/>
        </w:rPr>
        <w:t>同上</w:t>
      </w:r>
      <w:r>
        <w:rPr>
          <w:rFonts w:hint="eastAsia"/>
          <w:i w:val="0"/>
          <w:iCs w:val="0"/>
          <w:color w:val="FF0000"/>
          <w:lang w:val="en-US" w:eastAsia="zh-CN"/>
        </w:rPr>
        <w:t>（没有找到发布的</w:t>
      </w:r>
      <w:r>
        <w:rPr>
          <w:rFonts w:hint="default" w:ascii="Times New Roman" w:hAnsi="Times New Roman" w:cs="Times New Roman"/>
          <w:color w:val="FF0000"/>
          <w:szCs w:val="21"/>
          <w:highlight w:val="none"/>
        </w:rPr>
        <w:t>长江经济带发展</w:t>
      </w:r>
      <w:r>
        <w:rPr>
          <w:rFonts w:hint="default" w:ascii="Times New Roman" w:hAnsi="Times New Roman" w:eastAsia="宋体" w:cs="Times New Roman"/>
          <w:color w:val="FF0000"/>
          <w:szCs w:val="21"/>
          <w:highlight w:val="none"/>
        </w:rPr>
        <w:t>负面清单指南</w:t>
      </w:r>
      <w:r>
        <w:rPr>
          <w:rFonts w:hint="eastAsia" w:ascii="Times New Roman" w:hAnsi="Times New Roman" w:eastAsia="宋体" w:cs="Times New Roman"/>
          <w:color w:val="FF0000"/>
          <w:szCs w:val="21"/>
          <w:highlight w:val="none"/>
          <w:lang w:val="en-US" w:eastAsia="zh-CN"/>
        </w:rPr>
        <w:t>2025版）</w:t>
      </w:r>
    </w:p>
  </w:comment>
  <w:comment w:id="7" w:author="王俊" w:date="2025-11-24T16:57:03Z" w:initials="">
    <w:p w14:paraId="45633147">
      <w:pPr>
        <w:pStyle w:val="23"/>
        <w:ind w:firstLine="420"/>
      </w:pPr>
      <w:r>
        <w:rPr>
          <w:rFonts w:hint="eastAsia"/>
        </w:rPr>
        <w:t>附图中未标识出距离。</w:t>
      </w:r>
      <w:r>
        <w:rPr>
          <w:rFonts w:hint="eastAsia"/>
          <w:color w:val="FF0000"/>
          <w:lang w:eastAsia="zh-CN"/>
        </w:rPr>
        <w:t>（</w:t>
      </w:r>
      <w:r>
        <w:rPr>
          <w:rFonts w:hint="eastAsia"/>
          <w:color w:val="FF0000"/>
          <w:lang w:val="en-US" w:eastAsia="zh-CN"/>
        </w:rPr>
        <w:t>已补充）</w:t>
      </w:r>
    </w:p>
  </w:comment>
  <w:comment w:id="8" w:author="王俊" w:date="2025-11-24T16:33:17Z" w:initials="">
    <w:p w14:paraId="7F2CED0C">
      <w:pPr>
        <w:pStyle w:val="23"/>
        <w:rPr>
          <w:rFonts w:hint="default" w:eastAsiaTheme="minorEastAsia"/>
          <w:lang w:val="en-US" w:eastAsia="zh-CN"/>
        </w:rPr>
      </w:pPr>
      <w:r>
        <w:rPr>
          <w:rFonts w:hint="eastAsia" w:asciiTheme="minorEastAsia" w:hAnsiTheme="minorEastAsia" w:eastAsiaTheme="minorEastAsia"/>
          <w:b w:val="0"/>
          <w:color w:val="333333"/>
          <w:sz w:val="45"/>
          <w:szCs w:val="45"/>
        </w:rPr>
        <w:t>建议更新为：芜湖市2024-2025年大气污染防治重点任务攻坚工作方案</w:t>
      </w:r>
      <w:r>
        <w:rPr>
          <w:rFonts w:hint="eastAsia" w:asciiTheme="minorEastAsia" w:hAnsiTheme="minorEastAsia" w:eastAsiaTheme="minorEastAsia"/>
          <w:b w:val="0"/>
          <w:color w:val="FF0000"/>
          <w:sz w:val="45"/>
          <w:szCs w:val="45"/>
          <w:lang w:eastAsia="zh-CN"/>
        </w:rPr>
        <w:t>（</w:t>
      </w:r>
      <w:r>
        <w:rPr>
          <w:rFonts w:hint="eastAsia" w:asciiTheme="minorEastAsia" w:hAnsiTheme="minorEastAsia" w:eastAsiaTheme="minorEastAsia"/>
          <w:b w:val="0"/>
          <w:color w:val="FF0000"/>
          <w:sz w:val="45"/>
          <w:szCs w:val="45"/>
          <w:lang w:val="en-US" w:eastAsia="zh-CN"/>
        </w:rPr>
        <w:t>已补充在下方）</w:t>
      </w:r>
    </w:p>
  </w:comment>
  <w:comment w:id="9" w:author="王俊" w:date="2025-11-24T16:57:53Z" w:initials="">
    <w:p w14:paraId="46326C2C">
      <w:pPr>
        <w:pStyle w:val="23"/>
        <w:ind w:firstLine="420"/>
      </w:pPr>
      <w:r>
        <w:rPr>
          <w:rFonts w:hint="eastAsia"/>
        </w:rPr>
        <w:t>补充</w:t>
      </w:r>
      <w:r>
        <w:rPr>
          <w:rFonts w:hint="eastAsia"/>
          <w:bCs/>
          <w:sz w:val="28"/>
          <w:szCs w:val="28"/>
        </w:rPr>
        <w:t>安徽省人民政府关于印发安徽省空气质量持续改善行动方案的通知。</w:t>
      </w:r>
      <w:r>
        <w:rPr>
          <w:rFonts w:hint="eastAsia"/>
          <w:bCs/>
          <w:color w:val="FF0000"/>
          <w:sz w:val="28"/>
          <w:szCs w:val="28"/>
          <w:lang w:eastAsia="zh-CN"/>
        </w:rPr>
        <w:t>（</w:t>
      </w:r>
      <w:r>
        <w:rPr>
          <w:rFonts w:hint="eastAsia"/>
          <w:bCs/>
          <w:color w:val="FF0000"/>
          <w:sz w:val="28"/>
          <w:szCs w:val="28"/>
          <w:lang w:val="en-US" w:eastAsia="zh-CN"/>
        </w:rPr>
        <w:t>已补充）</w:t>
      </w:r>
    </w:p>
  </w:comment>
  <w:comment w:id="10" w:author="王俊" w:date="2025-11-24T16:58:35Z" w:initials="">
    <w:p w14:paraId="27F52A0D">
      <w:pPr>
        <w:pStyle w:val="23"/>
        <w:rPr>
          <w:rFonts w:hint="default" w:eastAsia="宋体"/>
          <w:color w:val="FF0000"/>
          <w:lang w:val="en-US" w:eastAsia="zh-CN"/>
        </w:rPr>
      </w:pPr>
      <w:r>
        <w:rPr>
          <w:rFonts w:hint="eastAsia"/>
        </w:rPr>
        <w:t>做附件</w:t>
      </w:r>
      <w:r>
        <w:rPr>
          <w:rFonts w:hint="eastAsia"/>
          <w:color w:val="FF0000"/>
          <w:lang w:eastAsia="zh-CN"/>
        </w:rPr>
        <w:t>（</w:t>
      </w:r>
      <w:r>
        <w:rPr>
          <w:rFonts w:hint="eastAsia"/>
          <w:color w:val="FF0000"/>
          <w:lang w:val="en-US" w:eastAsia="zh-CN"/>
        </w:rPr>
        <w:t>已补充）</w:t>
      </w:r>
    </w:p>
  </w:comment>
  <w:comment w:id="11" w:author="王俊" w:date="2025-11-24T16:58:48Z" w:initials="">
    <w:p w14:paraId="169585D2">
      <w:pPr>
        <w:pStyle w:val="23"/>
        <w:rPr>
          <w:rFonts w:hint="default" w:eastAsia="宋体"/>
          <w:color w:val="FF0000"/>
          <w:lang w:val="en-US" w:eastAsia="zh-CN"/>
        </w:rPr>
      </w:pPr>
      <w:r>
        <w:rPr>
          <w:rFonts w:hint="eastAsia"/>
        </w:rPr>
        <w:t>是属于搬迁项目还是新建项目？建议说清楚</w:t>
      </w:r>
      <w:r>
        <w:rPr>
          <w:rFonts w:hint="eastAsia"/>
          <w:color w:val="FF0000"/>
          <w:lang w:eastAsia="zh-CN"/>
        </w:rPr>
        <w:t>（</w:t>
      </w:r>
      <w:r>
        <w:rPr>
          <w:rFonts w:hint="eastAsia"/>
          <w:color w:val="FF0000"/>
          <w:lang w:val="en-US" w:eastAsia="zh-CN"/>
        </w:rPr>
        <w:t>已补充说明）</w:t>
      </w:r>
    </w:p>
  </w:comment>
  <w:comment w:id="12" w:author="王俊" w:date="2025-11-24T16:59:56Z" w:initials="">
    <w:p w14:paraId="0F1F7E36">
      <w:pPr>
        <w:pStyle w:val="23"/>
        <w:rPr>
          <w:rFonts w:hint="default" w:eastAsia="宋体"/>
          <w:lang w:val="en-US" w:eastAsia="zh-CN"/>
        </w:rPr>
      </w:pPr>
      <w:r>
        <w:rPr>
          <w:rFonts w:hint="eastAsia"/>
        </w:rPr>
        <w:t>建议增加一列备注，明确是新建，还是依托租赁园区的</w:t>
      </w:r>
      <w:r>
        <w:rPr>
          <w:rFonts w:hint="eastAsia"/>
          <w:color w:val="FF0000"/>
          <w:lang w:eastAsia="zh-CN"/>
        </w:rPr>
        <w:t>（</w:t>
      </w:r>
      <w:r>
        <w:rPr>
          <w:rFonts w:hint="eastAsia"/>
          <w:color w:val="FF0000"/>
          <w:lang w:val="en-US" w:eastAsia="zh-CN"/>
        </w:rPr>
        <w:t>已补充）</w:t>
      </w:r>
    </w:p>
  </w:comment>
  <w:comment w:id="13" w:author="王俊" w:date="2025-11-24T17:00:30Z" w:initials="">
    <w:p w14:paraId="22E99B25">
      <w:pPr>
        <w:pStyle w:val="23"/>
        <w:ind w:firstLine="420"/>
      </w:pPr>
      <w:r>
        <w:rPr>
          <w:rFonts w:hint="eastAsia"/>
        </w:rPr>
        <w:t>都是涉及废水产污环节的，未在水平衡图中体现。</w:t>
      </w:r>
    </w:p>
    <w:p w14:paraId="1244D381">
      <w:pPr>
        <w:pStyle w:val="23"/>
        <w:ind w:firstLine="420"/>
        <w:rPr>
          <w:rFonts w:hint="eastAsia"/>
        </w:rPr>
      </w:pPr>
      <w:r>
        <w:rPr>
          <w:rFonts w:hint="eastAsia"/>
          <w:sz w:val="21"/>
          <w:szCs w:val="21"/>
        </w:rPr>
        <w:t>脱脂、水洗、硅烷化等前处理工序——先出工艺水平衡图，再出全厂水平衡图。</w:t>
      </w:r>
    </w:p>
    <w:p w14:paraId="4E366736">
      <w:pPr>
        <w:pStyle w:val="23"/>
      </w:pPr>
      <w:r>
        <w:rPr>
          <w:rFonts w:hint="eastAsia"/>
          <w:color w:val="FF0000"/>
          <w:lang w:eastAsia="zh-CN"/>
        </w:rPr>
        <w:t>（</w:t>
      </w:r>
      <w:r>
        <w:rPr>
          <w:rFonts w:hint="eastAsia"/>
          <w:color w:val="FF0000"/>
          <w:lang w:val="en-US" w:eastAsia="zh-CN"/>
        </w:rPr>
        <w:t>已补充）</w:t>
      </w:r>
    </w:p>
  </w:comment>
  <w:comment w:id="14" w:author="王俊" w:date="2025-11-24T17:01:23Z" w:initials="">
    <w:p w14:paraId="38F397C7">
      <w:pPr>
        <w:pStyle w:val="23"/>
        <w:ind w:firstLine="420"/>
        <w:rPr>
          <w:rFonts w:hint="eastAsia"/>
        </w:rPr>
      </w:pPr>
      <w:r>
        <w:rPr>
          <w:rFonts w:hint="eastAsia"/>
        </w:rPr>
        <w:t>给出空压机设计能力及本项目压缩空气全年使用量。</w:t>
      </w:r>
    </w:p>
    <w:p w14:paraId="192DF327">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已补充）</w:t>
      </w:r>
    </w:p>
  </w:comment>
  <w:comment w:id="15" w:author="王俊" w:date="2025-11-24T17:01:50Z" w:initials="">
    <w:p w14:paraId="010A8BE1">
      <w:pPr>
        <w:pStyle w:val="23"/>
        <w:ind w:firstLine="420"/>
      </w:pPr>
      <w:r>
        <w:rPr>
          <w:rFonts w:hint="eastAsia"/>
        </w:rPr>
        <w:t>太笼统了，细化。</w:t>
      </w:r>
    </w:p>
    <w:p w14:paraId="66262EEC">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已细化）</w:t>
      </w:r>
    </w:p>
  </w:comment>
  <w:comment w:id="16" w:author="王俊" w:date="2025-11-24T17:03:45Z" w:initials="">
    <w:p w14:paraId="48DBC10B">
      <w:pPr>
        <w:pStyle w:val="23"/>
        <w:rPr>
          <w:rFonts w:hint="default" w:eastAsia="宋体"/>
          <w:color w:val="FF0000"/>
          <w:lang w:val="en-US" w:eastAsia="zh-CN"/>
        </w:rPr>
      </w:pPr>
      <w:r>
        <w:rPr>
          <w:rFonts w:hint="eastAsia"/>
        </w:rPr>
        <w:t>与备案保持一致。补充万件与质量的折算关系，才好确定原辅料的用量</w:t>
      </w:r>
      <w:r>
        <w:rPr>
          <w:rFonts w:hint="eastAsia"/>
          <w:color w:val="FF0000"/>
          <w:lang w:eastAsia="zh-CN"/>
        </w:rPr>
        <w:t>（</w:t>
      </w:r>
      <w:r>
        <w:rPr>
          <w:rFonts w:hint="eastAsia"/>
          <w:color w:val="FF0000"/>
          <w:lang w:val="en-US" w:eastAsia="zh-CN"/>
        </w:rPr>
        <w:t>已补充）</w:t>
      </w:r>
    </w:p>
  </w:comment>
  <w:comment w:id="17" w:author="王俊" w:date="2025-11-24T17:03:55Z" w:initials="">
    <w:p w14:paraId="00044DCB">
      <w:pPr>
        <w:pStyle w:val="23"/>
        <w:ind w:firstLine="420"/>
      </w:pPr>
      <w:r>
        <w:rPr>
          <w:rFonts w:hint="eastAsia"/>
          <w:lang w:val="en-US" w:eastAsia="zh-CN"/>
        </w:rPr>
        <w:t>1、</w:t>
      </w:r>
      <w:r>
        <w:rPr>
          <w:rFonts w:hint="eastAsia"/>
        </w:rPr>
        <w:t>完善。环保设施、风机、循环冷却塔有没有？前文提到了……这些都是涉及噪声源强的。</w:t>
      </w:r>
    </w:p>
    <w:p w14:paraId="115856CC">
      <w:pPr>
        <w:pStyle w:val="23"/>
        <w:ind w:firstLine="480"/>
        <w:rPr>
          <w:rFonts w:hint="eastAsia"/>
        </w:rPr>
      </w:pPr>
      <w:r>
        <w:rPr>
          <w:rFonts w:hint="eastAsia"/>
        </w:rPr>
        <w:t>本项目产品方案很多，一般设备是根据产线来的。也是根据产品方案分开的。</w:t>
      </w:r>
    </w:p>
    <w:p w14:paraId="12E8F161">
      <w:pPr>
        <w:pStyle w:val="23"/>
        <w:ind w:firstLine="420"/>
      </w:pPr>
      <w:r>
        <w:rPr>
          <w:rFonts w:hint="eastAsia"/>
          <w:lang w:val="en-US" w:eastAsia="zh-CN"/>
        </w:rPr>
        <w:t>2、</w:t>
      </w:r>
      <w:r>
        <w:rPr>
          <w:rFonts w:hint="eastAsia"/>
        </w:rPr>
        <w:t>没有设备的规格型号，怎么确定清洗线，所谓的“线”是什么情况？</w:t>
      </w:r>
    </w:p>
    <w:p w14:paraId="49C3B69C">
      <w:pPr>
        <w:pStyle w:val="23"/>
        <w:ind w:firstLine="420"/>
      </w:pPr>
      <w:r>
        <w:rPr>
          <w:rFonts w:hint="eastAsia"/>
          <w:lang w:val="en-US" w:eastAsia="zh-CN"/>
        </w:rPr>
        <w:t>3、</w:t>
      </w:r>
      <w:r>
        <w:rPr>
          <w:rFonts w:hint="eastAsia"/>
        </w:rPr>
        <w:t>清洗的废水产污环节均未体现。</w:t>
      </w:r>
    </w:p>
    <w:p w14:paraId="38C4D93E">
      <w:pPr>
        <w:pStyle w:val="23"/>
        <w:ind w:firstLine="480"/>
        <w:rPr>
          <w:rFonts w:hint="default" w:eastAsia="宋体"/>
          <w:color w:val="FF0000"/>
          <w:lang w:val="en-US" w:eastAsia="zh-CN"/>
        </w:rPr>
      </w:pPr>
      <w:r>
        <w:rPr>
          <w:rFonts w:hint="eastAsia"/>
          <w:color w:val="FF0000"/>
          <w:lang w:val="en-US" w:eastAsia="zh-CN"/>
        </w:rPr>
        <w:t>（已补充）</w:t>
      </w:r>
    </w:p>
  </w:comment>
  <w:comment w:id="18" w:author="王俊" w:date="2025-11-25T17:11:08Z" w:initials="">
    <w:p w14:paraId="1085CFA3">
      <w:pPr>
        <w:pStyle w:val="23"/>
        <w:ind w:firstLine="420"/>
      </w:pPr>
      <w:r>
        <w:rPr>
          <w:rFonts w:hint="eastAsia"/>
        </w:rPr>
        <w:t>脱脂剂含3</w:t>
      </w:r>
      <w:r>
        <w:t>0%</w:t>
      </w:r>
      <w:r>
        <w:rPr>
          <w:rFonts w:hint="eastAsia"/>
        </w:rPr>
        <w:t>的磷酸钠，含磷的物质全部进入了废水中。此项目未上废水处理设施，是不可能对接市政管网的！</w:t>
      </w:r>
    </w:p>
    <w:p w14:paraId="022F490B">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已修改）</w:t>
      </w:r>
    </w:p>
  </w:comment>
  <w:comment w:id="19" w:author="王俊" w:date="2025-11-24T17:04:08Z" w:initials="">
    <w:p w14:paraId="7E8CA7B2">
      <w:pPr>
        <w:pStyle w:val="23"/>
        <w:ind w:firstLine="420"/>
      </w:pPr>
      <w:r>
        <w:t>简要分析主要原辅料中与污染排放有关的物质或元素</w:t>
      </w:r>
      <w:r>
        <w:rPr>
          <w:rFonts w:hint="eastAsia"/>
        </w:rPr>
        <w:t>。</w:t>
      </w:r>
    </w:p>
    <w:p w14:paraId="7DC9A352">
      <w:pPr>
        <w:pStyle w:val="23"/>
        <w:ind w:firstLine="480"/>
        <w:rPr>
          <w:rFonts w:hint="eastAsia"/>
        </w:rPr>
      </w:pPr>
      <w:r>
        <w:rPr>
          <w:rFonts w:hint="eastAsia"/>
        </w:rPr>
        <w:t>漏了清洗剂，清洗剂要对照《清洗剂挥发性有机化合物含量限值GB38508-2020》</w:t>
      </w:r>
    </w:p>
    <w:p w14:paraId="54891ED9">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已修改）</w:t>
      </w:r>
    </w:p>
    <w:p w14:paraId="60A788CB">
      <w:pPr>
        <w:pStyle w:val="23"/>
      </w:pPr>
    </w:p>
  </w:comment>
  <w:comment w:id="20" w:author="王俊" w:date="2025-11-24T17:05:20Z" w:initials="">
    <w:p w14:paraId="1CEF4584">
      <w:pPr>
        <w:pStyle w:val="23"/>
        <w:ind w:firstLine="420"/>
        <w:rPr>
          <w:rFonts w:hint="default" w:eastAsia="宋体"/>
          <w:color w:val="FF0000"/>
          <w:lang w:val="en-US" w:eastAsia="zh-CN"/>
        </w:rPr>
      </w:pPr>
      <w:r>
        <w:rPr>
          <w:rFonts w:hint="eastAsia"/>
          <w:lang w:val="en-US" w:eastAsia="zh-CN"/>
        </w:rPr>
        <w:t>1、</w:t>
      </w:r>
      <w:r>
        <w:rPr>
          <w:rFonts w:hint="eastAsia"/>
        </w:rPr>
        <w:t>补充</w:t>
      </w:r>
      <w:r>
        <w:rPr>
          <w:rFonts w:hint="eastAsia"/>
          <w:lang w:val="en-US" w:eastAsia="zh-CN"/>
        </w:rPr>
        <w:t>塑粉附着率</w:t>
      </w:r>
      <w:r>
        <w:rPr>
          <w:rFonts w:hint="eastAsia"/>
        </w:rPr>
        <w:t>来源依据，说清楚怎么取出来的！</w:t>
      </w:r>
      <w:r>
        <w:rPr>
          <w:rFonts w:hint="eastAsia"/>
          <w:color w:val="FF0000"/>
          <w:lang w:eastAsia="zh-CN"/>
        </w:rPr>
        <w:t>（</w:t>
      </w:r>
      <w:r>
        <w:rPr>
          <w:rFonts w:hint="eastAsia"/>
          <w:color w:val="FF0000"/>
          <w:lang w:val="en-US" w:eastAsia="zh-CN"/>
        </w:rPr>
        <w:t>已补充）</w:t>
      </w:r>
    </w:p>
    <w:p w14:paraId="39874B74">
      <w:pPr>
        <w:pStyle w:val="23"/>
        <w:ind w:firstLine="420"/>
      </w:pPr>
      <w:r>
        <w:rPr>
          <w:rFonts w:hint="eastAsia"/>
          <w:lang w:val="en-US" w:eastAsia="zh-CN"/>
        </w:rPr>
        <w:t>2、</w:t>
      </w:r>
      <w:r>
        <w:rPr>
          <w:rFonts w:hint="eastAsia"/>
        </w:rPr>
        <w:t>补充核算全年陶瓷粉末的用量。给出核算过程。</w:t>
      </w:r>
      <w:r>
        <w:rPr>
          <w:rFonts w:hint="eastAsia"/>
          <w:color w:val="FF0000"/>
          <w:lang w:eastAsia="zh-CN"/>
        </w:rPr>
        <w:t>（</w:t>
      </w:r>
      <w:r>
        <w:rPr>
          <w:rFonts w:hint="eastAsia"/>
          <w:color w:val="FF0000"/>
          <w:lang w:val="en-US" w:eastAsia="zh-CN"/>
        </w:rPr>
        <w:t>已补充）</w:t>
      </w:r>
    </w:p>
    <w:p w14:paraId="44CD0B45">
      <w:pPr>
        <w:pStyle w:val="23"/>
        <w:ind w:firstLine="420"/>
        <w:rPr>
          <w:rFonts w:hint="eastAsia"/>
        </w:rPr>
      </w:pPr>
      <w:r>
        <w:rPr>
          <w:rFonts w:hint="eastAsia"/>
          <w:lang w:val="en-US" w:eastAsia="zh-CN"/>
        </w:rPr>
        <w:t>3、喷涂厚度</w:t>
      </w:r>
      <w:r>
        <w:rPr>
          <w:rFonts w:hint="eastAsia"/>
        </w:rPr>
        <w:t>是否应该给出区间，取平均值。还是全部规格都是这个，否则就是不合格，返工？</w:t>
      </w:r>
      <w:r>
        <w:rPr>
          <w:rFonts w:hint="eastAsia"/>
          <w:color w:val="FF0000"/>
          <w:lang w:eastAsia="zh-CN"/>
        </w:rPr>
        <w:t>（</w:t>
      </w:r>
      <w:r>
        <w:rPr>
          <w:rFonts w:hint="eastAsia"/>
          <w:color w:val="FF0000"/>
          <w:lang w:val="en-US" w:eastAsia="zh-CN"/>
        </w:rPr>
        <w:t>已补充）</w:t>
      </w:r>
    </w:p>
    <w:p w14:paraId="1E3B3B74">
      <w:pPr>
        <w:pStyle w:val="23"/>
        <w:rPr>
          <w:rFonts w:hint="eastAsia"/>
        </w:rPr>
      </w:pPr>
      <w:r>
        <w:rPr>
          <w:rFonts w:hint="eastAsia"/>
          <w:lang w:val="en-US" w:eastAsia="zh-CN"/>
        </w:rPr>
        <w:t>4、密度</w:t>
      </w:r>
      <w:r>
        <w:rPr>
          <w:rFonts w:hint="eastAsia"/>
        </w:rPr>
        <w:t>为什么取1</w:t>
      </w:r>
      <w:r>
        <w:t>.2</w:t>
      </w:r>
      <w:r>
        <w:rPr>
          <w:rFonts w:hint="eastAsia"/>
        </w:rPr>
        <w:t>，要说明原因</w:t>
      </w:r>
      <w:r>
        <w:rPr>
          <w:rFonts w:hint="eastAsia"/>
          <w:color w:val="FF0000"/>
          <w:lang w:eastAsia="zh-CN"/>
        </w:rPr>
        <w:t>（</w:t>
      </w:r>
      <w:r>
        <w:rPr>
          <w:rFonts w:hint="eastAsia"/>
          <w:color w:val="FF0000"/>
          <w:lang w:val="en-US" w:eastAsia="zh-CN"/>
        </w:rPr>
        <w:t>已补充）</w:t>
      </w:r>
    </w:p>
    <w:p w14:paraId="0E159BD3">
      <w:pPr>
        <w:pStyle w:val="23"/>
        <w:ind w:firstLine="480"/>
        <w:rPr>
          <w:rFonts w:hint="eastAsia"/>
        </w:rPr>
      </w:pPr>
      <w:r>
        <w:rPr>
          <w:rFonts w:hint="eastAsia"/>
          <w:lang w:val="en-US" w:eastAsia="zh-CN"/>
        </w:rPr>
        <w:t>5、</w:t>
      </w:r>
      <w:r>
        <w:rPr>
          <w:rFonts w:hint="eastAsia"/>
        </w:rPr>
        <w:t>前文写的是：塑粉使用量为150t/a，差1</w:t>
      </w:r>
      <w:r>
        <w:t>0</w:t>
      </w:r>
      <w:r>
        <w:rPr>
          <w:rFonts w:hint="eastAsia"/>
        </w:rPr>
        <w:t>倍？</w:t>
      </w:r>
    </w:p>
    <w:p w14:paraId="3E2A1A7B">
      <w:pPr>
        <w:pStyle w:val="23"/>
        <w:rPr>
          <w:rFonts w:hint="eastAsia" w:eastAsia="宋体"/>
          <w:lang w:val="en-US" w:eastAsia="zh-CN"/>
        </w:rPr>
      </w:pPr>
      <w:r>
        <w:rPr>
          <w:rFonts w:hint="eastAsia"/>
          <w:color w:val="FF0000"/>
          <w:lang w:eastAsia="zh-CN"/>
        </w:rPr>
        <w:t>（</w:t>
      </w:r>
      <w:r>
        <w:rPr>
          <w:rFonts w:hint="eastAsia"/>
          <w:color w:val="FF0000"/>
          <w:lang w:val="en-US" w:eastAsia="zh-CN"/>
        </w:rPr>
        <w:t>已修改）</w:t>
      </w:r>
    </w:p>
  </w:comment>
  <w:comment w:id="21" w:author="王俊" w:date="2025-11-24T17:02:59Z" w:initials="">
    <w:p w14:paraId="21707C8B">
      <w:pPr>
        <w:pStyle w:val="23"/>
        <w:ind w:firstLine="420"/>
        <w:rPr>
          <w:rFonts w:hint="eastAsia"/>
        </w:rPr>
      </w:pPr>
      <w:r>
        <w:rPr>
          <w:rFonts w:hint="eastAsia"/>
        </w:rPr>
        <w:t>前处理涉及水洗！</w:t>
      </w:r>
    </w:p>
    <w:p w14:paraId="3E57ECB3">
      <w:pPr>
        <w:pStyle w:val="23"/>
      </w:pPr>
      <w:r>
        <w:rPr>
          <w:rFonts w:hint="eastAsia"/>
          <w:color w:val="FF0000"/>
          <w:lang w:eastAsia="zh-CN"/>
        </w:rPr>
        <w:t>（</w:t>
      </w:r>
      <w:r>
        <w:rPr>
          <w:rFonts w:hint="eastAsia"/>
          <w:color w:val="FF0000"/>
          <w:lang w:val="en-US" w:eastAsia="zh-CN"/>
        </w:rPr>
        <w:t>已补充）</w:t>
      </w:r>
    </w:p>
  </w:comment>
  <w:comment w:id="22" w:author="王俊" w:date="2025-11-24T17:03:07Z" w:initials="">
    <w:p w14:paraId="39A48FAC">
      <w:pPr>
        <w:pStyle w:val="23"/>
        <w:ind w:firstLine="0" w:firstLineChars="0"/>
        <w:rPr>
          <w:rFonts w:hint="eastAsia"/>
        </w:rPr>
      </w:pPr>
      <w:r>
        <w:rPr>
          <w:rFonts w:hint="eastAsia"/>
        </w:rPr>
        <w:t>重新校核！</w:t>
      </w:r>
    </w:p>
    <w:p w14:paraId="49DA82E4">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已重新校核）</w:t>
      </w:r>
    </w:p>
  </w:comment>
  <w:comment w:id="23" w:author="王俊" w:date="2025-11-24T17:03:31Z" w:initials="">
    <w:p w14:paraId="663D9252">
      <w:pPr>
        <w:pStyle w:val="23"/>
        <w:ind w:firstLine="420"/>
      </w:pPr>
      <w:r>
        <w:rPr>
          <w:rFonts w:hint="eastAsia"/>
        </w:rPr>
        <w:t>位于租赁的现有厂区内。说清楚。</w:t>
      </w:r>
    </w:p>
    <w:p w14:paraId="68C20EAA">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已补充）</w:t>
      </w:r>
    </w:p>
  </w:comment>
  <w:comment w:id="24" w:author="王俊" w:date="2025-11-24T17:17:29Z" w:initials="">
    <w:p w14:paraId="44E00410">
      <w:pPr>
        <w:pStyle w:val="23"/>
        <w:ind w:firstLine="420"/>
        <w:rPr>
          <w:rFonts w:hint="default" w:eastAsia="宋体"/>
          <w:color w:val="FF0000"/>
          <w:lang w:val="en-US" w:eastAsia="zh-CN"/>
        </w:rPr>
      </w:pPr>
      <w:r>
        <w:rPr>
          <w:rFonts w:hint="eastAsia"/>
          <w:lang w:val="en-US" w:eastAsia="zh-CN"/>
        </w:rPr>
        <w:t>1、</w:t>
      </w:r>
      <w:r>
        <w:rPr>
          <w:rFonts w:hint="eastAsia"/>
        </w:rPr>
        <w:t>建议不要照着搬迁以前的环评来写，现在环评要求比以前高了。</w:t>
      </w:r>
      <w:r>
        <w:rPr>
          <w:rFonts w:hint="eastAsia"/>
          <w:color w:val="FF0000"/>
          <w:lang w:eastAsia="zh-CN"/>
        </w:rPr>
        <w:t>（</w:t>
      </w:r>
      <w:r>
        <w:rPr>
          <w:rFonts w:hint="eastAsia"/>
          <w:color w:val="FF0000"/>
          <w:lang w:val="en-US" w:eastAsia="zh-CN"/>
        </w:rPr>
        <w:t>已修改）</w:t>
      </w:r>
    </w:p>
    <w:p w14:paraId="43B43934">
      <w:pPr>
        <w:pStyle w:val="23"/>
        <w:ind w:firstLine="420"/>
        <w:rPr>
          <w:rFonts w:hint="default" w:eastAsia="宋体"/>
          <w:color w:val="FF0000"/>
          <w:lang w:val="en-US" w:eastAsia="zh-CN"/>
        </w:rPr>
      </w:pPr>
      <w:r>
        <w:rPr>
          <w:rFonts w:hint="eastAsia"/>
        </w:rPr>
        <w:t>这个图中</w:t>
      </w:r>
      <w:r>
        <w:rPr>
          <w:rFonts w:hint="eastAsia"/>
          <w:b/>
        </w:rPr>
        <w:t>前处理</w:t>
      </w:r>
      <w:r>
        <w:rPr>
          <w:rFonts w:hint="eastAsia"/>
        </w:rPr>
        <w:t>的框框全部要细化出各个工序。在设备清单中，要把前处理工序涉及的设备清单权力一一列出！工艺水平衡要单独核算。</w:t>
      </w:r>
      <w:r>
        <w:rPr>
          <w:rFonts w:hint="eastAsia"/>
          <w:color w:val="FF0000"/>
          <w:lang w:eastAsia="zh-CN"/>
        </w:rPr>
        <w:t>（</w:t>
      </w:r>
      <w:r>
        <w:rPr>
          <w:rFonts w:hint="eastAsia"/>
          <w:color w:val="FF0000"/>
          <w:lang w:val="en-US" w:eastAsia="zh-CN"/>
        </w:rPr>
        <w:t>已修改）</w:t>
      </w:r>
    </w:p>
    <w:p w14:paraId="67518A89">
      <w:pPr>
        <w:pStyle w:val="23"/>
      </w:pPr>
    </w:p>
    <w:p w14:paraId="0098D89C">
      <w:pPr>
        <w:pStyle w:val="23"/>
        <w:ind w:firstLine="480"/>
      </w:pPr>
      <w:r>
        <w:rPr>
          <w:rFonts w:hint="eastAsia"/>
        </w:rPr>
        <w:t>打磨、抛光要分开，是并联还是串联？要说清楚。</w:t>
      </w:r>
    </w:p>
    <w:p w14:paraId="5EE3E464">
      <w:pPr>
        <w:pStyle w:val="23"/>
        <w:ind w:firstLine="420"/>
        <w:rPr>
          <w:rFonts w:hint="default" w:eastAsia="宋体"/>
          <w:color w:val="FF0000"/>
          <w:lang w:val="en-US" w:eastAsia="zh-CN"/>
        </w:rPr>
      </w:pPr>
      <w:r>
        <w:rPr>
          <w:rFonts w:hint="eastAsia"/>
        </w:rPr>
        <w:t>喷塑、固化要分开两个产污环节！产污环节是根据工序来划分的！</w:t>
      </w:r>
      <w:r>
        <w:rPr>
          <w:rFonts w:hint="eastAsia"/>
          <w:color w:val="FF0000"/>
          <w:lang w:eastAsia="zh-CN"/>
        </w:rPr>
        <w:t>（</w:t>
      </w:r>
      <w:r>
        <w:rPr>
          <w:rFonts w:hint="eastAsia"/>
          <w:color w:val="FF0000"/>
          <w:lang w:val="en-US" w:eastAsia="zh-CN"/>
        </w:rPr>
        <w:t>已修改）</w:t>
      </w:r>
    </w:p>
    <w:p w14:paraId="66E6D4C1">
      <w:pPr>
        <w:pStyle w:val="23"/>
        <w:ind w:firstLine="480"/>
      </w:pPr>
    </w:p>
    <w:p w14:paraId="7F635360">
      <w:pPr>
        <w:pStyle w:val="23"/>
        <w:ind w:firstLine="420"/>
        <w:rPr>
          <w:rFonts w:hint="default" w:eastAsia="宋体"/>
          <w:color w:val="FF0000"/>
          <w:lang w:val="en-US" w:eastAsia="zh-CN"/>
        </w:rPr>
      </w:pPr>
      <w:r>
        <w:rPr>
          <w:rFonts w:hint="eastAsia"/>
        </w:rPr>
        <w:t>烘干及固化的热源要说清楚。</w:t>
      </w:r>
      <w:r>
        <w:rPr>
          <w:rFonts w:hint="eastAsia"/>
          <w:color w:val="FF0000"/>
          <w:lang w:eastAsia="zh-CN"/>
        </w:rPr>
        <w:t>（</w:t>
      </w:r>
      <w:r>
        <w:rPr>
          <w:rFonts w:hint="eastAsia"/>
          <w:color w:val="FF0000"/>
          <w:lang w:val="en-US" w:eastAsia="zh-CN"/>
        </w:rPr>
        <w:t>已修改）</w:t>
      </w:r>
    </w:p>
    <w:p w14:paraId="115C4B33">
      <w:pPr>
        <w:pStyle w:val="23"/>
        <w:ind w:firstLine="480"/>
        <w:rPr>
          <w:rFonts w:hint="eastAsia"/>
        </w:rPr>
      </w:pPr>
    </w:p>
    <w:p w14:paraId="1E95650F">
      <w:pPr>
        <w:pStyle w:val="23"/>
        <w:ind w:firstLine="420"/>
        <w:rPr>
          <w:rFonts w:hint="default" w:eastAsia="宋体"/>
          <w:color w:val="FF0000"/>
          <w:lang w:val="en-US" w:eastAsia="zh-CN"/>
        </w:rPr>
      </w:pPr>
      <w:r>
        <w:rPr>
          <w:rFonts w:hint="eastAsia"/>
          <w:lang w:val="en-US" w:eastAsia="zh-CN"/>
        </w:rPr>
        <w:t>2、</w:t>
      </w:r>
      <w:r>
        <w:rPr>
          <w:rFonts w:hint="eastAsia"/>
        </w:rPr>
        <w:t>根据图2</w:t>
      </w:r>
      <w:r>
        <w:t>-1</w:t>
      </w:r>
      <w:r>
        <w:rPr>
          <w:rFonts w:hint="eastAsia"/>
        </w:rPr>
        <w:t>，全面完善。尤其是前处理工序。</w:t>
      </w:r>
      <w:r>
        <w:rPr>
          <w:rFonts w:hint="eastAsia"/>
          <w:color w:val="FF0000"/>
          <w:lang w:eastAsia="zh-CN"/>
        </w:rPr>
        <w:t>（</w:t>
      </w:r>
      <w:r>
        <w:rPr>
          <w:rFonts w:hint="eastAsia"/>
          <w:color w:val="FF0000"/>
          <w:lang w:val="en-US" w:eastAsia="zh-CN"/>
        </w:rPr>
        <w:t>已修改）</w:t>
      </w:r>
    </w:p>
    <w:p w14:paraId="5ABFC477">
      <w:pPr>
        <w:pStyle w:val="23"/>
        <w:ind w:firstLine="420"/>
      </w:pPr>
    </w:p>
    <w:p w14:paraId="753D1861">
      <w:pPr>
        <w:pStyle w:val="23"/>
        <w:ind w:firstLine="420"/>
        <w:rPr>
          <w:rFonts w:hint="default" w:eastAsia="宋体"/>
          <w:color w:val="FF0000"/>
          <w:lang w:val="en-US" w:eastAsia="zh-CN"/>
        </w:rPr>
      </w:pPr>
      <w:r>
        <w:rPr>
          <w:rFonts w:hint="eastAsia"/>
          <w:lang w:val="en-US" w:eastAsia="zh-CN"/>
        </w:rPr>
        <w:t>3、重新</w:t>
      </w:r>
      <w:r>
        <w:rPr>
          <w:rFonts w:hint="eastAsia"/>
        </w:rPr>
        <w:t>梳理</w:t>
      </w:r>
      <w:r>
        <w:rPr>
          <w:rFonts w:hint="eastAsia"/>
          <w:lang w:val="en-US" w:eastAsia="zh-CN"/>
        </w:rPr>
        <w:t>前处理，</w:t>
      </w:r>
      <w:r>
        <w:rPr>
          <w:rFonts w:hint="eastAsia"/>
        </w:rPr>
        <w:t>此段工序涉及的废水产污环节一个一个列出来，不是W</w:t>
      </w:r>
      <w:r>
        <w:t>2</w:t>
      </w:r>
      <w:r>
        <w:rPr>
          <w:rFonts w:hint="eastAsia"/>
        </w:rPr>
        <w:t>就体现完了。</w:t>
      </w:r>
      <w:r>
        <w:rPr>
          <w:rFonts w:hint="eastAsia"/>
          <w:color w:val="FF0000"/>
          <w:lang w:eastAsia="zh-CN"/>
        </w:rPr>
        <w:t>（</w:t>
      </w:r>
      <w:r>
        <w:rPr>
          <w:rFonts w:hint="eastAsia"/>
          <w:color w:val="FF0000"/>
          <w:lang w:val="en-US" w:eastAsia="zh-CN"/>
        </w:rPr>
        <w:t>已修改）</w:t>
      </w:r>
    </w:p>
    <w:p w14:paraId="2CF08CA9">
      <w:pPr>
        <w:pStyle w:val="23"/>
        <w:ind w:firstLine="0" w:firstLineChars="0"/>
        <w:rPr>
          <w:rFonts w:hint="eastAsia"/>
        </w:rPr>
      </w:pPr>
    </w:p>
    <w:p w14:paraId="50A7F7E5">
      <w:pPr>
        <w:pStyle w:val="23"/>
        <w:ind w:firstLine="420"/>
        <w:rPr>
          <w:rFonts w:hint="default" w:eastAsia="宋体"/>
          <w:color w:val="FF0000"/>
          <w:lang w:val="en-US" w:eastAsia="zh-CN"/>
        </w:rPr>
      </w:pPr>
      <w:r>
        <w:rPr>
          <w:rFonts w:hint="eastAsia"/>
          <w:lang w:val="en-US" w:eastAsia="zh-CN"/>
        </w:rPr>
        <w:t>4、</w:t>
      </w:r>
      <w:r>
        <w:rPr>
          <w:rFonts w:hint="eastAsia"/>
        </w:rPr>
        <w:t>不同的产品产线分开，如果有共用的设备，在产线中去体现。图2</w:t>
      </w:r>
      <w:r>
        <w:t>-1</w:t>
      </w:r>
      <w:r>
        <w:rPr>
          <w:rFonts w:hint="eastAsia"/>
        </w:rPr>
        <w:t>中均未体现。</w:t>
      </w:r>
      <w:r>
        <w:rPr>
          <w:rFonts w:hint="eastAsia"/>
          <w:color w:val="FF0000"/>
          <w:lang w:eastAsia="zh-CN"/>
        </w:rPr>
        <w:t>（</w:t>
      </w:r>
      <w:r>
        <w:rPr>
          <w:rFonts w:hint="eastAsia"/>
          <w:color w:val="FF0000"/>
          <w:lang w:val="en-US" w:eastAsia="zh-CN"/>
        </w:rPr>
        <w:t>已修改）</w:t>
      </w:r>
    </w:p>
    <w:p w14:paraId="0C7F0F14">
      <w:pPr>
        <w:pStyle w:val="23"/>
        <w:ind w:firstLine="420"/>
      </w:pPr>
    </w:p>
    <w:p w14:paraId="0799D201">
      <w:pPr>
        <w:pStyle w:val="23"/>
        <w:ind w:firstLine="420"/>
        <w:rPr>
          <w:rFonts w:hint="default" w:eastAsia="宋体"/>
          <w:lang w:val="en-US" w:eastAsia="zh-CN"/>
        </w:rPr>
      </w:pPr>
      <w:r>
        <w:rPr>
          <w:rFonts w:hint="eastAsia"/>
          <w:lang w:val="en-US" w:eastAsia="zh-CN"/>
        </w:rPr>
        <w:t>5、</w:t>
      </w:r>
      <w:r>
        <w:rPr>
          <w:color w:val="000000" w:themeColor="text1"/>
          <w14:textFill>
            <w14:solidFill>
              <w14:schemeClr w14:val="tx1"/>
            </w14:solidFill>
          </w14:textFill>
        </w:rPr>
        <w:t>陶瓷coating</w:t>
      </w:r>
      <w:r>
        <w:rPr>
          <w:rFonts w:hint="eastAsia"/>
        </w:rPr>
        <w:t>是否产生颗粒物？</w:t>
      </w:r>
      <w:r>
        <w:rPr>
          <w:rFonts w:hint="eastAsia"/>
          <w:color w:val="FF0000"/>
          <w:lang w:eastAsia="zh-CN"/>
        </w:rPr>
        <w:t>（</w:t>
      </w:r>
      <w:r>
        <w:rPr>
          <w:rFonts w:hint="eastAsia"/>
          <w:color w:val="FF0000"/>
          <w:lang w:val="en-US" w:eastAsia="zh-CN"/>
        </w:rPr>
        <w:t>已删除该工序）</w:t>
      </w:r>
    </w:p>
    <w:p w14:paraId="36A90B6D">
      <w:pPr>
        <w:pStyle w:val="23"/>
        <w:ind w:firstLine="420"/>
      </w:pPr>
      <w:r>
        <w:rPr>
          <w:rFonts w:hint="eastAsia"/>
          <w:lang w:val="en-US" w:eastAsia="zh-CN"/>
        </w:rPr>
        <w:t>6、</w:t>
      </w:r>
      <w:r>
        <w:rPr>
          <w:color w:val="000000" w:themeColor="text1"/>
          <w14:textFill>
            <w14:solidFill>
              <w14:schemeClr w14:val="tx1"/>
            </w14:solidFill>
          </w14:textFill>
        </w:rPr>
        <w:t>陶瓷coating</w:t>
      </w:r>
      <w:r>
        <w:rPr>
          <w:rFonts w:hint="eastAsia"/>
          <w:color w:val="000000" w:themeColor="text1"/>
          <w:lang w:val="en-US" w:eastAsia="zh-CN"/>
          <w14:textFill>
            <w14:solidFill>
              <w14:schemeClr w14:val="tx1"/>
            </w14:solidFill>
          </w14:textFill>
        </w:rPr>
        <w:t>烘干</w:t>
      </w:r>
      <w:r>
        <w:rPr>
          <w:rFonts w:hint="eastAsia"/>
        </w:rPr>
        <w:t>是否缠上颗粒物，是两个环节！</w:t>
      </w:r>
    </w:p>
    <w:p w14:paraId="29298E0E">
      <w:pPr>
        <w:pStyle w:val="23"/>
        <w:rPr>
          <w:rFonts w:hint="default" w:eastAsia="宋体"/>
          <w:lang w:val="en-US" w:eastAsia="zh-CN"/>
        </w:rPr>
      </w:pPr>
      <w:r>
        <w:rPr>
          <w:rFonts w:hint="eastAsia"/>
          <w:color w:val="FF0000"/>
          <w:lang w:eastAsia="zh-CN"/>
        </w:rPr>
        <w:t>（</w:t>
      </w:r>
      <w:r>
        <w:rPr>
          <w:rFonts w:hint="eastAsia"/>
          <w:color w:val="FF0000"/>
          <w:lang w:val="en-US" w:eastAsia="zh-CN"/>
        </w:rPr>
        <w:t>已删除该工序）</w:t>
      </w:r>
    </w:p>
  </w:comment>
  <w:comment w:id="25" w:author="王俊" w:date="2025-11-24T17:19:36Z" w:initials="">
    <w:p w14:paraId="3F9FB79D">
      <w:pPr>
        <w:pStyle w:val="23"/>
        <w:ind w:firstLine="420"/>
        <w:rPr>
          <w:rFonts w:hint="default" w:eastAsia="宋体"/>
          <w:color w:val="0000FF"/>
          <w:lang w:val="en-US" w:eastAsia="zh-CN"/>
        </w:rPr>
      </w:pPr>
      <w:r>
        <w:rPr>
          <w:rFonts w:hint="eastAsia"/>
          <w:lang w:val="en-US" w:eastAsia="zh-CN"/>
        </w:rPr>
        <w:t>1、</w:t>
      </w:r>
      <w:r>
        <w:rPr>
          <w:rFonts w:hint="eastAsia"/>
        </w:rPr>
        <w:t>全面核实，漏项太多，漏产污环节就涉及漏污染因子。</w:t>
      </w:r>
      <w:r>
        <w:rPr>
          <w:rFonts w:hint="eastAsia"/>
          <w:color w:val="FF0000"/>
          <w:lang w:eastAsia="zh-CN"/>
        </w:rPr>
        <w:t>（</w:t>
      </w:r>
      <w:r>
        <w:rPr>
          <w:rFonts w:hint="eastAsia"/>
          <w:color w:val="FF0000"/>
          <w:lang w:val="en-US" w:eastAsia="zh-CN"/>
        </w:rPr>
        <w:t>已核实）</w:t>
      </w:r>
    </w:p>
    <w:p w14:paraId="37F46865">
      <w:pPr>
        <w:pStyle w:val="23"/>
        <w:ind w:firstLine="420"/>
        <w:rPr>
          <w:rFonts w:hint="default" w:eastAsia="宋体"/>
          <w:color w:val="FF0000"/>
          <w:lang w:val="en-US" w:eastAsia="zh-CN"/>
        </w:rPr>
      </w:pPr>
      <w:r>
        <w:rPr>
          <w:rFonts w:hint="eastAsia"/>
          <w:lang w:val="en-US" w:eastAsia="zh-CN"/>
        </w:rPr>
        <w:t>2、天然气燃烧不</w:t>
      </w:r>
      <w:r>
        <w:rPr>
          <w:rFonts w:hint="eastAsia"/>
        </w:rPr>
        <w:t>清楚供应哪几道工序！</w:t>
      </w:r>
      <w:r>
        <w:rPr>
          <w:rFonts w:hint="eastAsia"/>
          <w:color w:val="FF0000"/>
          <w:lang w:eastAsia="zh-CN"/>
        </w:rPr>
        <w:t>（</w:t>
      </w:r>
      <w:r>
        <w:rPr>
          <w:rFonts w:hint="eastAsia"/>
          <w:color w:val="FF0000"/>
          <w:lang w:val="en-US" w:eastAsia="zh-CN"/>
        </w:rPr>
        <w:t>已补充）</w:t>
      </w:r>
    </w:p>
    <w:p w14:paraId="0EA6EADE">
      <w:pPr>
        <w:pStyle w:val="23"/>
        <w:ind w:firstLine="420"/>
        <w:rPr>
          <w:rFonts w:hint="eastAsia"/>
          <w:lang w:val="en-US" w:eastAsia="zh-CN"/>
        </w:rPr>
      </w:pPr>
      <w:r>
        <w:rPr>
          <w:rFonts w:hint="eastAsia"/>
          <w:lang w:val="en-US" w:eastAsia="zh-CN"/>
        </w:rPr>
        <w:t>3、</w:t>
      </w:r>
      <w:r>
        <w:rPr>
          <w:rFonts w:hint="eastAsia"/>
        </w:rPr>
        <w:t>重新核实</w:t>
      </w:r>
      <w:r>
        <w:rPr>
          <w:rFonts w:hint="eastAsia"/>
          <w:lang w:val="en-US" w:eastAsia="zh-CN"/>
        </w:rPr>
        <w:t>前处理废水银子</w:t>
      </w:r>
      <w:r>
        <w:rPr>
          <w:rFonts w:hint="eastAsia"/>
          <w:color w:val="FF0000"/>
          <w:lang w:eastAsia="zh-CN"/>
        </w:rPr>
        <w:t>（</w:t>
      </w:r>
      <w:r>
        <w:rPr>
          <w:rFonts w:hint="eastAsia"/>
          <w:color w:val="FF0000"/>
          <w:lang w:val="en-US" w:eastAsia="zh-CN"/>
        </w:rPr>
        <w:t>已核实）</w:t>
      </w:r>
    </w:p>
    <w:p w14:paraId="1AD2BA72">
      <w:pPr>
        <w:pStyle w:val="23"/>
        <w:ind w:firstLine="420"/>
        <w:rPr>
          <w:rFonts w:hint="default"/>
          <w:lang w:val="en-US" w:eastAsia="zh-CN"/>
        </w:rPr>
      </w:pPr>
      <w:r>
        <w:rPr>
          <w:rFonts w:hint="eastAsia"/>
          <w:lang w:val="en-US" w:eastAsia="zh-CN"/>
        </w:rPr>
        <w:t>4、核实固废，漏项</w:t>
      </w:r>
      <w:r>
        <w:rPr>
          <w:rFonts w:hint="eastAsia"/>
          <w:color w:val="FF0000"/>
          <w:lang w:eastAsia="zh-CN"/>
        </w:rPr>
        <w:t>（</w:t>
      </w:r>
      <w:r>
        <w:rPr>
          <w:rFonts w:hint="eastAsia"/>
          <w:color w:val="FF0000"/>
          <w:lang w:val="en-US" w:eastAsia="zh-CN"/>
        </w:rPr>
        <w:t>已核实）</w:t>
      </w:r>
    </w:p>
  </w:comment>
  <w:comment w:id="26" w:author="王俊" w:date="2025-11-24T17:21:23Z" w:initials="">
    <w:p w14:paraId="45296171">
      <w:pPr>
        <w:pStyle w:val="23"/>
        <w:ind w:firstLine="420"/>
        <w:rPr>
          <w:rFonts w:hint="default" w:eastAsia="宋体"/>
          <w:color w:val="FF0000"/>
          <w:lang w:val="en-US" w:eastAsia="zh-CN"/>
        </w:rPr>
      </w:pPr>
      <w:r>
        <w:rPr>
          <w:rFonts w:hint="eastAsia"/>
        </w:rPr>
        <w:t>搬迁的吗？要把以前的内容写一点进来，尤其是总量数据要带给本次新建项目使用。</w:t>
      </w:r>
      <w:r>
        <w:rPr>
          <w:rFonts w:hint="eastAsia"/>
          <w:color w:val="FF0000"/>
          <w:lang w:eastAsia="zh-CN"/>
        </w:rPr>
        <w:t>（</w:t>
      </w:r>
      <w:r>
        <w:rPr>
          <w:rFonts w:hint="eastAsia"/>
          <w:color w:val="FF0000"/>
          <w:lang w:val="en-US" w:eastAsia="zh-CN"/>
        </w:rPr>
        <w:t>已补充）</w:t>
      </w:r>
    </w:p>
  </w:comment>
  <w:comment w:id="27" w:author="王俊" w:date="2025-11-24T17:22:34Z" w:initials="">
    <w:p w14:paraId="7307D537">
      <w:pPr>
        <w:pStyle w:val="23"/>
        <w:ind w:firstLine="420"/>
        <w:rPr>
          <w:rFonts w:hint="eastAsia"/>
        </w:rPr>
      </w:pPr>
      <w:r>
        <w:rPr>
          <w:rFonts w:hint="eastAsia"/>
        </w:rPr>
        <w:t>有误！属于典型的低级错误！</w:t>
      </w:r>
    </w:p>
    <w:p w14:paraId="13D55B18">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已补充）</w:t>
      </w:r>
    </w:p>
  </w:comment>
  <w:comment w:id="28" w:author="王俊" w:date="2025-11-24T17:22:58Z" w:initials="">
    <w:p w14:paraId="3DF0C10A">
      <w:pPr>
        <w:pStyle w:val="23"/>
        <w:ind w:firstLine="420"/>
        <w:rPr>
          <w:rFonts w:hint="eastAsia"/>
        </w:rPr>
      </w:pPr>
      <w:r>
        <w:rPr>
          <w:rFonts w:hint="eastAsia"/>
        </w:rPr>
        <w:t>重新核实总量数据。</w:t>
      </w:r>
    </w:p>
    <w:p w14:paraId="44311BAD">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已核实）</w:t>
      </w:r>
    </w:p>
  </w:comment>
  <w:comment w:id="29" w:author="王俊" w:date="2025-11-24T17:23:06Z" w:initials="">
    <w:p w14:paraId="5091C7BA">
      <w:pPr>
        <w:pStyle w:val="23"/>
        <w:ind w:firstLine="420"/>
      </w:pPr>
      <w:r>
        <w:rPr>
          <w:rFonts w:hint="eastAsia"/>
        </w:rPr>
        <w:t>是否执行倍量削减？</w:t>
      </w:r>
    </w:p>
    <w:p w14:paraId="111C4783">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无需）</w:t>
      </w:r>
    </w:p>
  </w:comment>
  <w:comment w:id="30" w:author="王俊" w:date="2025-11-24T17:23:16Z" w:initials="">
    <w:p w14:paraId="5BC4C63F">
      <w:pPr>
        <w:pStyle w:val="23"/>
        <w:ind w:firstLine="420"/>
        <w:rPr>
          <w:rFonts w:hint="eastAsia"/>
        </w:rPr>
      </w:pPr>
      <w:r>
        <w:rPr>
          <w:rFonts w:hint="eastAsia"/>
        </w:rPr>
        <w:t>重新核实塑粉用量，重新核算污染物产排情况。</w:t>
      </w:r>
    </w:p>
    <w:p w14:paraId="020FAC2E">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已核实）</w:t>
      </w:r>
    </w:p>
  </w:comment>
  <w:comment w:id="31" w:author="王俊" w:date="2025-11-24T17:23:27Z" w:initials="">
    <w:p w14:paraId="083FCDD6">
      <w:pPr>
        <w:pStyle w:val="23"/>
        <w:ind w:firstLine="420"/>
      </w:pPr>
      <w:r>
        <w:rPr>
          <w:rFonts w:hint="eastAsia"/>
          <w:lang w:val="en-US" w:eastAsia="zh-CN"/>
        </w:rPr>
        <w:t>1、</w:t>
      </w:r>
      <w:r>
        <w:rPr>
          <w:rFonts w:hint="eastAsia"/>
          <w:lang w:val="en-GB"/>
        </w:rPr>
        <w:t>天然气燃烧废气</w:t>
      </w:r>
      <w:r>
        <w:rPr>
          <w:rFonts w:hint="eastAsia"/>
        </w:rPr>
        <w:t>为什么不采用工业炉窑？自行核实系数。</w:t>
      </w:r>
    </w:p>
    <w:p w14:paraId="4296E60D">
      <w:pPr>
        <w:pStyle w:val="23"/>
        <w:ind w:firstLine="420"/>
        <w:rPr>
          <w:rFonts w:hint="eastAsia"/>
        </w:rPr>
      </w:pPr>
      <w:r>
        <w:rPr>
          <w:rFonts w:hint="eastAsia"/>
          <w:lang w:val="en-US" w:eastAsia="zh-CN"/>
        </w:rPr>
        <w:t>2、</w:t>
      </w:r>
      <w:r>
        <w:rPr>
          <w:rFonts w:hint="eastAsia"/>
        </w:rPr>
        <w:t>打磨抛光是一个工序还是两个工序，没看懂。</w:t>
      </w:r>
    </w:p>
    <w:p w14:paraId="3FC95ECC">
      <w:pPr>
        <w:pStyle w:val="23"/>
        <w:rPr>
          <w:rFonts w:hint="eastAsia" w:eastAsia="宋体"/>
          <w:lang w:val="en-US" w:eastAsia="zh-CN"/>
        </w:rPr>
      </w:pPr>
      <w:r>
        <w:rPr>
          <w:rFonts w:hint="eastAsia"/>
          <w:color w:val="FF0000"/>
          <w:lang w:eastAsia="zh-CN"/>
        </w:rPr>
        <w:t>（</w:t>
      </w:r>
      <w:r>
        <w:rPr>
          <w:rFonts w:hint="eastAsia"/>
          <w:color w:val="FF0000"/>
          <w:lang w:val="en-US" w:eastAsia="zh-CN"/>
        </w:rPr>
        <w:t>已核实）</w:t>
      </w:r>
    </w:p>
  </w:comment>
  <w:comment w:id="32" w:author="王俊" w:date="2025-11-24T17:24:11Z" w:initials="">
    <w:p w14:paraId="7C63154A">
      <w:pPr>
        <w:pStyle w:val="23"/>
        <w:ind w:firstLine="420"/>
      </w:pPr>
      <w:r>
        <w:rPr>
          <w:rFonts w:hint="eastAsia"/>
        </w:rPr>
        <w:t>核实。</w:t>
      </w:r>
    </w:p>
    <w:p w14:paraId="2C2961A0">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已核实）</w:t>
      </w:r>
    </w:p>
  </w:comment>
  <w:comment w:id="33" w:author="王俊" w:date="2025-11-24T17:24:25Z" w:initials="">
    <w:p w14:paraId="5D5A9E05">
      <w:pPr>
        <w:pStyle w:val="23"/>
        <w:rPr>
          <w:rFonts w:hint="default" w:eastAsia="宋体"/>
          <w:color w:val="FF0000"/>
          <w:lang w:val="en-US" w:eastAsia="zh-CN"/>
        </w:rPr>
      </w:pPr>
      <w:r>
        <w:rPr>
          <w:rFonts w:hint="eastAsia"/>
        </w:rPr>
        <w:t>核实</w:t>
      </w:r>
      <w:r>
        <w:rPr>
          <w:rFonts w:hint="eastAsia"/>
          <w:color w:val="FF0000"/>
          <w:lang w:eastAsia="zh-CN"/>
        </w:rPr>
        <w:t>（</w:t>
      </w:r>
      <w:r>
        <w:rPr>
          <w:rFonts w:hint="eastAsia"/>
          <w:color w:val="FF0000"/>
          <w:lang w:val="en-US" w:eastAsia="zh-CN"/>
        </w:rPr>
        <w:t>已核实）</w:t>
      </w:r>
    </w:p>
  </w:comment>
  <w:comment w:id="34" w:author="王俊" w:date="2025-11-24T17:24:42Z" w:initials="">
    <w:p w14:paraId="7822FF0F">
      <w:pPr>
        <w:pStyle w:val="23"/>
        <w:ind w:firstLine="420"/>
        <w:rPr>
          <w:rFonts w:hint="eastAsia"/>
        </w:rPr>
      </w:pPr>
      <w:r>
        <w:rPr>
          <w:rFonts w:hint="eastAsia"/>
        </w:rPr>
        <w:t>还涉及汽车零部件等，根据产品方案核实。</w:t>
      </w:r>
    </w:p>
    <w:p w14:paraId="7AD30D63">
      <w:pPr>
        <w:pStyle w:val="23"/>
        <w:rPr>
          <w:rFonts w:hint="default" w:eastAsia="宋体"/>
          <w:color w:val="FF0000"/>
          <w:lang w:val="en-US" w:eastAsia="zh-CN"/>
        </w:rPr>
      </w:pPr>
      <w:r>
        <w:rPr>
          <w:rFonts w:hint="eastAsia"/>
          <w:color w:val="FF0000"/>
          <w:lang w:val="en-US" w:eastAsia="zh-CN"/>
        </w:rPr>
        <w:t>(已核实）</w:t>
      </w:r>
    </w:p>
  </w:comment>
  <w:comment w:id="35" w:author="王俊" w:date="2025-11-24T17:24:51Z" w:initials="">
    <w:p w14:paraId="6D84A2E6">
      <w:pPr>
        <w:pStyle w:val="23"/>
        <w:ind w:firstLine="420"/>
        <w:rPr>
          <w:rFonts w:hint="eastAsia"/>
        </w:rPr>
      </w:pPr>
      <w:r>
        <w:rPr>
          <w:rFonts w:hint="eastAsia"/>
        </w:rPr>
        <w:t>全文重新编写。完全不对！</w:t>
      </w:r>
    </w:p>
    <w:p w14:paraId="56209473">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已修改）</w:t>
      </w:r>
    </w:p>
  </w:comment>
  <w:comment w:id="36" w:author="王俊" w:date="2025-11-24T17:25:23Z" w:initials="">
    <w:p w14:paraId="5A5536D1">
      <w:pPr>
        <w:pStyle w:val="23"/>
        <w:ind w:firstLine="420"/>
        <w:rPr>
          <w:rFonts w:hint="default" w:eastAsia="宋体"/>
          <w:color w:val="FF0000"/>
          <w:lang w:val="en-US" w:eastAsia="zh-CN"/>
        </w:rPr>
      </w:pPr>
      <w:r>
        <w:rPr>
          <w:rFonts w:hint="eastAsia"/>
        </w:rPr>
        <w:t>来源依据是什么？</w:t>
      </w:r>
      <w:r>
        <w:rPr>
          <w:rFonts w:hint="eastAsia"/>
          <w:color w:val="FF0000"/>
          <w:lang w:eastAsia="zh-CN"/>
        </w:rPr>
        <w:t>（</w:t>
      </w:r>
      <w:r>
        <w:rPr>
          <w:rFonts w:hint="eastAsia"/>
          <w:color w:val="FF0000"/>
          <w:lang w:val="en-US" w:eastAsia="zh-CN"/>
        </w:rPr>
        <w:t>已补充）</w:t>
      </w:r>
    </w:p>
    <w:p w14:paraId="7EA1F880">
      <w:pPr>
        <w:pStyle w:val="23"/>
      </w:pPr>
    </w:p>
  </w:comment>
  <w:comment w:id="37" w:author="王俊" w:date="2025-11-24T17:25:30Z" w:initials="">
    <w:p w14:paraId="2008798C">
      <w:pPr>
        <w:pStyle w:val="23"/>
        <w:ind w:firstLine="420"/>
        <w:rPr>
          <w:rFonts w:hint="eastAsia"/>
        </w:rPr>
      </w:pPr>
      <w:r>
        <w:rPr>
          <w:rFonts w:hint="eastAsia"/>
        </w:rPr>
        <w:t>核实种类、数量及处理处置方式。</w:t>
      </w:r>
    </w:p>
    <w:p w14:paraId="680662DF">
      <w:pPr>
        <w:pStyle w:val="23"/>
        <w:ind w:firstLine="420"/>
      </w:pPr>
      <w:r>
        <w:rPr>
          <w:rFonts w:hint="eastAsia"/>
          <w:color w:val="FF0000"/>
          <w:lang w:eastAsia="zh-CN"/>
        </w:rPr>
        <w:t>（</w:t>
      </w:r>
      <w:r>
        <w:rPr>
          <w:rFonts w:hint="eastAsia"/>
          <w:color w:val="FF0000"/>
          <w:lang w:val="en-US" w:eastAsia="zh-CN"/>
        </w:rPr>
        <w:t>已核实）</w:t>
      </w:r>
    </w:p>
  </w:comment>
  <w:comment w:id="38" w:author="王俊" w:date="2025-11-24T17:26:29Z" w:initials="">
    <w:p w14:paraId="0FBBABD1">
      <w:pPr>
        <w:pStyle w:val="23"/>
        <w:ind w:firstLine="420"/>
        <w:rPr>
          <w:rFonts w:hint="eastAsia"/>
        </w:rPr>
      </w:pPr>
      <w:r>
        <w:rPr>
          <w:rFonts w:hint="eastAsia"/>
        </w:rPr>
        <w:t>重新核实，要上废水处理设施。</w:t>
      </w:r>
    </w:p>
    <w:p w14:paraId="1825012A">
      <w:pPr>
        <w:pStyle w:val="23"/>
        <w:rPr>
          <w:rFonts w:hint="default" w:eastAsia="宋体"/>
          <w:color w:val="FF0000"/>
          <w:lang w:val="en-US" w:eastAsia="zh-CN"/>
        </w:rPr>
      </w:pPr>
      <w:r>
        <w:rPr>
          <w:rFonts w:hint="eastAsia"/>
          <w:color w:val="FF0000"/>
          <w:lang w:eastAsia="zh-CN"/>
        </w:rPr>
        <w:t>（</w:t>
      </w:r>
      <w:r>
        <w:rPr>
          <w:rFonts w:hint="eastAsia"/>
          <w:color w:val="FF0000"/>
          <w:lang w:val="en-US" w:eastAsia="zh-CN"/>
        </w:rPr>
        <w:t>已核实）</w:t>
      </w:r>
    </w:p>
  </w:comment>
  <w:comment w:id="39" w:author="王俊" w:date="2025-11-24T17:26:49Z" w:initials="">
    <w:p w14:paraId="3928EEB8">
      <w:pPr>
        <w:pStyle w:val="23"/>
        <w:rPr>
          <w:rFonts w:hint="default" w:eastAsia="宋体"/>
          <w:color w:val="FF0000"/>
          <w:lang w:val="en-US" w:eastAsia="zh-CN"/>
        </w:rPr>
      </w:pPr>
      <w:r>
        <w:rPr>
          <w:rFonts w:hint="eastAsia"/>
        </w:rPr>
        <w:t>核实</w:t>
      </w:r>
      <w:r>
        <w:rPr>
          <w:rFonts w:hint="eastAsia"/>
          <w:color w:val="FF0000"/>
          <w:lang w:eastAsia="zh-CN"/>
        </w:rPr>
        <w:t>（</w:t>
      </w:r>
      <w:r>
        <w:rPr>
          <w:rFonts w:hint="eastAsia"/>
          <w:color w:val="FF0000"/>
          <w:lang w:val="en-US" w:eastAsia="zh-CN"/>
        </w:rPr>
        <w:t>已核实）</w:t>
      </w:r>
    </w:p>
  </w:comment>
  <w:comment w:id="40" w:author="王俊" w:date="2025-11-24T17:27:00Z" w:initials="">
    <w:p w14:paraId="1B1A1929">
      <w:pPr>
        <w:pStyle w:val="23"/>
        <w:rPr>
          <w:rFonts w:hint="default" w:eastAsia="宋体"/>
          <w:lang w:val="en-US" w:eastAsia="zh-CN"/>
        </w:rPr>
      </w:pPr>
      <w:r>
        <w:rPr>
          <w:rFonts w:hint="eastAsia"/>
        </w:rPr>
        <w:t>核实。搬迁项目要把原来批复的总量给本项目使用</w:t>
      </w:r>
      <w:r>
        <w:rPr>
          <w:rFonts w:hint="eastAsia"/>
          <w:color w:val="FF0000"/>
          <w:lang w:eastAsia="zh-CN"/>
        </w:rPr>
        <w:t>（</w:t>
      </w:r>
      <w:r>
        <w:rPr>
          <w:rFonts w:hint="eastAsia"/>
          <w:color w:val="FF0000"/>
          <w:lang w:val="en-US" w:eastAsia="zh-CN"/>
        </w:rPr>
        <w:t>已核实）</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86F58DD" w15:done="0"/>
  <w15:commentEx w15:paraId="1CA7794C" w15:done="0"/>
  <w15:commentEx w15:paraId="02FE7DBA" w15:done="0"/>
  <w15:commentEx w15:paraId="016DA54D" w15:done="0"/>
  <w15:commentEx w15:paraId="14AA5568" w15:done="0"/>
  <w15:commentEx w15:paraId="38EB2D54" w15:done="0"/>
  <w15:commentEx w15:paraId="3C0B053C" w15:done="0"/>
  <w15:commentEx w15:paraId="45633147" w15:done="0"/>
  <w15:commentEx w15:paraId="7F2CED0C" w15:done="0"/>
  <w15:commentEx w15:paraId="46326C2C" w15:done="0"/>
  <w15:commentEx w15:paraId="27F52A0D" w15:done="0"/>
  <w15:commentEx w15:paraId="169585D2" w15:done="0"/>
  <w15:commentEx w15:paraId="0F1F7E36" w15:done="0"/>
  <w15:commentEx w15:paraId="4E366736" w15:done="0"/>
  <w15:commentEx w15:paraId="192DF327" w15:done="0"/>
  <w15:commentEx w15:paraId="66262EEC" w15:done="0"/>
  <w15:commentEx w15:paraId="48DBC10B" w15:done="0"/>
  <w15:commentEx w15:paraId="38C4D93E" w15:done="0"/>
  <w15:commentEx w15:paraId="022F490B" w15:done="0"/>
  <w15:commentEx w15:paraId="60A788CB" w15:done="0"/>
  <w15:commentEx w15:paraId="3E2A1A7B" w15:done="0"/>
  <w15:commentEx w15:paraId="3E57ECB3" w15:done="0"/>
  <w15:commentEx w15:paraId="49DA82E4" w15:done="0"/>
  <w15:commentEx w15:paraId="68C20EAA" w15:done="0"/>
  <w15:commentEx w15:paraId="29298E0E" w15:done="0"/>
  <w15:commentEx w15:paraId="1AD2BA72" w15:done="0"/>
  <w15:commentEx w15:paraId="45296171" w15:done="0"/>
  <w15:commentEx w15:paraId="13D55B18" w15:done="0"/>
  <w15:commentEx w15:paraId="44311BAD" w15:done="0"/>
  <w15:commentEx w15:paraId="111C4783" w15:done="0"/>
  <w15:commentEx w15:paraId="020FAC2E" w15:done="0"/>
  <w15:commentEx w15:paraId="3FC95ECC" w15:done="0"/>
  <w15:commentEx w15:paraId="2C2961A0" w15:done="0"/>
  <w15:commentEx w15:paraId="5D5A9E05" w15:done="0"/>
  <w15:commentEx w15:paraId="7AD30D63" w15:done="0"/>
  <w15:commentEx w15:paraId="56209473" w15:done="0"/>
  <w15:commentEx w15:paraId="7EA1F880" w15:done="0"/>
  <w15:commentEx w15:paraId="680662DF" w15:done="0"/>
  <w15:commentEx w15:paraId="1825012A" w15:done="0"/>
  <w15:commentEx w15:paraId="3928EEB8" w15:done="0"/>
  <w15:commentEx w15:paraId="1B1A192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7FFAEFF" w:usb1="F9DFFFFF" w:usb2="0000007F" w:usb3="00000000" w:csb0="203F01FF" w:csb1="DFFF0000"/>
  </w:font>
  <w:font w:name="Arial Black">
    <w:panose1 w:val="020B0A04020102020204"/>
    <w:charset w:val="00"/>
    <w:family w:val="swiss"/>
    <w:pitch w:val="default"/>
    <w:sig w:usb0="A00002AF" w:usb1="400078FB" w:usb2="00000000" w:usb3="00000000" w:csb0="6000009F" w:csb1="DFD70000"/>
  </w:font>
  <w:font w:name="方正魏碑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仿宋"/>
    <w:panose1 w:val="00000000000000000000"/>
    <w:charset w:val="86"/>
    <w:family w:val="auto"/>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imesNewRomanPSMT">
    <w:altName w:val="Times New Roman"/>
    <w:panose1 w:val="00000000000000000000"/>
    <w:charset w:val="80"/>
    <w:family w:val="auto"/>
    <w:pitch w:val="default"/>
    <w:sig w:usb0="00000000" w:usb1="00000000" w:usb2="00000010" w:usb3="00000000" w:csb0="00060001" w:csb1="00000000"/>
  </w:font>
  <w:font w:name="font-weight : 400">
    <w:altName w:val="微软雅黑"/>
    <w:panose1 w:val="00000000000000000000"/>
    <w:charset w:val="00"/>
    <w:family w:val="auto"/>
    <w:pitch w:val="default"/>
    <w:sig w:usb0="00000000" w:usb1="00000000" w:usb2="00000000" w:usb3="00000000" w:csb0="00040001" w:csb1="00000000"/>
  </w:font>
  <w:font w:name="FZShuSong-Z01">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Segoe UI">
    <w:panose1 w:val="020B0502040204020203"/>
    <w:charset w:val="00"/>
    <w:family w:val="auto"/>
    <w:pitch w:val="default"/>
    <w:sig w:usb0="E4002EFF" w:usb1="C000E47F"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3628E">
    <w:pPr>
      <w:pStyle w:val="41"/>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3D00B">
    <w:pPr>
      <w:pStyle w:val="41"/>
      <w:jc w:val="center"/>
    </w:pPr>
    <w:r>
      <w:fldChar w:fldCharType="begin"/>
    </w:r>
    <w:r>
      <w:instrText xml:space="preserve">PAGE   \* MERGEFORMAT</w:instrText>
    </w:r>
    <w:r>
      <w:fldChar w:fldCharType="separate"/>
    </w:r>
    <w:r>
      <w:rPr>
        <w:lang w:val="zh-CN"/>
      </w:rPr>
      <w:t>39</w:t>
    </w:r>
    <w:r>
      <w:fldChar w:fldCharType="end"/>
    </w:r>
  </w:p>
  <w:p w14:paraId="3DBD2DBC">
    <w:pPr>
      <w:pStyle w:val="41"/>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3E7B6">
    <w:pPr>
      <w:pStyle w:val="41"/>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65102A">
                          <w:pPr>
                            <w:pStyle w:val="41"/>
                            <w:rPr>
                              <w:rStyle w:val="70"/>
                              <w:rFonts w:ascii="宋体" w:hAnsi="宋体"/>
                              <w:sz w:val="28"/>
                              <w:szCs w:val="28"/>
                            </w:rPr>
                          </w:pPr>
                          <w:r>
                            <w:rPr>
                              <w:rStyle w:val="70"/>
                              <w:rFonts w:hint="eastAsia" w:ascii="宋体" w:hAnsi="宋体"/>
                              <w:sz w:val="28"/>
                              <w:szCs w:val="28"/>
                            </w:rPr>
                            <w:t>—</w:t>
                          </w:r>
                          <w:r>
                            <w:rPr>
                              <w:rStyle w:val="70"/>
                              <w:rFonts w:hint="eastAsia" w:ascii="宋体" w:hAnsi="宋体"/>
                              <w:sz w:val="20"/>
                            </w:rPr>
                            <w:t xml:space="preserve">  </w:t>
                          </w:r>
                          <w:r>
                            <w:rPr>
                              <w:rFonts w:ascii="宋体" w:hAnsi="宋体"/>
                              <w:sz w:val="26"/>
                              <w:szCs w:val="26"/>
                            </w:rPr>
                            <w:fldChar w:fldCharType="begin"/>
                          </w:r>
                          <w:r>
                            <w:rPr>
                              <w:rStyle w:val="70"/>
                              <w:rFonts w:ascii="宋体" w:hAnsi="宋体"/>
                              <w:sz w:val="26"/>
                              <w:szCs w:val="26"/>
                            </w:rPr>
                            <w:instrText xml:space="preserve">PAGE  </w:instrText>
                          </w:r>
                          <w:r>
                            <w:rPr>
                              <w:rFonts w:ascii="宋体" w:hAnsi="宋体"/>
                              <w:sz w:val="26"/>
                              <w:szCs w:val="26"/>
                            </w:rPr>
                            <w:fldChar w:fldCharType="separate"/>
                          </w:r>
                          <w:r>
                            <w:rPr>
                              <w:rStyle w:val="70"/>
                              <w:rFonts w:ascii="宋体" w:hAnsi="宋体"/>
                              <w:sz w:val="26"/>
                              <w:szCs w:val="26"/>
                            </w:rPr>
                            <w:t>150</w:t>
                          </w:r>
                          <w:r>
                            <w:rPr>
                              <w:rFonts w:ascii="宋体" w:hAnsi="宋体"/>
                              <w:sz w:val="26"/>
                              <w:szCs w:val="26"/>
                            </w:rPr>
                            <w:fldChar w:fldCharType="end"/>
                          </w:r>
                          <w:r>
                            <w:rPr>
                              <w:rStyle w:val="70"/>
                              <w:rFonts w:hint="eastAsia" w:ascii="宋体" w:hAnsi="宋体"/>
                              <w:sz w:val="20"/>
                            </w:rPr>
                            <w:t xml:space="preserve">  </w:t>
                          </w:r>
                          <w:r>
                            <w:rPr>
                              <w:rStyle w:val="70"/>
                              <w:rFonts w:hint="eastAsia" w:ascii="宋体" w:hAnsi="宋体"/>
                              <w:sz w:val="28"/>
                              <w:szCs w:val="28"/>
                            </w:rPr>
                            <w:t>—</w:t>
                          </w:r>
                        </w:p>
                      </w:txbxContent>
                    </wps:txbx>
                    <wps:bodyPr wrap="none" lIns="0" tIns="0" rIns="0" bIns="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2zJosQBAACQAwAADgAAAGRycy9lMm9Eb2MueG1srVNLbtswEN0XyB0I&#10;7mPKWhSu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s2zJosQBAACQAwAADgAAAAAAAAABACAAAAAeAQAAZHJzL2Uyb0RvYy54bWxQ&#10;SwUGAAAAAAYABgBZAQAAVAUAAAAA&#10;">
              <v:fill on="f" focussize="0,0"/>
              <v:stroke on="f"/>
              <v:imagedata o:title=""/>
              <o:lock v:ext="edit" aspectratio="f"/>
              <v:textbox inset="0mm,0mm,0mm,0mm" style="mso-fit-shape-to-text:t;">
                <w:txbxContent>
                  <w:p w14:paraId="6E65102A">
                    <w:pPr>
                      <w:pStyle w:val="41"/>
                      <w:rPr>
                        <w:rStyle w:val="70"/>
                        <w:rFonts w:ascii="宋体" w:hAnsi="宋体"/>
                        <w:sz w:val="28"/>
                        <w:szCs w:val="28"/>
                      </w:rPr>
                    </w:pPr>
                    <w:r>
                      <w:rPr>
                        <w:rStyle w:val="70"/>
                        <w:rFonts w:hint="eastAsia" w:ascii="宋体" w:hAnsi="宋体"/>
                        <w:sz w:val="28"/>
                        <w:szCs w:val="28"/>
                      </w:rPr>
                      <w:t>—</w:t>
                    </w:r>
                    <w:r>
                      <w:rPr>
                        <w:rStyle w:val="70"/>
                        <w:rFonts w:hint="eastAsia" w:ascii="宋体" w:hAnsi="宋体"/>
                        <w:sz w:val="20"/>
                      </w:rPr>
                      <w:t xml:space="preserve">  </w:t>
                    </w:r>
                    <w:r>
                      <w:rPr>
                        <w:rFonts w:ascii="宋体" w:hAnsi="宋体"/>
                        <w:sz w:val="26"/>
                        <w:szCs w:val="26"/>
                      </w:rPr>
                      <w:fldChar w:fldCharType="begin"/>
                    </w:r>
                    <w:r>
                      <w:rPr>
                        <w:rStyle w:val="70"/>
                        <w:rFonts w:ascii="宋体" w:hAnsi="宋体"/>
                        <w:sz w:val="26"/>
                        <w:szCs w:val="26"/>
                      </w:rPr>
                      <w:instrText xml:space="preserve">PAGE  </w:instrText>
                    </w:r>
                    <w:r>
                      <w:rPr>
                        <w:rFonts w:ascii="宋体" w:hAnsi="宋体"/>
                        <w:sz w:val="26"/>
                        <w:szCs w:val="26"/>
                      </w:rPr>
                      <w:fldChar w:fldCharType="separate"/>
                    </w:r>
                    <w:r>
                      <w:rPr>
                        <w:rStyle w:val="70"/>
                        <w:rFonts w:ascii="宋体" w:hAnsi="宋体"/>
                        <w:sz w:val="26"/>
                        <w:szCs w:val="26"/>
                      </w:rPr>
                      <w:t>150</w:t>
                    </w:r>
                    <w:r>
                      <w:rPr>
                        <w:rFonts w:ascii="宋体" w:hAnsi="宋体"/>
                        <w:sz w:val="26"/>
                        <w:szCs w:val="26"/>
                      </w:rPr>
                      <w:fldChar w:fldCharType="end"/>
                    </w:r>
                    <w:r>
                      <w:rPr>
                        <w:rStyle w:val="70"/>
                        <w:rFonts w:hint="eastAsia" w:ascii="宋体" w:hAnsi="宋体"/>
                        <w:sz w:val="20"/>
                      </w:rPr>
                      <w:t xml:space="preserve">  </w:t>
                    </w:r>
                    <w:r>
                      <w:rPr>
                        <w:rStyle w:val="70"/>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BCC1B">
    <w:pPr>
      <w:pStyle w:val="41"/>
      <w:jc w:val="center"/>
    </w:pPr>
    <w:r>
      <w:fldChar w:fldCharType="begin"/>
    </w:r>
    <w:r>
      <w:instrText xml:space="preserve">PAGE   \* MERGEFORMAT</w:instrText>
    </w:r>
    <w:r>
      <w:fldChar w:fldCharType="separate"/>
    </w:r>
    <w:r>
      <w:rPr>
        <w:lang w:val="zh-CN"/>
      </w:rPr>
      <w:t>154</w:t>
    </w:r>
    <w:r>
      <w:fldChar w:fldCharType="end"/>
    </w:r>
  </w:p>
  <w:p w14:paraId="6B5AC898">
    <w:pPr>
      <w:pStyle w:val="41"/>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2D94C"/>
    <w:multiLevelType w:val="singleLevel"/>
    <w:tmpl w:val="8CC2D94C"/>
    <w:lvl w:ilvl="0" w:tentative="0">
      <w:start w:val="1"/>
      <w:numFmt w:val="decimal"/>
      <w:suff w:val="nothing"/>
      <w:lvlText w:val="%1、"/>
      <w:lvlJc w:val="left"/>
    </w:lvl>
  </w:abstractNum>
  <w:abstractNum w:abstractNumId="1">
    <w:nsid w:val="9686506C"/>
    <w:multiLevelType w:val="singleLevel"/>
    <w:tmpl w:val="9686506C"/>
    <w:lvl w:ilvl="0" w:tentative="0">
      <w:start w:val="1"/>
      <w:numFmt w:val="decimal"/>
      <w:suff w:val="nothing"/>
      <w:lvlText w:val="（%1）"/>
      <w:lvlJc w:val="left"/>
    </w:lvl>
  </w:abstractNum>
  <w:abstractNum w:abstractNumId="2">
    <w:nsid w:val="BFD9A480"/>
    <w:multiLevelType w:val="singleLevel"/>
    <w:tmpl w:val="BFD9A480"/>
    <w:lvl w:ilvl="0" w:tentative="0">
      <w:start w:val="2"/>
      <w:numFmt w:val="decimal"/>
      <w:suff w:val="nothing"/>
      <w:lvlText w:val="%1）"/>
      <w:lvlJc w:val="left"/>
    </w:lvl>
  </w:abstractNum>
  <w:abstractNum w:abstractNumId="3">
    <w:nsid w:val="CAF64DDF"/>
    <w:multiLevelType w:val="singleLevel"/>
    <w:tmpl w:val="CAF64DDF"/>
    <w:lvl w:ilvl="0" w:tentative="0">
      <w:start w:val="1"/>
      <w:numFmt w:val="decimal"/>
      <w:suff w:val="nothing"/>
      <w:lvlText w:val="%1）"/>
      <w:lvlJc w:val="left"/>
    </w:lvl>
  </w:abstractNum>
  <w:abstractNum w:abstractNumId="4">
    <w:nsid w:val="CD5D03F4"/>
    <w:multiLevelType w:val="singleLevel"/>
    <w:tmpl w:val="CD5D03F4"/>
    <w:lvl w:ilvl="0" w:tentative="0">
      <w:start w:val="1"/>
      <w:numFmt w:val="decimal"/>
      <w:suff w:val="nothing"/>
      <w:lvlText w:val="%1、"/>
      <w:lvlJc w:val="left"/>
      <w:pPr>
        <w:ind w:left="600" w:leftChars="0" w:firstLine="0" w:firstLineChars="0"/>
      </w:pPr>
    </w:lvl>
  </w:abstractNum>
  <w:abstractNum w:abstractNumId="5">
    <w:nsid w:val="E22F0AAA"/>
    <w:multiLevelType w:val="singleLevel"/>
    <w:tmpl w:val="E22F0AAA"/>
    <w:lvl w:ilvl="0" w:tentative="0">
      <w:start w:val="1"/>
      <w:numFmt w:val="decimal"/>
      <w:suff w:val="nothing"/>
      <w:lvlText w:val="（%1）"/>
      <w:lvlJc w:val="left"/>
      <w:pPr>
        <w:ind w:left="240" w:firstLine="0"/>
      </w:pPr>
      <w:rPr>
        <w:rFonts w:hint="default"/>
        <w:sz w:val="24"/>
        <w:szCs w:val="24"/>
      </w:rPr>
    </w:lvl>
  </w:abstractNum>
  <w:abstractNum w:abstractNumId="6">
    <w:nsid w:val="0F3C26F4"/>
    <w:multiLevelType w:val="multilevel"/>
    <w:tmpl w:val="0F3C26F4"/>
    <w:lvl w:ilvl="0" w:tentative="0">
      <w:start w:val="1"/>
      <w:numFmt w:val="chineseCountingThousand"/>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69A4481"/>
    <w:multiLevelType w:val="multilevel"/>
    <w:tmpl w:val="169A4481"/>
    <w:lvl w:ilvl="0" w:tentative="0">
      <w:start w:val="1"/>
      <w:numFmt w:val="decimal"/>
      <w:pStyle w:val="1051"/>
      <w:lvlText w:val="%1"/>
      <w:lvlJc w:val="left"/>
      <w:pPr>
        <w:tabs>
          <w:tab w:val="left" w:pos="425"/>
        </w:tabs>
        <w:ind w:left="425" w:hanging="425"/>
      </w:pPr>
    </w:lvl>
    <w:lvl w:ilvl="1" w:tentative="0">
      <w:start w:val="1"/>
      <w:numFmt w:val="decimal"/>
      <w:lvlText w:val="%1.%2"/>
      <w:lvlJc w:val="left"/>
      <w:pPr>
        <w:tabs>
          <w:tab w:val="left" w:pos="1145"/>
        </w:tabs>
        <w:ind w:left="992" w:hanging="567"/>
      </w:pPr>
    </w:lvl>
    <w:lvl w:ilvl="2" w:tentative="0">
      <w:start w:val="1"/>
      <w:numFmt w:val="decimal"/>
      <w:lvlText w:val="%1.%2.%3"/>
      <w:lvlJc w:val="left"/>
      <w:pPr>
        <w:tabs>
          <w:tab w:val="left" w:pos="1931"/>
        </w:tabs>
        <w:ind w:left="1418" w:hanging="567"/>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501"/>
        </w:tabs>
        <w:ind w:left="2551" w:hanging="850"/>
      </w:pPr>
    </w:lvl>
    <w:lvl w:ilvl="5" w:tentative="0">
      <w:start w:val="1"/>
      <w:numFmt w:val="decimal"/>
      <w:lvlText w:val="%1.%2.%3.%4.%5.%6"/>
      <w:lvlJc w:val="left"/>
      <w:pPr>
        <w:tabs>
          <w:tab w:val="left" w:pos="4286"/>
        </w:tabs>
        <w:ind w:left="3260" w:hanging="1134"/>
      </w:pPr>
    </w:lvl>
    <w:lvl w:ilvl="6" w:tentative="0">
      <w:start w:val="1"/>
      <w:numFmt w:val="decimal"/>
      <w:lvlText w:val="%1.%2.%3.%4.%5.%6.%7"/>
      <w:lvlJc w:val="left"/>
      <w:pPr>
        <w:tabs>
          <w:tab w:val="left" w:pos="5071"/>
        </w:tabs>
        <w:ind w:left="3827" w:hanging="1276"/>
      </w:pPr>
    </w:lvl>
    <w:lvl w:ilvl="7" w:tentative="0">
      <w:start w:val="1"/>
      <w:numFmt w:val="decimal"/>
      <w:lvlText w:val="%1.%2.%3.%4.%5.%6.%7.%8"/>
      <w:lvlJc w:val="left"/>
      <w:pPr>
        <w:tabs>
          <w:tab w:val="left" w:pos="5856"/>
        </w:tabs>
        <w:ind w:left="4394" w:hanging="1418"/>
      </w:pPr>
    </w:lvl>
    <w:lvl w:ilvl="8" w:tentative="0">
      <w:start w:val="1"/>
      <w:numFmt w:val="decimal"/>
      <w:lvlText w:val="%1.%2.%3.%4.%5.%6.%7.%8.%9"/>
      <w:lvlJc w:val="left"/>
      <w:pPr>
        <w:tabs>
          <w:tab w:val="left" w:pos="6642"/>
        </w:tabs>
        <w:ind w:left="5102" w:hanging="1700"/>
      </w:pPr>
    </w:lvl>
  </w:abstractNum>
  <w:abstractNum w:abstractNumId="8">
    <w:nsid w:val="212A900A"/>
    <w:multiLevelType w:val="multilevel"/>
    <w:tmpl w:val="212A900A"/>
    <w:lvl w:ilvl="0" w:tentative="0">
      <w:start w:val="1"/>
      <w:numFmt w:val="chineseCounting"/>
      <w:suff w:val="nothing"/>
      <w:lvlText w:val="%1、"/>
      <w:lvlJc w:val="left"/>
      <w:pPr>
        <w:tabs>
          <w:tab w:val="left" w:pos="0"/>
        </w:tabs>
        <w:ind w:left="425" w:hanging="425"/>
      </w:pPr>
      <w:rPr>
        <w:rFonts w:hint="eastAsia" w:ascii="黑体" w:hAnsi="黑体" w:eastAsia="黑体" w:cs="黑体"/>
        <w:b/>
        <w:bCs/>
        <w:sz w:val="30"/>
        <w:szCs w:val="30"/>
      </w:rPr>
    </w:lvl>
    <w:lvl w:ilvl="1" w:tentative="0">
      <w:start w:val="1"/>
      <w:numFmt w:val="decimal"/>
      <w:isLgl/>
      <w:lvlText w:val="%2、"/>
      <w:lvlJc w:val="left"/>
      <w:pPr>
        <w:tabs>
          <w:tab w:val="left" w:pos="420"/>
        </w:tabs>
        <w:ind w:left="425" w:hanging="425"/>
      </w:pPr>
      <w:rPr>
        <w:rFonts w:hint="eastAsia" w:ascii="宋体" w:hAnsi="宋体" w:eastAsia="宋体" w:cs="宋体"/>
        <w:b/>
        <w:bCs/>
        <w:sz w:val="24"/>
        <w:szCs w:val="24"/>
      </w:rPr>
    </w:lvl>
    <w:lvl w:ilvl="2" w:tentative="0">
      <w:start w:val="1"/>
      <w:numFmt w:val="decimal"/>
      <w:isLgl/>
      <w:lvlText w:val="%2.%3."/>
      <w:lvlJc w:val="left"/>
      <w:pPr>
        <w:tabs>
          <w:tab w:val="left" w:pos="420"/>
        </w:tabs>
        <w:ind w:left="0" w:firstLine="0"/>
      </w:pPr>
      <w:rPr>
        <w:rFonts w:hint="eastAsia" w:ascii="宋体" w:hAnsi="宋体" w:eastAsia="宋体" w:cs="宋体"/>
        <w:sz w:val="24"/>
        <w:szCs w:val="24"/>
      </w:rPr>
    </w:lvl>
    <w:lvl w:ilvl="3" w:tentative="0">
      <w:start w:val="1"/>
      <w:numFmt w:val="decimal"/>
      <w:lvlRestart w:val="1"/>
      <w:pStyle w:val="1101"/>
      <w:isLgl/>
      <w:lvlText w:val="表%1-%4"/>
      <w:lvlJc w:val="left"/>
      <w:pPr>
        <w:tabs>
          <w:tab w:val="left" w:pos="283"/>
        </w:tabs>
        <w:ind w:left="283" w:hanging="283"/>
      </w:pPr>
      <w:rPr>
        <w:rFonts w:hint="default" w:ascii="Times New Roman" w:hAnsi="Times New Roman" w:eastAsia="宋体" w:cs="Times New Roman"/>
        <w:b/>
        <w:bCs/>
        <w:sz w:val="24"/>
        <w:szCs w:val="24"/>
      </w:rPr>
    </w:lvl>
    <w:lvl w:ilvl="4" w:tentative="0">
      <w:start w:val="1"/>
      <w:numFmt w:val="decimal"/>
      <w:lvlRestart w:val="1"/>
      <w:isLgl/>
      <w:lvlText w:val="图%1-%5"/>
      <w:lvlJc w:val="left"/>
      <w:pPr>
        <w:tabs>
          <w:tab w:val="left" w:pos="283"/>
        </w:tabs>
        <w:ind w:left="283" w:hanging="283"/>
      </w:pPr>
      <w:rPr>
        <w:rFonts w:hint="default" w:ascii="宋体" w:hAnsi="宋体" w:eastAsia="宋体" w:cs="宋体"/>
        <w:b/>
        <w:bCs/>
        <w:color w:val="auto"/>
        <w:sz w:val="21"/>
        <w:szCs w:val="21"/>
      </w:rPr>
    </w:lvl>
    <w:lvl w:ilvl="5" w:tentative="0">
      <w:start w:val="1"/>
      <w:numFmt w:val="decimal"/>
      <w:lvlRestart w:val="2"/>
      <w:suff w:val="nothing"/>
      <w:lvlText w:val="（%6）"/>
      <w:lvlJc w:val="left"/>
      <w:pPr>
        <w:ind w:left="1134" w:hanging="1134"/>
      </w:pPr>
      <w:rPr>
        <w:rFonts w:hint="eastAsia" w:ascii="宋体" w:hAnsi="宋体" w:eastAsia="宋体" w:cs="宋体"/>
        <w:b/>
        <w:bCs/>
        <w:sz w:val="24"/>
        <w:szCs w:val="24"/>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9">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20"/>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
    <w:nsid w:val="3366FD42"/>
    <w:multiLevelType w:val="singleLevel"/>
    <w:tmpl w:val="3366FD42"/>
    <w:lvl w:ilvl="0" w:tentative="0">
      <w:start w:val="1"/>
      <w:numFmt w:val="decimal"/>
      <w:suff w:val="nothing"/>
      <w:lvlText w:val="（%1）"/>
      <w:lvlJc w:val="left"/>
      <w:pPr>
        <w:ind w:left="360" w:firstLine="37"/>
      </w:pPr>
    </w:lvl>
  </w:abstractNum>
  <w:abstractNum w:abstractNumId="11">
    <w:nsid w:val="358045CE"/>
    <w:multiLevelType w:val="singleLevel"/>
    <w:tmpl w:val="358045CE"/>
    <w:lvl w:ilvl="0" w:tentative="0">
      <w:start w:val="1"/>
      <w:numFmt w:val="decimal"/>
      <w:suff w:val="nothing"/>
      <w:lvlText w:val="%1、"/>
      <w:lvlJc w:val="left"/>
    </w:lvl>
  </w:abstractNum>
  <w:abstractNum w:abstractNumId="12">
    <w:nsid w:val="3AFE107F"/>
    <w:multiLevelType w:val="singleLevel"/>
    <w:tmpl w:val="3AFE107F"/>
    <w:lvl w:ilvl="0" w:tentative="0">
      <w:start w:val="2"/>
      <w:numFmt w:val="decimal"/>
      <w:suff w:val="nothing"/>
      <w:lvlText w:val="%1）"/>
      <w:lvlJc w:val="left"/>
    </w:lvl>
  </w:abstractNum>
  <w:abstractNum w:abstractNumId="13">
    <w:nsid w:val="4476EB29"/>
    <w:multiLevelType w:val="singleLevel"/>
    <w:tmpl w:val="4476EB29"/>
    <w:lvl w:ilvl="0" w:tentative="0">
      <w:start w:val="6"/>
      <w:numFmt w:val="decimal"/>
      <w:suff w:val="nothing"/>
      <w:lvlText w:val="%1、"/>
      <w:lvlJc w:val="left"/>
    </w:lvl>
  </w:abstractNum>
  <w:abstractNum w:abstractNumId="14">
    <w:nsid w:val="45A1DDF1"/>
    <w:multiLevelType w:val="singleLevel"/>
    <w:tmpl w:val="45A1DDF1"/>
    <w:lvl w:ilvl="0" w:tentative="0">
      <w:start w:val="8"/>
      <w:numFmt w:val="decimal"/>
      <w:suff w:val="nothing"/>
      <w:lvlText w:val="（%1）"/>
      <w:lvlJc w:val="left"/>
    </w:lvl>
  </w:abstractNum>
  <w:abstractNum w:abstractNumId="15">
    <w:nsid w:val="5F50D3A1"/>
    <w:multiLevelType w:val="singleLevel"/>
    <w:tmpl w:val="5F50D3A1"/>
    <w:lvl w:ilvl="0" w:tentative="0">
      <w:start w:val="1"/>
      <w:numFmt w:val="decimal"/>
      <w:suff w:val="nothing"/>
      <w:lvlText w:val="（%1）"/>
      <w:lvlJc w:val="left"/>
      <w:pPr>
        <w:ind w:left="240" w:firstLine="0"/>
      </w:pPr>
      <w:rPr>
        <w:rFonts w:hint="default"/>
        <w:sz w:val="24"/>
        <w:szCs w:val="24"/>
      </w:rPr>
    </w:lvl>
  </w:abstractNum>
  <w:abstractNum w:abstractNumId="16">
    <w:nsid w:val="6429D0AE"/>
    <w:multiLevelType w:val="singleLevel"/>
    <w:tmpl w:val="6429D0AE"/>
    <w:lvl w:ilvl="0" w:tentative="0">
      <w:start w:val="1"/>
      <w:numFmt w:val="decimal"/>
      <w:suff w:val="nothing"/>
      <w:lvlText w:val="%1）"/>
      <w:lvlJc w:val="left"/>
    </w:lvl>
  </w:abstractNum>
  <w:abstractNum w:abstractNumId="17">
    <w:nsid w:val="6476CF05"/>
    <w:multiLevelType w:val="singleLevel"/>
    <w:tmpl w:val="6476CF05"/>
    <w:lvl w:ilvl="0" w:tentative="0">
      <w:start w:val="2"/>
      <w:numFmt w:val="decimal"/>
      <w:suff w:val="nothing"/>
      <w:lvlText w:val="（%1）"/>
      <w:lvlJc w:val="left"/>
    </w:lvl>
  </w:abstractNum>
  <w:num w:numId="1">
    <w:abstractNumId w:val="9"/>
  </w:num>
  <w:num w:numId="2">
    <w:abstractNumId w:val="7"/>
  </w:num>
  <w:num w:numId="3">
    <w:abstractNumId w:val="8"/>
  </w:num>
  <w:num w:numId="4">
    <w:abstractNumId w:val="11"/>
  </w:num>
  <w:num w:numId="5">
    <w:abstractNumId w:val="12"/>
  </w:num>
  <w:num w:numId="6">
    <w:abstractNumId w:val="0"/>
  </w:num>
  <w:num w:numId="7">
    <w:abstractNumId w:val="16"/>
  </w:num>
  <w:num w:numId="8">
    <w:abstractNumId w:val="17"/>
  </w:num>
  <w:num w:numId="9">
    <w:abstractNumId w:val="13"/>
  </w:num>
  <w:num w:numId="10">
    <w:abstractNumId w:val="10"/>
  </w:num>
  <w:num w:numId="11">
    <w:abstractNumId w:val="5"/>
  </w:num>
  <w:num w:numId="12">
    <w:abstractNumId w:val="14"/>
  </w:num>
  <w:num w:numId="13">
    <w:abstractNumId w:val="4"/>
  </w:num>
  <w:num w:numId="14">
    <w:abstractNumId w:val="1"/>
  </w:num>
  <w:num w:numId="15">
    <w:abstractNumId w:val="15"/>
  </w:num>
  <w:num w:numId="16">
    <w:abstractNumId w:val="6"/>
    <w:lvlOverride w:ilvl="0">
      <w:startOverride w:val="1"/>
    </w:lvlOverride>
  </w:num>
  <w:num w:numId="17">
    <w:abstractNumId w:val="6"/>
  </w:num>
  <w:num w:numId="18">
    <w:abstractNumId w:val="2"/>
  </w:num>
  <w:num w:numId="19">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俊">
    <w15:presenceInfo w15:providerId="WPS Office" w15:userId="3629406741"/>
  </w15:person>
  <w15:person w15:author="yll">
    <w15:presenceInfo w15:providerId="WPS Office" w15:userId="22186770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OGEwZWNiZTA5ZmQyZWYxMDAyNjkzMDRhOTU1YmQifQ=="/>
  </w:docVars>
  <w:rsids>
    <w:rsidRoot w:val="00172A27"/>
    <w:rsid w:val="0000000F"/>
    <w:rsid w:val="000028B1"/>
    <w:rsid w:val="00002DF9"/>
    <w:rsid w:val="00002E21"/>
    <w:rsid w:val="000039D4"/>
    <w:rsid w:val="00003F50"/>
    <w:rsid w:val="000060B3"/>
    <w:rsid w:val="00006347"/>
    <w:rsid w:val="00007F8A"/>
    <w:rsid w:val="00010C3C"/>
    <w:rsid w:val="0001178C"/>
    <w:rsid w:val="000147B8"/>
    <w:rsid w:val="00015761"/>
    <w:rsid w:val="0001626D"/>
    <w:rsid w:val="00017C2C"/>
    <w:rsid w:val="00020799"/>
    <w:rsid w:val="00022F0E"/>
    <w:rsid w:val="00022F56"/>
    <w:rsid w:val="00023D19"/>
    <w:rsid w:val="00024289"/>
    <w:rsid w:val="00031663"/>
    <w:rsid w:val="00031DB6"/>
    <w:rsid w:val="00031FEA"/>
    <w:rsid w:val="00035AA5"/>
    <w:rsid w:val="00035F6E"/>
    <w:rsid w:val="00036A67"/>
    <w:rsid w:val="0003702C"/>
    <w:rsid w:val="00037E7B"/>
    <w:rsid w:val="000406E1"/>
    <w:rsid w:val="00040964"/>
    <w:rsid w:val="00040B36"/>
    <w:rsid w:val="000414F4"/>
    <w:rsid w:val="00042383"/>
    <w:rsid w:val="000427A6"/>
    <w:rsid w:val="00042CFF"/>
    <w:rsid w:val="0004364B"/>
    <w:rsid w:val="000466C7"/>
    <w:rsid w:val="00046A2A"/>
    <w:rsid w:val="0004711F"/>
    <w:rsid w:val="0005155D"/>
    <w:rsid w:val="00051BBE"/>
    <w:rsid w:val="000523EB"/>
    <w:rsid w:val="00054F43"/>
    <w:rsid w:val="000552F5"/>
    <w:rsid w:val="00057494"/>
    <w:rsid w:val="000602ED"/>
    <w:rsid w:val="00061B1F"/>
    <w:rsid w:val="00062324"/>
    <w:rsid w:val="000627CE"/>
    <w:rsid w:val="00062DD5"/>
    <w:rsid w:val="00063935"/>
    <w:rsid w:val="00065146"/>
    <w:rsid w:val="00065D2F"/>
    <w:rsid w:val="00066EBC"/>
    <w:rsid w:val="000677C9"/>
    <w:rsid w:val="0007275F"/>
    <w:rsid w:val="00072B22"/>
    <w:rsid w:val="000733C4"/>
    <w:rsid w:val="00074783"/>
    <w:rsid w:val="00074A0A"/>
    <w:rsid w:val="00074BCD"/>
    <w:rsid w:val="0007641C"/>
    <w:rsid w:val="00077807"/>
    <w:rsid w:val="00077B5B"/>
    <w:rsid w:val="00077E4B"/>
    <w:rsid w:val="0008070B"/>
    <w:rsid w:val="00080E7D"/>
    <w:rsid w:val="000810AC"/>
    <w:rsid w:val="00081A02"/>
    <w:rsid w:val="00081B4D"/>
    <w:rsid w:val="00082231"/>
    <w:rsid w:val="000825F5"/>
    <w:rsid w:val="00082D95"/>
    <w:rsid w:val="00083BC9"/>
    <w:rsid w:val="00087B7D"/>
    <w:rsid w:val="00091B43"/>
    <w:rsid w:val="00092673"/>
    <w:rsid w:val="00092D38"/>
    <w:rsid w:val="00093404"/>
    <w:rsid w:val="00093723"/>
    <w:rsid w:val="0009377B"/>
    <w:rsid w:val="00093927"/>
    <w:rsid w:val="00094270"/>
    <w:rsid w:val="000A0095"/>
    <w:rsid w:val="000A0CDC"/>
    <w:rsid w:val="000A20C9"/>
    <w:rsid w:val="000A24C3"/>
    <w:rsid w:val="000A439F"/>
    <w:rsid w:val="000A4B43"/>
    <w:rsid w:val="000A5A89"/>
    <w:rsid w:val="000A6FD2"/>
    <w:rsid w:val="000B058F"/>
    <w:rsid w:val="000B07DB"/>
    <w:rsid w:val="000B115B"/>
    <w:rsid w:val="000B1470"/>
    <w:rsid w:val="000B2217"/>
    <w:rsid w:val="000B42D3"/>
    <w:rsid w:val="000B4467"/>
    <w:rsid w:val="000B4DB9"/>
    <w:rsid w:val="000B7156"/>
    <w:rsid w:val="000B744F"/>
    <w:rsid w:val="000C09AC"/>
    <w:rsid w:val="000C0BAF"/>
    <w:rsid w:val="000C2E61"/>
    <w:rsid w:val="000C425E"/>
    <w:rsid w:val="000C4ECE"/>
    <w:rsid w:val="000C6145"/>
    <w:rsid w:val="000C767F"/>
    <w:rsid w:val="000D11EA"/>
    <w:rsid w:val="000D14BD"/>
    <w:rsid w:val="000D1D76"/>
    <w:rsid w:val="000D3907"/>
    <w:rsid w:val="000D4138"/>
    <w:rsid w:val="000D4585"/>
    <w:rsid w:val="000D52F4"/>
    <w:rsid w:val="000D5A44"/>
    <w:rsid w:val="000D605C"/>
    <w:rsid w:val="000E1A4A"/>
    <w:rsid w:val="000E3236"/>
    <w:rsid w:val="000E3ED2"/>
    <w:rsid w:val="000E42C7"/>
    <w:rsid w:val="000E43AE"/>
    <w:rsid w:val="000E7755"/>
    <w:rsid w:val="000F0002"/>
    <w:rsid w:val="000F04F6"/>
    <w:rsid w:val="000F0B2A"/>
    <w:rsid w:val="000F0C48"/>
    <w:rsid w:val="000F333D"/>
    <w:rsid w:val="000F7296"/>
    <w:rsid w:val="0010004E"/>
    <w:rsid w:val="00102518"/>
    <w:rsid w:val="00102B3B"/>
    <w:rsid w:val="00103ED0"/>
    <w:rsid w:val="0010405C"/>
    <w:rsid w:val="00104F48"/>
    <w:rsid w:val="00105578"/>
    <w:rsid w:val="00105652"/>
    <w:rsid w:val="00105CB7"/>
    <w:rsid w:val="001076DF"/>
    <w:rsid w:val="00107D45"/>
    <w:rsid w:val="00111245"/>
    <w:rsid w:val="001118CC"/>
    <w:rsid w:val="00111EFA"/>
    <w:rsid w:val="0011760F"/>
    <w:rsid w:val="001240CF"/>
    <w:rsid w:val="00126DBD"/>
    <w:rsid w:val="00127539"/>
    <w:rsid w:val="00127C38"/>
    <w:rsid w:val="00127D0F"/>
    <w:rsid w:val="00131D66"/>
    <w:rsid w:val="00131F42"/>
    <w:rsid w:val="00134BAE"/>
    <w:rsid w:val="00135412"/>
    <w:rsid w:val="001357F1"/>
    <w:rsid w:val="00137104"/>
    <w:rsid w:val="001374DE"/>
    <w:rsid w:val="00137683"/>
    <w:rsid w:val="00140FA8"/>
    <w:rsid w:val="00141754"/>
    <w:rsid w:val="00142BFF"/>
    <w:rsid w:val="00142FEB"/>
    <w:rsid w:val="00143A2D"/>
    <w:rsid w:val="00143DA7"/>
    <w:rsid w:val="00144272"/>
    <w:rsid w:val="00145A41"/>
    <w:rsid w:val="0014644E"/>
    <w:rsid w:val="00147340"/>
    <w:rsid w:val="00147428"/>
    <w:rsid w:val="00147498"/>
    <w:rsid w:val="00147708"/>
    <w:rsid w:val="00151675"/>
    <w:rsid w:val="00151686"/>
    <w:rsid w:val="00152513"/>
    <w:rsid w:val="0015310D"/>
    <w:rsid w:val="0015364B"/>
    <w:rsid w:val="00154F78"/>
    <w:rsid w:val="001551DD"/>
    <w:rsid w:val="0015625E"/>
    <w:rsid w:val="0015725B"/>
    <w:rsid w:val="00157435"/>
    <w:rsid w:val="00157C98"/>
    <w:rsid w:val="00160245"/>
    <w:rsid w:val="00160651"/>
    <w:rsid w:val="001608D3"/>
    <w:rsid w:val="00161C6B"/>
    <w:rsid w:val="00163355"/>
    <w:rsid w:val="001654BB"/>
    <w:rsid w:val="001678BE"/>
    <w:rsid w:val="00170B5A"/>
    <w:rsid w:val="00172901"/>
    <w:rsid w:val="00172A27"/>
    <w:rsid w:val="00172ADC"/>
    <w:rsid w:val="001746F6"/>
    <w:rsid w:val="0017482B"/>
    <w:rsid w:val="00174964"/>
    <w:rsid w:val="0017504D"/>
    <w:rsid w:val="0017666A"/>
    <w:rsid w:val="0017671A"/>
    <w:rsid w:val="00177422"/>
    <w:rsid w:val="00181C34"/>
    <w:rsid w:val="00181F55"/>
    <w:rsid w:val="00182A31"/>
    <w:rsid w:val="00182E26"/>
    <w:rsid w:val="001841BE"/>
    <w:rsid w:val="0018443C"/>
    <w:rsid w:val="00184590"/>
    <w:rsid w:val="00185874"/>
    <w:rsid w:val="00185993"/>
    <w:rsid w:val="0018662C"/>
    <w:rsid w:val="0018678F"/>
    <w:rsid w:val="00186BF0"/>
    <w:rsid w:val="001870D1"/>
    <w:rsid w:val="0018781E"/>
    <w:rsid w:val="00191CC6"/>
    <w:rsid w:val="0019262D"/>
    <w:rsid w:val="00192D6F"/>
    <w:rsid w:val="001931D4"/>
    <w:rsid w:val="00193325"/>
    <w:rsid w:val="001A0EB4"/>
    <w:rsid w:val="001A130A"/>
    <w:rsid w:val="001A1B35"/>
    <w:rsid w:val="001A1C28"/>
    <w:rsid w:val="001A1C7B"/>
    <w:rsid w:val="001A21D9"/>
    <w:rsid w:val="001A385D"/>
    <w:rsid w:val="001A48A2"/>
    <w:rsid w:val="001A63F0"/>
    <w:rsid w:val="001A6E80"/>
    <w:rsid w:val="001A6F61"/>
    <w:rsid w:val="001A7E86"/>
    <w:rsid w:val="001B00B1"/>
    <w:rsid w:val="001B13F8"/>
    <w:rsid w:val="001B4E47"/>
    <w:rsid w:val="001B72B8"/>
    <w:rsid w:val="001B79F4"/>
    <w:rsid w:val="001C69B3"/>
    <w:rsid w:val="001C7C54"/>
    <w:rsid w:val="001D13DB"/>
    <w:rsid w:val="001D18E7"/>
    <w:rsid w:val="001D3D48"/>
    <w:rsid w:val="001D4206"/>
    <w:rsid w:val="001D5595"/>
    <w:rsid w:val="001D73AA"/>
    <w:rsid w:val="001D755D"/>
    <w:rsid w:val="001D7874"/>
    <w:rsid w:val="001D7CCA"/>
    <w:rsid w:val="001D7F22"/>
    <w:rsid w:val="001E01FC"/>
    <w:rsid w:val="001E13AD"/>
    <w:rsid w:val="001E1C54"/>
    <w:rsid w:val="001E292F"/>
    <w:rsid w:val="001E45A9"/>
    <w:rsid w:val="001E5592"/>
    <w:rsid w:val="001F00E7"/>
    <w:rsid w:val="001F0659"/>
    <w:rsid w:val="001F083F"/>
    <w:rsid w:val="001F0F17"/>
    <w:rsid w:val="001F2B5E"/>
    <w:rsid w:val="001F3347"/>
    <w:rsid w:val="001F3529"/>
    <w:rsid w:val="001F69E4"/>
    <w:rsid w:val="001F7445"/>
    <w:rsid w:val="002009A9"/>
    <w:rsid w:val="00201364"/>
    <w:rsid w:val="0020239E"/>
    <w:rsid w:val="00203ADA"/>
    <w:rsid w:val="0020703B"/>
    <w:rsid w:val="00210C8B"/>
    <w:rsid w:val="00210FD8"/>
    <w:rsid w:val="002125B4"/>
    <w:rsid w:val="002155B8"/>
    <w:rsid w:val="00217B5C"/>
    <w:rsid w:val="002208F4"/>
    <w:rsid w:val="002242DE"/>
    <w:rsid w:val="00224839"/>
    <w:rsid w:val="002249B2"/>
    <w:rsid w:val="00226444"/>
    <w:rsid w:val="00226574"/>
    <w:rsid w:val="002278EC"/>
    <w:rsid w:val="00227CDB"/>
    <w:rsid w:val="00231034"/>
    <w:rsid w:val="00231AF1"/>
    <w:rsid w:val="0023280E"/>
    <w:rsid w:val="00233015"/>
    <w:rsid w:val="00237531"/>
    <w:rsid w:val="002377D1"/>
    <w:rsid w:val="002427F9"/>
    <w:rsid w:val="00242895"/>
    <w:rsid w:val="00242FD3"/>
    <w:rsid w:val="00246996"/>
    <w:rsid w:val="0025013A"/>
    <w:rsid w:val="00250155"/>
    <w:rsid w:val="002506BC"/>
    <w:rsid w:val="00252858"/>
    <w:rsid w:val="00254345"/>
    <w:rsid w:val="00255B83"/>
    <w:rsid w:val="002572AD"/>
    <w:rsid w:val="0026001E"/>
    <w:rsid w:val="002611F9"/>
    <w:rsid w:val="00261C81"/>
    <w:rsid w:val="002621E7"/>
    <w:rsid w:val="002629EC"/>
    <w:rsid w:val="00264207"/>
    <w:rsid w:val="00264557"/>
    <w:rsid w:val="002647D3"/>
    <w:rsid w:val="00264AC7"/>
    <w:rsid w:val="002661CB"/>
    <w:rsid w:val="002663F1"/>
    <w:rsid w:val="00270323"/>
    <w:rsid w:val="0027058D"/>
    <w:rsid w:val="0027071E"/>
    <w:rsid w:val="00270B4A"/>
    <w:rsid w:val="002736D9"/>
    <w:rsid w:val="00275B45"/>
    <w:rsid w:val="0027717D"/>
    <w:rsid w:val="00277395"/>
    <w:rsid w:val="00277CBD"/>
    <w:rsid w:val="00277D29"/>
    <w:rsid w:val="00280161"/>
    <w:rsid w:val="002805AB"/>
    <w:rsid w:val="00283156"/>
    <w:rsid w:val="00284204"/>
    <w:rsid w:val="0028495B"/>
    <w:rsid w:val="00285A97"/>
    <w:rsid w:val="00285BE2"/>
    <w:rsid w:val="00286298"/>
    <w:rsid w:val="002862FA"/>
    <w:rsid w:val="0028779C"/>
    <w:rsid w:val="002903C3"/>
    <w:rsid w:val="00291773"/>
    <w:rsid w:val="002924F8"/>
    <w:rsid w:val="002932E0"/>
    <w:rsid w:val="00293817"/>
    <w:rsid w:val="0029570A"/>
    <w:rsid w:val="00296513"/>
    <w:rsid w:val="0029677F"/>
    <w:rsid w:val="00297AFC"/>
    <w:rsid w:val="002A168C"/>
    <w:rsid w:val="002A210F"/>
    <w:rsid w:val="002A2E03"/>
    <w:rsid w:val="002A3DC7"/>
    <w:rsid w:val="002A4D82"/>
    <w:rsid w:val="002B0242"/>
    <w:rsid w:val="002B1C08"/>
    <w:rsid w:val="002B1E24"/>
    <w:rsid w:val="002B2BF5"/>
    <w:rsid w:val="002B376A"/>
    <w:rsid w:val="002B3CDE"/>
    <w:rsid w:val="002B49E2"/>
    <w:rsid w:val="002B569D"/>
    <w:rsid w:val="002B675E"/>
    <w:rsid w:val="002B7B00"/>
    <w:rsid w:val="002B7C44"/>
    <w:rsid w:val="002C2B17"/>
    <w:rsid w:val="002C31F9"/>
    <w:rsid w:val="002C3A65"/>
    <w:rsid w:val="002C4C30"/>
    <w:rsid w:val="002C4EDE"/>
    <w:rsid w:val="002C5C3C"/>
    <w:rsid w:val="002C5D18"/>
    <w:rsid w:val="002D087B"/>
    <w:rsid w:val="002D307E"/>
    <w:rsid w:val="002D3148"/>
    <w:rsid w:val="002D3503"/>
    <w:rsid w:val="002D3DD0"/>
    <w:rsid w:val="002D47CE"/>
    <w:rsid w:val="002D4C52"/>
    <w:rsid w:val="002D701A"/>
    <w:rsid w:val="002D75CC"/>
    <w:rsid w:val="002D79C4"/>
    <w:rsid w:val="002D7DD3"/>
    <w:rsid w:val="002E1357"/>
    <w:rsid w:val="002E1F3A"/>
    <w:rsid w:val="002E2740"/>
    <w:rsid w:val="002E27C0"/>
    <w:rsid w:val="002E298A"/>
    <w:rsid w:val="002E3450"/>
    <w:rsid w:val="002E4276"/>
    <w:rsid w:val="002E7501"/>
    <w:rsid w:val="002E7BC2"/>
    <w:rsid w:val="002E7CB8"/>
    <w:rsid w:val="002F03DF"/>
    <w:rsid w:val="002F0E2D"/>
    <w:rsid w:val="002F22A6"/>
    <w:rsid w:val="002F2570"/>
    <w:rsid w:val="002F3D7A"/>
    <w:rsid w:val="002F42F1"/>
    <w:rsid w:val="002F458A"/>
    <w:rsid w:val="002F5F9F"/>
    <w:rsid w:val="002F61BA"/>
    <w:rsid w:val="00301631"/>
    <w:rsid w:val="0030170C"/>
    <w:rsid w:val="00301978"/>
    <w:rsid w:val="003026BF"/>
    <w:rsid w:val="0030332C"/>
    <w:rsid w:val="00303968"/>
    <w:rsid w:val="003051C2"/>
    <w:rsid w:val="00305787"/>
    <w:rsid w:val="00305E50"/>
    <w:rsid w:val="00307C33"/>
    <w:rsid w:val="00311229"/>
    <w:rsid w:val="00312296"/>
    <w:rsid w:val="0031281E"/>
    <w:rsid w:val="00313CE5"/>
    <w:rsid w:val="00313CED"/>
    <w:rsid w:val="00314F0E"/>
    <w:rsid w:val="003155C8"/>
    <w:rsid w:val="00315992"/>
    <w:rsid w:val="00316CF2"/>
    <w:rsid w:val="003170AE"/>
    <w:rsid w:val="00321D8E"/>
    <w:rsid w:val="00322BC4"/>
    <w:rsid w:val="00323E5E"/>
    <w:rsid w:val="00324411"/>
    <w:rsid w:val="00324D8C"/>
    <w:rsid w:val="00325928"/>
    <w:rsid w:val="003274FB"/>
    <w:rsid w:val="00327931"/>
    <w:rsid w:val="00332066"/>
    <w:rsid w:val="003320D5"/>
    <w:rsid w:val="00332863"/>
    <w:rsid w:val="0033373C"/>
    <w:rsid w:val="003352C2"/>
    <w:rsid w:val="00335DD0"/>
    <w:rsid w:val="0033684D"/>
    <w:rsid w:val="00337740"/>
    <w:rsid w:val="00337B42"/>
    <w:rsid w:val="00341547"/>
    <w:rsid w:val="003415BF"/>
    <w:rsid w:val="00341B42"/>
    <w:rsid w:val="00342C96"/>
    <w:rsid w:val="00343211"/>
    <w:rsid w:val="0034348F"/>
    <w:rsid w:val="00343A7E"/>
    <w:rsid w:val="00344DC3"/>
    <w:rsid w:val="003459A1"/>
    <w:rsid w:val="003504E5"/>
    <w:rsid w:val="00350F61"/>
    <w:rsid w:val="00355FF6"/>
    <w:rsid w:val="00356141"/>
    <w:rsid w:val="00356653"/>
    <w:rsid w:val="0035680A"/>
    <w:rsid w:val="00356B70"/>
    <w:rsid w:val="0035728D"/>
    <w:rsid w:val="0035743F"/>
    <w:rsid w:val="00357BE2"/>
    <w:rsid w:val="003608CB"/>
    <w:rsid w:val="00360DE8"/>
    <w:rsid w:val="0036170C"/>
    <w:rsid w:val="0036572B"/>
    <w:rsid w:val="00366E0F"/>
    <w:rsid w:val="00367AEE"/>
    <w:rsid w:val="003714EA"/>
    <w:rsid w:val="00372D05"/>
    <w:rsid w:val="00373A8D"/>
    <w:rsid w:val="00374861"/>
    <w:rsid w:val="00375D90"/>
    <w:rsid w:val="00376569"/>
    <w:rsid w:val="00381A72"/>
    <w:rsid w:val="003837BB"/>
    <w:rsid w:val="00384676"/>
    <w:rsid w:val="00384F83"/>
    <w:rsid w:val="00386D16"/>
    <w:rsid w:val="0039038F"/>
    <w:rsid w:val="00390857"/>
    <w:rsid w:val="003919A0"/>
    <w:rsid w:val="003926A9"/>
    <w:rsid w:val="003A0ED4"/>
    <w:rsid w:val="003A17ED"/>
    <w:rsid w:val="003A1E6D"/>
    <w:rsid w:val="003A46D8"/>
    <w:rsid w:val="003A4BF3"/>
    <w:rsid w:val="003A6152"/>
    <w:rsid w:val="003A6242"/>
    <w:rsid w:val="003A6E2B"/>
    <w:rsid w:val="003A6F41"/>
    <w:rsid w:val="003A7D1C"/>
    <w:rsid w:val="003A7D62"/>
    <w:rsid w:val="003B0707"/>
    <w:rsid w:val="003B2FDB"/>
    <w:rsid w:val="003B3337"/>
    <w:rsid w:val="003B3A74"/>
    <w:rsid w:val="003B3AB0"/>
    <w:rsid w:val="003B420D"/>
    <w:rsid w:val="003B58EF"/>
    <w:rsid w:val="003B68D9"/>
    <w:rsid w:val="003C0CB6"/>
    <w:rsid w:val="003C3094"/>
    <w:rsid w:val="003C313B"/>
    <w:rsid w:val="003C3D7E"/>
    <w:rsid w:val="003C52E0"/>
    <w:rsid w:val="003C5582"/>
    <w:rsid w:val="003C6C16"/>
    <w:rsid w:val="003D03A0"/>
    <w:rsid w:val="003D0ED7"/>
    <w:rsid w:val="003D243E"/>
    <w:rsid w:val="003D2FEA"/>
    <w:rsid w:val="003D5036"/>
    <w:rsid w:val="003D5045"/>
    <w:rsid w:val="003D794D"/>
    <w:rsid w:val="003E0047"/>
    <w:rsid w:val="003E06AE"/>
    <w:rsid w:val="003E1113"/>
    <w:rsid w:val="003E1BD3"/>
    <w:rsid w:val="003E3058"/>
    <w:rsid w:val="003E336E"/>
    <w:rsid w:val="003E43B4"/>
    <w:rsid w:val="003E70EE"/>
    <w:rsid w:val="003E76A9"/>
    <w:rsid w:val="003F0809"/>
    <w:rsid w:val="003F16BA"/>
    <w:rsid w:val="003F2B09"/>
    <w:rsid w:val="003F448C"/>
    <w:rsid w:val="003F4660"/>
    <w:rsid w:val="003F4ADF"/>
    <w:rsid w:val="003F62F5"/>
    <w:rsid w:val="003F6A8C"/>
    <w:rsid w:val="003F755C"/>
    <w:rsid w:val="003F7A81"/>
    <w:rsid w:val="00400287"/>
    <w:rsid w:val="004010E2"/>
    <w:rsid w:val="00401548"/>
    <w:rsid w:val="00402664"/>
    <w:rsid w:val="00403266"/>
    <w:rsid w:val="00404CBB"/>
    <w:rsid w:val="00405B9C"/>
    <w:rsid w:val="0040693A"/>
    <w:rsid w:val="00406C26"/>
    <w:rsid w:val="00406F01"/>
    <w:rsid w:val="0041025B"/>
    <w:rsid w:val="004120D5"/>
    <w:rsid w:val="00413F00"/>
    <w:rsid w:val="0041492B"/>
    <w:rsid w:val="004149BC"/>
    <w:rsid w:val="00416D50"/>
    <w:rsid w:val="00416FD5"/>
    <w:rsid w:val="00417772"/>
    <w:rsid w:val="004205B5"/>
    <w:rsid w:val="00420E6A"/>
    <w:rsid w:val="00422003"/>
    <w:rsid w:val="00422C04"/>
    <w:rsid w:val="00423C35"/>
    <w:rsid w:val="00423C6D"/>
    <w:rsid w:val="00424306"/>
    <w:rsid w:val="00425953"/>
    <w:rsid w:val="00425A9E"/>
    <w:rsid w:val="00426D6B"/>
    <w:rsid w:val="00427FEA"/>
    <w:rsid w:val="00430143"/>
    <w:rsid w:val="00431E6C"/>
    <w:rsid w:val="004338C3"/>
    <w:rsid w:val="00433CE7"/>
    <w:rsid w:val="00433E7C"/>
    <w:rsid w:val="0043654B"/>
    <w:rsid w:val="00436AB6"/>
    <w:rsid w:val="00440736"/>
    <w:rsid w:val="00441793"/>
    <w:rsid w:val="004418D3"/>
    <w:rsid w:val="00443AA4"/>
    <w:rsid w:val="00443CAB"/>
    <w:rsid w:val="00444ACD"/>
    <w:rsid w:val="0044531F"/>
    <w:rsid w:val="00445544"/>
    <w:rsid w:val="004467B3"/>
    <w:rsid w:val="00446AF9"/>
    <w:rsid w:val="00446CC9"/>
    <w:rsid w:val="0045046A"/>
    <w:rsid w:val="00452738"/>
    <w:rsid w:val="004531C9"/>
    <w:rsid w:val="00454AB9"/>
    <w:rsid w:val="00456091"/>
    <w:rsid w:val="00456DAB"/>
    <w:rsid w:val="00457DF8"/>
    <w:rsid w:val="0046111F"/>
    <w:rsid w:val="00462519"/>
    <w:rsid w:val="00463114"/>
    <w:rsid w:val="00464200"/>
    <w:rsid w:val="00466321"/>
    <w:rsid w:val="00466F06"/>
    <w:rsid w:val="00470D86"/>
    <w:rsid w:val="00472984"/>
    <w:rsid w:val="00472A5A"/>
    <w:rsid w:val="0047344B"/>
    <w:rsid w:val="00474107"/>
    <w:rsid w:val="00475AD3"/>
    <w:rsid w:val="00482640"/>
    <w:rsid w:val="00482E8B"/>
    <w:rsid w:val="00484197"/>
    <w:rsid w:val="00484B9B"/>
    <w:rsid w:val="004855F6"/>
    <w:rsid w:val="00486254"/>
    <w:rsid w:val="0048661E"/>
    <w:rsid w:val="00486FAA"/>
    <w:rsid w:val="00490B57"/>
    <w:rsid w:val="004914BD"/>
    <w:rsid w:val="00491594"/>
    <w:rsid w:val="00491E89"/>
    <w:rsid w:val="00492657"/>
    <w:rsid w:val="00493A06"/>
    <w:rsid w:val="004941B8"/>
    <w:rsid w:val="00494670"/>
    <w:rsid w:val="004A0E4E"/>
    <w:rsid w:val="004A0F43"/>
    <w:rsid w:val="004A10B2"/>
    <w:rsid w:val="004A2A10"/>
    <w:rsid w:val="004A3823"/>
    <w:rsid w:val="004A38F8"/>
    <w:rsid w:val="004A4808"/>
    <w:rsid w:val="004A4988"/>
    <w:rsid w:val="004A4B55"/>
    <w:rsid w:val="004A66C2"/>
    <w:rsid w:val="004A7D47"/>
    <w:rsid w:val="004B0C8B"/>
    <w:rsid w:val="004B173E"/>
    <w:rsid w:val="004B4BFD"/>
    <w:rsid w:val="004B5416"/>
    <w:rsid w:val="004C057F"/>
    <w:rsid w:val="004C3284"/>
    <w:rsid w:val="004C3C7B"/>
    <w:rsid w:val="004C3FEA"/>
    <w:rsid w:val="004C58F0"/>
    <w:rsid w:val="004C61E9"/>
    <w:rsid w:val="004C62E8"/>
    <w:rsid w:val="004D00D9"/>
    <w:rsid w:val="004D0B54"/>
    <w:rsid w:val="004D2AD8"/>
    <w:rsid w:val="004D2D7C"/>
    <w:rsid w:val="004D3A35"/>
    <w:rsid w:val="004D629E"/>
    <w:rsid w:val="004D674E"/>
    <w:rsid w:val="004D6BBB"/>
    <w:rsid w:val="004E0020"/>
    <w:rsid w:val="004E251C"/>
    <w:rsid w:val="004E50AA"/>
    <w:rsid w:val="004E5280"/>
    <w:rsid w:val="004E6946"/>
    <w:rsid w:val="004F1AD8"/>
    <w:rsid w:val="004F1E5F"/>
    <w:rsid w:val="004F3964"/>
    <w:rsid w:val="004F4099"/>
    <w:rsid w:val="004F4B7A"/>
    <w:rsid w:val="004F68E3"/>
    <w:rsid w:val="004F6BFE"/>
    <w:rsid w:val="005039CB"/>
    <w:rsid w:val="0050465A"/>
    <w:rsid w:val="0050558F"/>
    <w:rsid w:val="00505DFD"/>
    <w:rsid w:val="00506286"/>
    <w:rsid w:val="00507D57"/>
    <w:rsid w:val="00507FBE"/>
    <w:rsid w:val="00510813"/>
    <w:rsid w:val="00511990"/>
    <w:rsid w:val="00511DE0"/>
    <w:rsid w:val="00512E31"/>
    <w:rsid w:val="00514870"/>
    <w:rsid w:val="00514B9B"/>
    <w:rsid w:val="00514F16"/>
    <w:rsid w:val="00515534"/>
    <w:rsid w:val="0051641E"/>
    <w:rsid w:val="00517F02"/>
    <w:rsid w:val="005210A5"/>
    <w:rsid w:val="00524303"/>
    <w:rsid w:val="005258A2"/>
    <w:rsid w:val="0052691A"/>
    <w:rsid w:val="00530B7A"/>
    <w:rsid w:val="005321D7"/>
    <w:rsid w:val="005325D8"/>
    <w:rsid w:val="0053396B"/>
    <w:rsid w:val="00533CC7"/>
    <w:rsid w:val="00536B19"/>
    <w:rsid w:val="00536F53"/>
    <w:rsid w:val="005401AE"/>
    <w:rsid w:val="00542E07"/>
    <w:rsid w:val="00543ACB"/>
    <w:rsid w:val="00543BE1"/>
    <w:rsid w:val="00544701"/>
    <w:rsid w:val="00544901"/>
    <w:rsid w:val="00545424"/>
    <w:rsid w:val="005502FF"/>
    <w:rsid w:val="00551B62"/>
    <w:rsid w:val="0055220E"/>
    <w:rsid w:val="005539A0"/>
    <w:rsid w:val="00553DE0"/>
    <w:rsid w:val="00554A7B"/>
    <w:rsid w:val="0055572C"/>
    <w:rsid w:val="005576ED"/>
    <w:rsid w:val="00560688"/>
    <w:rsid w:val="0056106A"/>
    <w:rsid w:val="005620E2"/>
    <w:rsid w:val="00563274"/>
    <w:rsid w:val="00563FA0"/>
    <w:rsid w:val="005640B9"/>
    <w:rsid w:val="00566203"/>
    <w:rsid w:val="00567219"/>
    <w:rsid w:val="00571CD7"/>
    <w:rsid w:val="00571E4C"/>
    <w:rsid w:val="005720AE"/>
    <w:rsid w:val="00572795"/>
    <w:rsid w:val="005728A6"/>
    <w:rsid w:val="00572E53"/>
    <w:rsid w:val="00573148"/>
    <w:rsid w:val="0057453E"/>
    <w:rsid w:val="00574E66"/>
    <w:rsid w:val="0057574E"/>
    <w:rsid w:val="005827AA"/>
    <w:rsid w:val="005848AB"/>
    <w:rsid w:val="00584A39"/>
    <w:rsid w:val="00585E38"/>
    <w:rsid w:val="005901CF"/>
    <w:rsid w:val="00590CFC"/>
    <w:rsid w:val="0059153C"/>
    <w:rsid w:val="00593912"/>
    <w:rsid w:val="00593CE4"/>
    <w:rsid w:val="00594D77"/>
    <w:rsid w:val="00594EB0"/>
    <w:rsid w:val="0059526B"/>
    <w:rsid w:val="005959B3"/>
    <w:rsid w:val="00596319"/>
    <w:rsid w:val="005969E4"/>
    <w:rsid w:val="005A06B7"/>
    <w:rsid w:val="005A0E0E"/>
    <w:rsid w:val="005A1759"/>
    <w:rsid w:val="005A4F86"/>
    <w:rsid w:val="005A68A7"/>
    <w:rsid w:val="005B1EF1"/>
    <w:rsid w:val="005B2C9E"/>
    <w:rsid w:val="005B4025"/>
    <w:rsid w:val="005B429A"/>
    <w:rsid w:val="005B5255"/>
    <w:rsid w:val="005C116C"/>
    <w:rsid w:val="005C1D8A"/>
    <w:rsid w:val="005C291D"/>
    <w:rsid w:val="005C2A9D"/>
    <w:rsid w:val="005C2C61"/>
    <w:rsid w:val="005C2DB2"/>
    <w:rsid w:val="005C37BC"/>
    <w:rsid w:val="005C5FDE"/>
    <w:rsid w:val="005C6B61"/>
    <w:rsid w:val="005C6EFF"/>
    <w:rsid w:val="005C7400"/>
    <w:rsid w:val="005D1E44"/>
    <w:rsid w:val="005D2B01"/>
    <w:rsid w:val="005D36AB"/>
    <w:rsid w:val="005D3C76"/>
    <w:rsid w:val="005D3F8F"/>
    <w:rsid w:val="005D513C"/>
    <w:rsid w:val="005D5312"/>
    <w:rsid w:val="005D6B02"/>
    <w:rsid w:val="005D6D81"/>
    <w:rsid w:val="005D6EF3"/>
    <w:rsid w:val="005E0690"/>
    <w:rsid w:val="005E123E"/>
    <w:rsid w:val="005E24F9"/>
    <w:rsid w:val="005E2669"/>
    <w:rsid w:val="005E47A4"/>
    <w:rsid w:val="005E6DD7"/>
    <w:rsid w:val="005F149E"/>
    <w:rsid w:val="005F1EE1"/>
    <w:rsid w:val="005F29FF"/>
    <w:rsid w:val="005F2A16"/>
    <w:rsid w:val="005F2B21"/>
    <w:rsid w:val="005F43F6"/>
    <w:rsid w:val="005F547D"/>
    <w:rsid w:val="005F5588"/>
    <w:rsid w:val="005F5C8D"/>
    <w:rsid w:val="005F5DA1"/>
    <w:rsid w:val="005F6FB2"/>
    <w:rsid w:val="00600819"/>
    <w:rsid w:val="006027B6"/>
    <w:rsid w:val="00602F99"/>
    <w:rsid w:val="0060415B"/>
    <w:rsid w:val="0060499C"/>
    <w:rsid w:val="006049AD"/>
    <w:rsid w:val="006068D6"/>
    <w:rsid w:val="00610B89"/>
    <w:rsid w:val="0061132E"/>
    <w:rsid w:val="00612B74"/>
    <w:rsid w:val="0061375A"/>
    <w:rsid w:val="006138E5"/>
    <w:rsid w:val="00613BAD"/>
    <w:rsid w:val="006148FB"/>
    <w:rsid w:val="006170F0"/>
    <w:rsid w:val="00617BC8"/>
    <w:rsid w:val="00617CC3"/>
    <w:rsid w:val="00622522"/>
    <w:rsid w:val="00622AD6"/>
    <w:rsid w:val="00624CFB"/>
    <w:rsid w:val="00624E67"/>
    <w:rsid w:val="00630388"/>
    <w:rsid w:val="00630539"/>
    <w:rsid w:val="006308F0"/>
    <w:rsid w:val="006312BA"/>
    <w:rsid w:val="006377A6"/>
    <w:rsid w:val="00637A3D"/>
    <w:rsid w:val="00637C6A"/>
    <w:rsid w:val="00641165"/>
    <w:rsid w:val="006411EF"/>
    <w:rsid w:val="006421E2"/>
    <w:rsid w:val="00643113"/>
    <w:rsid w:val="0064349C"/>
    <w:rsid w:val="006439BF"/>
    <w:rsid w:val="0064754E"/>
    <w:rsid w:val="00647AED"/>
    <w:rsid w:val="00651FAD"/>
    <w:rsid w:val="00652B2C"/>
    <w:rsid w:val="0065306A"/>
    <w:rsid w:val="0065390A"/>
    <w:rsid w:val="00653A7C"/>
    <w:rsid w:val="0065531A"/>
    <w:rsid w:val="00656F8F"/>
    <w:rsid w:val="00660FFC"/>
    <w:rsid w:val="0066146C"/>
    <w:rsid w:val="00663CEB"/>
    <w:rsid w:val="00664C86"/>
    <w:rsid w:val="0066519A"/>
    <w:rsid w:val="00665537"/>
    <w:rsid w:val="00667127"/>
    <w:rsid w:val="00667D97"/>
    <w:rsid w:val="00670351"/>
    <w:rsid w:val="006712E1"/>
    <w:rsid w:val="00671349"/>
    <w:rsid w:val="0067146D"/>
    <w:rsid w:val="00671686"/>
    <w:rsid w:val="006748B8"/>
    <w:rsid w:val="006775C3"/>
    <w:rsid w:val="0068198E"/>
    <w:rsid w:val="00682020"/>
    <w:rsid w:val="00683F8E"/>
    <w:rsid w:val="00685BFF"/>
    <w:rsid w:val="006865AF"/>
    <w:rsid w:val="00691AE1"/>
    <w:rsid w:val="00692111"/>
    <w:rsid w:val="0069290A"/>
    <w:rsid w:val="00693180"/>
    <w:rsid w:val="00693E36"/>
    <w:rsid w:val="0069459A"/>
    <w:rsid w:val="00695807"/>
    <w:rsid w:val="0069775A"/>
    <w:rsid w:val="00697813"/>
    <w:rsid w:val="006A08CD"/>
    <w:rsid w:val="006A0ED2"/>
    <w:rsid w:val="006A0F06"/>
    <w:rsid w:val="006A26A2"/>
    <w:rsid w:val="006A3EE8"/>
    <w:rsid w:val="006A592A"/>
    <w:rsid w:val="006A5947"/>
    <w:rsid w:val="006A6C09"/>
    <w:rsid w:val="006A72BF"/>
    <w:rsid w:val="006A7437"/>
    <w:rsid w:val="006B03F2"/>
    <w:rsid w:val="006B07C7"/>
    <w:rsid w:val="006B0A8A"/>
    <w:rsid w:val="006B326B"/>
    <w:rsid w:val="006B37DC"/>
    <w:rsid w:val="006B4021"/>
    <w:rsid w:val="006B4CF1"/>
    <w:rsid w:val="006B4F68"/>
    <w:rsid w:val="006B5797"/>
    <w:rsid w:val="006B5E79"/>
    <w:rsid w:val="006C02D2"/>
    <w:rsid w:val="006C0592"/>
    <w:rsid w:val="006C190A"/>
    <w:rsid w:val="006C272E"/>
    <w:rsid w:val="006C2EF0"/>
    <w:rsid w:val="006C2F82"/>
    <w:rsid w:val="006C5479"/>
    <w:rsid w:val="006C77A1"/>
    <w:rsid w:val="006D0CE9"/>
    <w:rsid w:val="006D13B5"/>
    <w:rsid w:val="006D1539"/>
    <w:rsid w:val="006D1A74"/>
    <w:rsid w:val="006D3933"/>
    <w:rsid w:val="006D493F"/>
    <w:rsid w:val="006D4A54"/>
    <w:rsid w:val="006E12FF"/>
    <w:rsid w:val="006E22F7"/>
    <w:rsid w:val="006E2484"/>
    <w:rsid w:val="006E29D0"/>
    <w:rsid w:val="006E306D"/>
    <w:rsid w:val="006E350F"/>
    <w:rsid w:val="006E3667"/>
    <w:rsid w:val="006E3F90"/>
    <w:rsid w:val="006E4172"/>
    <w:rsid w:val="006E607E"/>
    <w:rsid w:val="006E723C"/>
    <w:rsid w:val="006F1603"/>
    <w:rsid w:val="006F1AB2"/>
    <w:rsid w:val="006F1C76"/>
    <w:rsid w:val="006F297E"/>
    <w:rsid w:val="006F2E22"/>
    <w:rsid w:val="006F3F54"/>
    <w:rsid w:val="006F58E4"/>
    <w:rsid w:val="006F61D3"/>
    <w:rsid w:val="006F6D8B"/>
    <w:rsid w:val="00700D8E"/>
    <w:rsid w:val="00701EDD"/>
    <w:rsid w:val="0070280D"/>
    <w:rsid w:val="00704047"/>
    <w:rsid w:val="007058A4"/>
    <w:rsid w:val="00706970"/>
    <w:rsid w:val="00706C5D"/>
    <w:rsid w:val="007111CD"/>
    <w:rsid w:val="0071450A"/>
    <w:rsid w:val="00722DEB"/>
    <w:rsid w:val="007234C0"/>
    <w:rsid w:val="00725B4B"/>
    <w:rsid w:val="00727B5E"/>
    <w:rsid w:val="007304E0"/>
    <w:rsid w:val="007309B4"/>
    <w:rsid w:val="00732301"/>
    <w:rsid w:val="00732922"/>
    <w:rsid w:val="0073357E"/>
    <w:rsid w:val="00733BEB"/>
    <w:rsid w:val="00735177"/>
    <w:rsid w:val="00740A32"/>
    <w:rsid w:val="0074103F"/>
    <w:rsid w:val="007417A9"/>
    <w:rsid w:val="00743F00"/>
    <w:rsid w:val="0075162E"/>
    <w:rsid w:val="0075194C"/>
    <w:rsid w:val="00751BDD"/>
    <w:rsid w:val="00752379"/>
    <w:rsid w:val="00754034"/>
    <w:rsid w:val="0075418D"/>
    <w:rsid w:val="00756056"/>
    <w:rsid w:val="00756556"/>
    <w:rsid w:val="0076054A"/>
    <w:rsid w:val="00760CBC"/>
    <w:rsid w:val="007617A1"/>
    <w:rsid w:val="007618C4"/>
    <w:rsid w:val="007618D8"/>
    <w:rsid w:val="0076239B"/>
    <w:rsid w:val="00762DE0"/>
    <w:rsid w:val="00764ABA"/>
    <w:rsid w:val="00764F4F"/>
    <w:rsid w:val="00765B29"/>
    <w:rsid w:val="007667B4"/>
    <w:rsid w:val="00767424"/>
    <w:rsid w:val="00767980"/>
    <w:rsid w:val="00767BB4"/>
    <w:rsid w:val="00770161"/>
    <w:rsid w:val="00770B19"/>
    <w:rsid w:val="00771B65"/>
    <w:rsid w:val="0077463F"/>
    <w:rsid w:val="007764F5"/>
    <w:rsid w:val="00777B8F"/>
    <w:rsid w:val="00777BCC"/>
    <w:rsid w:val="007801DA"/>
    <w:rsid w:val="007819CB"/>
    <w:rsid w:val="007828A7"/>
    <w:rsid w:val="007836EA"/>
    <w:rsid w:val="00784CDA"/>
    <w:rsid w:val="0078767A"/>
    <w:rsid w:val="00787DFA"/>
    <w:rsid w:val="007906C4"/>
    <w:rsid w:val="007915D8"/>
    <w:rsid w:val="0079176C"/>
    <w:rsid w:val="00793B1B"/>
    <w:rsid w:val="007940EA"/>
    <w:rsid w:val="007957E6"/>
    <w:rsid w:val="007967E8"/>
    <w:rsid w:val="00796A16"/>
    <w:rsid w:val="0079782D"/>
    <w:rsid w:val="007A099E"/>
    <w:rsid w:val="007A2170"/>
    <w:rsid w:val="007A22BF"/>
    <w:rsid w:val="007A3323"/>
    <w:rsid w:val="007A3406"/>
    <w:rsid w:val="007A5CA1"/>
    <w:rsid w:val="007A6021"/>
    <w:rsid w:val="007A6929"/>
    <w:rsid w:val="007A7DE9"/>
    <w:rsid w:val="007B299A"/>
    <w:rsid w:val="007B3145"/>
    <w:rsid w:val="007B31C1"/>
    <w:rsid w:val="007B3603"/>
    <w:rsid w:val="007B4072"/>
    <w:rsid w:val="007B4C68"/>
    <w:rsid w:val="007B5EE2"/>
    <w:rsid w:val="007B6451"/>
    <w:rsid w:val="007B72B8"/>
    <w:rsid w:val="007B7A58"/>
    <w:rsid w:val="007C0F2D"/>
    <w:rsid w:val="007C1170"/>
    <w:rsid w:val="007C1F54"/>
    <w:rsid w:val="007C1FF9"/>
    <w:rsid w:val="007C21B5"/>
    <w:rsid w:val="007C4FD5"/>
    <w:rsid w:val="007C649C"/>
    <w:rsid w:val="007D11BC"/>
    <w:rsid w:val="007D1A87"/>
    <w:rsid w:val="007D2D2A"/>
    <w:rsid w:val="007D3FE0"/>
    <w:rsid w:val="007D4D88"/>
    <w:rsid w:val="007E3AC2"/>
    <w:rsid w:val="007E4BD2"/>
    <w:rsid w:val="007E5429"/>
    <w:rsid w:val="007F1B76"/>
    <w:rsid w:val="007F2F66"/>
    <w:rsid w:val="007F405C"/>
    <w:rsid w:val="007F42A9"/>
    <w:rsid w:val="007F5352"/>
    <w:rsid w:val="007F6C6F"/>
    <w:rsid w:val="00801393"/>
    <w:rsid w:val="008018DF"/>
    <w:rsid w:val="008024DF"/>
    <w:rsid w:val="00802F88"/>
    <w:rsid w:val="00804072"/>
    <w:rsid w:val="008043BF"/>
    <w:rsid w:val="0080743E"/>
    <w:rsid w:val="008124E8"/>
    <w:rsid w:val="0081293E"/>
    <w:rsid w:val="00812AD7"/>
    <w:rsid w:val="00814294"/>
    <w:rsid w:val="00814795"/>
    <w:rsid w:val="00814E0E"/>
    <w:rsid w:val="0081517D"/>
    <w:rsid w:val="00815465"/>
    <w:rsid w:val="00815D42"/>
    <w:rsid w:val="00815F0F"/>
    <w:rsid w:val="00816446"/>
    <w:rsid w:val="00816E0F"/>
    <w:rsid w:val="00817E9A"/>
    <w:rsid w:val="00820C88"/>
    <w:rsid w:val="00821223"/>
    <w:rsid w:val="0082244F"/>
    <w:rsid w:val="00824346"/>
    <w:rsid w:val="008278ED"/>
    <w:rsid w:val="008306BD"/>
    <w:rsid w:val="00830A00"/>
    <w:rsid w:val="00831A80"/>
    <w:rsid w:val="00833743"/>
    <w:rsid w:val="008340A4"/>
    <w:rsid w:val="008340D9"/>
    <w:rsid w:val="00834B07"/>
    <w:rsid w:val="008351A4"/>
    <w:rsid w:val="00840533"/>
    <w:rsid w:val="00841AAF"/>
    <w:rsid w:val="00841BD1"/>
    <w:rsid w:val="0084220A"/>
    <w:rsid w:val="00845F7E"/>
    <w:rsid w:val="00847DE1"/>
    <w:rsid w:val="00851521"/>
    <w:rsid w:val="00853014"/>
    <w:rsid w:val="00854897"/>
    <w:rsid w:val="0085546C"/>
    <w:rsid w:val="00855CB9"/>
    <w:rsid w:val="00855D02"/>
    <w:rsid w:val="00857307"/>
    <w:rsid w:val="00862F21"/>
    <w:rsid w:val="008664BC"/>
    <w:rsid w:val="008705FF"/>
    <w:rsid w:val="00870E21"/>
    <w:rsid w:val="0087135F"/>
    <w:rsid w:val="00872D94"/>
    <w:rsid w:val="00875223"/>
    <w:rsid w:val="00877AEF"/>
    <w:rsid w:val="00880364"/>
    <w:rsid w:val="00884081"/>
    <w:rsid w:val="00884AE1"/>
    <w:rsid w:val="00885A6C"/>
    <w:rsid w:val="00885D54"/>
    <w:rsid w:val="00891592"/>
    <w:rsid w:val="00891E9E"/>
    <w:rsid w:val="008936BE"/>
    <w:rsid w:val="0089375F"/>
    <w:rsid w:val="0089501D"/>
    <w:rsid w:val="00896C94"/>
    <w:rsid w:val="008A071F"/>
    <w:rsid w:val="008A2927"/>
    <w:rsid w:val="008A2E0E"/>
    <w:rsid w:val="008A2F68"/>
    <w:rsid w:val="008B09B7"/>
    <w:rsid w:val="008B3BF7"/>
    <w:rsid w:val="008B4FA6"/>
    <w:rsid w:val="008B50A7"/>
    <w:rsid w:val="008B5282"/>
    <w:rsid w:val="008B6F67"/>
    <w:rsid w:val="008B7AD7"/>
    <w:rsid w:val="008B7C17"/>
    <w:rsid w:val="008C0A49"/>
    <w:rsid w:val="008C2D01"/>
    <w:rsid w:val="008C40E6"/>
    <w:rsid w:val="008C5824"/>
    <w:rsid w:val="008C5E6D"/>
    <w:rsid w:val="008C65E9"/>
    <w:rsid w:val="008D0F7A"/>
    <w:rsid w:val="008D1A84"/>
    <w:rsid w:val="008D2DAA"/>
    <w:rsid w:val="008D3A29"/>
    <w:rsid w:val="008D442F"/>
    <w:rsid w:val="008D4D5A"/>
    <w:rsid w:val="008D62FF"/>
    <w:rsid w:val="008D68E4"/>
    <w:rsid w:val="008D72F9"/>
    <w:rsid w:val="008D762F"/>
    <w:rsid w:val="008D765F"/>
    <w:rsid w:val="008E0506"/>
    <w:rsid w:val="008E0CFF"/>
    <w:rsid w:val="008E141F"/>
    <w:rsid w:val="008E32DE"/>
    <w:rsid w:val="008E5D6B"/>
    <w:rsid w:val="008E6E02"/>
    <w:rsid w:val="008E76F0"/>
    <w:rsid w:val="008E7FBA"/>
    <w:rsid w:val="008F0171"/>
    <w:rsid w:val="008F095A"/>
    <w:rsid w:val="008F1064"/>
    <w:rsid w:val="008F15FE"/>
    <w:rsid w:val="008F1875"/>
    <w:rsid w:val="008F1ABD"/>
    <w:rsid w:val="008F1BDE"/>
    <w:rsid w:val="008F27FB"/>
    <w:rsid w:val="008F2D29"/>
    <w:rsid w:val="008F4B62"/>
    <w:rsid w:val="008F5187"/>
    <w:rsid w:val="008F60D8"/>
    <w:rsid w:val="008F6959"/>
    <w:rsid w:val="00900803"/>
    <w:rsid w:val="00900EF3"/>
    <w:rsid w:val="00902727"/>
    <w:rsid w:val="0090310D"/>
    <w:rsid w:val="0090312B"/>
    <w:rsid w:val="00906C08"/>
    <w:rsid w:val="00910661"/>
    <w:rsid w:val="00912465"/>
    <w:rsid w:val="009126EA"/>
    <w:rsid w:val="00912B9D"/>
    <w:rsid w:val="00913D01"/>
    <w:rsid w:val="00915FD0"/>
    <w:rsid w:val="00917010"/>
    <w:rsid w:val="0091736D"/>
    <w:rsid w:val="0091778C"/>
    <w:rsid w:val="009209E9"/>
    <w:rsid w:val="00920D52"/>
    <w:rsid w:val="00922572"/>
    <w:rsid w:val="009241DA"/>
    <w:rsid w:val="0092710D"/>
    <w:rsid w:val="0093037A"/>
    <w:rsid w:val="00931216"/>
    <w:rsid w:val="00932FA6"/>
    <w:rsid w:val="00933082"/>
    <w:rsid w:val="009334EA"/>
    <w:rsid w:val="0093376D"/>
    <w:rsid w:val="00934920"/>
    <w:rsid w:val="00937682"/>
    <w:rsid w:val="0094039A"/>
    <w:rsid w:val="00940906"/>
    <w:rsid w:val="0094154D"/>
    <w:rsid w:val="00941BEC"/>
    <w:rsid w:val="00942BCB"/>
    <w:rsid w:val="00943369"/>
    <w:rsid w:val="009462E9"/>
    <w:rsid w:val="00947B1B"/>
    <w:rsid w:val="00950E03"/>
    <w:rsid w:val="0095155F"/>
    <w:rsid w:val="009517BA"/>
    <w:rsid w:val="00952D1D"/>
    <w:rsid w:val="0095349E"/>
    <w:rsid w:val="00954429"/>
    <w:rsid w:val="00955D56"/>
    <w:rsid w:val="009563CE"/>
    <w:rsid w:val="00956712"/>
    <w:rsid w:val="0095714B"/>
    <w:rsid w:val="00957DB6"/>
    <w:rsid w:val="009606D3"/>
    <w:rsid w:val="009679BF"/>
    <w:rsid w:val="00970A4F"/>
    <w:rsid w:val="009712E8"/>
    <w:rsid w:val="00971A8B"/>
    <w:rsid w:val="00974388"/>
    <w:rsid w:val="00975675"/>
    <w:rsid w:val="00975D66"/>
    <w:rsid w:val="00976328"/>
    <w:rsid w:val="0097680D"/>
    <w:rsid w:val="00977C97"/>
    <w:rsid w:val="0098024C"/>
    <w:rsid w:val="00980AEB"/>
    <w:rsid w:val="00980BAA"/>
    <w:rsid w:val="00982438"/>
    <w:rsid w:val="0098404C"/>
    <w:rsid w:val="009842E3"/>
    <w:rsid w:val="00984712"/>
    <w:rsid w:val="00985283"/>
    <w:rsid w:val="009858F9"/>
    <w:rsid w:val="00985FFB"/>
    <w:rsid w:val="009902EF"/>
    <w:rsid w:val="009919E1"/>
    <w:rsid w:val="00993CD7"/>
    <w:rsid w:val="00994F88"/>
    <w:rsid w:val="00995992"/>
    <w:rsid w:val="009961AD"/>
    <w:rsid w:val="009974C1"/>
    <w:rsid w:val="009A03E5"/>
    <w:rsid w:val="009A0E91"/>
    <w:rsid w:val="009A0F39"/>
    <w:rsid w:val="009A0F3B"/>
    <w:rsid w:val="009A15F9"/>
    <w:rsid w:val="009A19FD"/>
    <w:rsid w:val="009A1BB4"/>
    <w:rsid w:val="009A256A"/>
    <w:rsid w:val="009A2628"/>
    <w:rsid w:val="009A3200"/>
    <w:rsid w:val="009A4AC1"/>
    <w:rsid w:val="009A585B"/>
    <w:rsid w:val="009A62E8"/>
    <w:rsid w:val="009A6789"/>
    <w:rsid w:val="009A7FB1"/>
    <w:rsid w:val="009B053A"/>
    <w:rsid w:val="009B0897"/>
    <w:rsid w:val="009B0EBD"/>
    <w:rsid w:val="009B16E0"/>
    <w:rsid w:val="009B18C3"/>
    <w:rsid w:val="009B473E"/>
    <w:rsid w:val="009B64C4"/>
    <w:rsid w:val="009B6E77"/>
    <w:rsid w:val="009B7862"/>
    <w:rsid w:val="009B7BD9"/>
    <w:rsid w:val="009C1665"/>
    <w:rsid w:val="009C5BC3"/>
    <w:rsid w:val="009C7DD5"/>
    <w:rsid w:val="009D0766"/>
    <w:rsid w:val="009D09CB"/>
    <w:rsid w:val="009D0EA3"/>
    <w:rsid w:val="009D1D03"/>
    <w:rsid w:val="009D24A4"/>
    <w:rsid w:val="009D25CF"/>
    <w:rsid w:val="009D3B9E"/>
    <w:rsid w:val="009D5176"/>
    <w:rsid w:val="009D6A5A"/>
    <w:rsid w:val="009E001B"/>
    <w:rsid w:val="009E1283"/>
    <w:rsid w:val="009E227D"/>
    <w:rsid w:val="009E37DF"/>
    <w:rsid w:val="009E4715"/>
    <w:rsid w:val="009E5019"/>
    <w:rsid w:val="009E5050"/>
    <w:rsid w:val="009E5819"/>
    <w:rsid w:val="009E5AAE"/>
    <w:rsid w:val="009E7118"/>
    <w:rsid w:val="009F172D"/>
    <w:rsid w:val="009F1E7A"/>
    <w:rsid w:val="009F21DF"/>
    <w:rsid w:val="009F2391"/>
    <w:rsid w:val="009F2C7E"/>
    <w:rsid w:val="009F3F1D"/>
    <w:rsid w:val="00A00379"/>
    <w:rsid w:val="00A00F2D"/>
    <w:rsid w:val="00A0144A"/>
    <w:rsid w:val="00A038B0"/>
    <w:rsid w:val="00A04247"/>
    <w:rsid w:val="00A04F1B"/>
    <w:rsid w:val="00A0501B"/>
    <w:rsid w:val="00A054CE"/>
    <w:rsid w:val="00A05848"/>
    <w:rsid w:val="00A06B50"/>
    <w:rsid w:val="00A10958"/>
    <w:rsid w:val="00A10993"/>
    <w:rsid w:val="00A12A20"/>
    <w:rsid w:val="00A14947"/>
    <w:rsid w:val="00A14F4C"/>
    <w:rsid w:val="00A16615"/>
    <w:rsid w:val="00A171FA"/>
    <w:rsid w:val="00A200D0"/>
    <w:rsid w:val="00A20270"/>
    <w:rsid w:val="00A205DC"/>
    <w:rsid w:val="00A2324E"/>
    <w:rsid w:val="00A2346E"/>
    <w:rsid w:val="00A23FD2"/>
    <w:rsid w:val="00A24FDD"/>
    <w:rsid w:val="00A25963"/>
    <w:rsid w:val="00A25CE0"/>
    <w:rsid w:val="00A31FE1"/>
    <w:rsid w:val="00A32171"/>
    <w:rsid w:val="00A328C4"/>
    <w:rsid w:val="00A32A83"/>
    <w:rsid w:val="00A32D61"/>
    <w:rsid w:val="00A32E38"/>
    <w:rsid w:val="00A368DB"/>
    <w:rsid w:val="00A36903"/>
    <w:rsid w:val="00A3759B"/>
    <w:rsid w:val="00A375B8"/>
    <w:rsid w:val="00A411C3"/>
    <w:rsid w:val="00A423AA"/>
    <w:rsid w:val="00A43B43"/>
    <w:rsid w:val="00A51A1D"/>
    <w:rsid w:val="00A525E0"/>
    <w:rsid w:val="00A52A7B"/>
    <w:rsid w:val="00A536D6"/>
    <w:rsid w:val="00A53EC6"/>
    <w:rsid w:val="00A55C0F"/>
    <w:rsid w:val="00A55C4C"/>
    <w:rsid w:val="00A56413"/>
    <w:rsid w:val="00A5743F"/>
    <w:rsid w:val="00A575D9"/>
    <w:rsid w:val="00A57CA5"/>
    <w:rsid w:val="00A60CA4"/>
    <w:rsid w:val="00A63003"/>
    <w:rsid w:val="00A658AF"/>
    <w:rsid w:val="00A65FA9"/>
    <w:rsid w:val="00A67124"/>
    <w:rsid w:val="00A71D7A"/>
    <w:rsid w:val="00A71F5C"/>
    <w:rsid w:val="00A73029"/>
    <w:rsid w:val="00A73C6D"/>
    <w:rsid w:val="00A74446"/>
    <w:rsid w:val="00A74833"/>
    <w:rsid w:val="00A755DF"/>
    <w:rsid w:val="00A757ED"/>
    <w:rsid w:val="00A75EE1"/>
    <w:rsid w:val="00A80593"/>
    <w:rsid w:val="00A81603"/>
    <w:rsid w:val="00A81E74"/>
    <w:rsid w:val="00A82CE0"/>
    <w:rsid w:val="00A82E74"/>
    <w:rsid w:val="00A832E6"/>
    <w:rsid w:val="00A835DD"/>
    <w:rsid w:val="00A85B73"/>
    <w:rsid w:val="00A86A5A"/>
    <w:rsid w:val="00A8713F"/>
    <w:rsid w:val="00A87F74"/>
    <w:rsid w:val="00A90BA1"/>
    <w:rsid w:val="00A91A2C"/>
    <w:rsid w:val="00A92A71"/>
    <w:rsid w:val="00A93D9F"/>
    <w:rsid w:val="00A95215"/>
    <w:rsid w:val="00A974B5"/>
    <w:rsid w:val="00A97848"/>
    <w:rsid w:val="00A97A9A"/>
    <w:rsid w:val="00AA0671"/>
    <w:rsid w:val="00AA2149"/>
    <w:rsid w:val="00AA2531"/>
    <w:rsid w:val="00AA26AE"/>
    <w:rsid w:val="00AA311A"/>
    <w:rsid w:val="00AA35BF"/>
    <w:rsid w:val="00AB091C"/>
    <w:rsid w:val="00AB15A3"/>
    <w:rsid w:val="00AB1E09"/>
    <w:rsid w:val="00AB5330"/>
    <w:rsid w:val="00AB596B"/>
    <w:rsid w:val="00AB7747"/>
    <w:rsid w:val="00AB795F"/>
    <w:rsid w:val="00AB7CCB"/>
    <w:rsid w:val="00AC0A2A"/>
    <w:rsid w:val="00AC14CE"/>
    <w:rsid w:val="00AC1834"/>
    <w:rsid w:val="00AC1C23"/>
    <w:rsid w:val="00AC2A56"/>
    <w:rsid w:val="00AC34DF"/>
    <w:rsid w:val="00AC3674"/>
    <w:rsid w:val="00AD01F0"/>
    <w:rsid w:val="00AD055E"/>
    <w:rsid w:val="00AD0641"/>
    <w:rsid w:val="00AD1507"/>
    <w:rsid w:val="00AD1F9C"/>
    <w:rsid w:val="00AD2F57"/>
    <w:rsid w:val="00AD31D0"/>
    <w:rsid w:val="00AD47A7"/>
    <w:rsid w:val="00AD7712"/>
    <w:rsid w:val="00AE0C9D"/>
    <w:rsid w:val="00AE188E"/>
    <w:rsid w:val="00AE2758"/>
    <w:rsid w:val="00AE4B44"/>
    <w:rsid w:val="00AE4C71"/>
    <w:rsid w:val="00AF0CBF"/>
    <w:rsid w:val="00AF253D"/>
    <w:rsid w:val="00AF257F"/>
    <w:rsid w:val="00AF33CF"/>
    <w:rsid w:val="00AF3C32"/>
    <w:rsid w:val="00AF3F2B"/>
    <w:rsid w:val="00AF4D50"/>
    <w:rsid w:val="00AF5332"/>
    <w:rsid w:val="00AF5D40"/>
    <w:rsid w:val="00AF6179"/>
    <w:rsid w:val="00AF65F4"/>
    <w:rsid w:val="00B00C95"/>
    <w:rsid w:val="00B01DB9"/>
    <w:rsid w:val="00B04216"/>
    <w:rsid w:val="00B046B9"/>
    <w:rsid w:val="00B047FA"/>
    <w:rsid w:val="00B04B89"/>
    <w:rsid w:val="00B06A4C"/>
    <w:rsid w:val="00B06FF7"/>
    <w:rsid w:val="00B0710C"/>
    <w:rsid w:val="00B11374"/>
    <w:rsid w:val="00B1177F"/>
    <w:rsid w:val="00B1295A"/>
    <w:rsid w:val="00B1334A"/>
    <w:rsid w:val="00B162C5"/>
    <w:rsid w:val="00B20A45"/>
    <w:rsid w:val="00B22C5C"/>
    <w:rsid w:val="00B24F30"/>
    <w:rsid w:val="00B255D4"/>
    <w:rsid w:val="00B25E4E"/>
    <w:rsid w:val="00B27315"/>
    <w:rsid w:val="00B27685"/>
    <w:rsid w:val="00B317B4"/>
    <w:rsid w:val="00B31ABF"/>
    <w:rsid w:val="00B31ED6"/>
    <w:rsid w:val="00B33BE3"/>
    <w:rsid w:val="00B351DB"/>
    <w:rsid w:val="00B4074C"/>
    <w:rsid w:val="00B40EAD"/>
    <w:rsid w:val="00B42148"/>
    <w:rsid w:val="00B428F8"/>
    <w:rsid w:val="00B43788"/>
    <w:rsid w:val="00B43AD0"/>
    <w:rsid w:val="00B44D42"/>
    <w:rsid w:val="00B45C86"/>
    <w:rsid w:val="00B46B76"/>
    <w:rsid w:val="00B46EB4"/>
    <w:rsid w:val="00B52763"/>
    <w:rsid w:val="00B531CC"/>
    <w:rsid w:val="00B53B5D"/>
    <w:rsid w:val="00B54A95"/>
    <w:rsid w:val="00B55C9C"/>
    <w:rsid w:val="00B57756"/>
    <w:rsid w:val="00B6055E"/>
    <w:rsid w:val="00B62C41"/>
    <w:rsid w:val="00B6317D"/>
    <w:rsid w:val="00B66932"/>
    <w:rsid w:val="00B66FE6"/>
    <w:rsid w:val="00B67E39"/>
    <w:rsid w:val="00B718FD"/>
    <w:rsid w:val="00B72CC9"/>
    <w:rsid w:val="00B76409"/>
    <w:rsid w:val="00B7723F"/>
    <w:rsid w:val="00B80534"/>
    <w:rsid w:val="00B8148E"/>
    <w:rsid w:val="00B81ABF"/>
    <w:rsid w:val="00B81FE9"/>
    <w:rsid w:val="00B82BA2"/>
    <w:rsid w:val="00B8433C"/>
    <w:rsid w:val="00B86D0D"/>
    <w:rsid w:val="00B8706E"/>
    <w:rsid w:val="00B87491"/>
    <w:rsid w:val="00B87915"/>
    <w:rsid w:val="00B90D02"/>
    <w:rsid w:val="00B91FE7"/>
    <w:rsid w:val="00B949AC"/>
    <w:rsid w:val="00B9558E"/>
    <w:rsid w:val="00B95897"/>
    <w:rsid w:val="00B97A4F"/>
    <w:rsid w:val="00B97E1A"/>
    <w:rsid w:val="00BA003C"/>
    <w:rsid w:val="00BA00FD"/>
    <w:rsid w:val="00BA0290"/>
    <w:rsid w:val="00BA27C4"/>
    <w:rsid w:val="00BA29E9"/>
    <w:rsid w:val="00BA2C3C"/>
    <w:rsid w:val="00BA5571"/>
    <w:rsid w:val="00BA7142"/>
    <w:rsid w:val="00BA7CA7"/>
    <w:rsid w:val="00BB10DE"/>
    <w:rsid w:val="00BB237C"/>
    <w:rsid w:val="00BB29BB"/>
    <w:rsid w:val="00BB3CD1"/>
    <w:rsid w:val="00BB41A3"/>
    <w:rsid w:val="00BB71B0"/>
    <w:rsid w:val="00BB7AF4"/>
    <w:rsid w:val="00BC32DC"/>
    <w:rsid w:val="00BC35B6"/>
    <w:rsid w:val="00BC4444"/>
    <w:rsid w:val="00BC4976"/>
    <w:rsid w:val="00BC5087"/>
    <w:rsid w:val="00BC56AF"/>
    <w:rsid w:val="00BC66CA"/>
    <w:rsid w:val="00BC6C76"/>
    <w:rsid w:val="00BC6F38"/>
    <w:rsid w:val="00BC7066"/>
    <w:rsid w:val="00BD0F03"/>
    <w:rsid w:val="00BD1B51"/>
    <w:rsid w:val="00BD2209"/>
    <w:rsid w:val="00BD31FD"/>
    <w:rsid w:val="00BD3A7D"/>
    <w:rsid w:val="00BD4596"/>
    <w:rsid w:val="00BD4BE9"/>
    <w:rsid w:val="00BD4E46"/>
    <w:rsid w:val="00BD5D47"/>
    <w:rsid w:val="00BE1405"/>
    <w:rsid w:val="00BE2600"/>
    <w:rsid w:val="00BE2F46"/>
    <w:rsid w:val="00BE312D"/>
    <w:rsid w:val="00BE5453"/>
    <w:rsid w:val="00BE7C4D"/>
    <w:rsid w:val="00BF0E19"/>
    <w:rsid w:val="00BF0E76"/>
    <w:rsid w:val="00BF1C20"/>
    <w:rsid w:val="00BF1E5A"/>
    <w:rsid w:val="00BF2F8B"/>
    <w:rsid w:val="00BF7434"/>
    <w:rsid w:val="00C00272"/>
    <w:rsid w:val="00C006FC"/>
    <w:rsid w:val="00C00CDD"/>
    <w:rsid w:val="00C010D5"/>
    <w:rsid w:val="00C03C95"/>
    <w:rsid w:val="00C05A63"/>
    <w:rsid w:val="00C1024D"/>
    <w:rsid w:val="00C10578"/>
    <w:rsid w:val="00C11966"/>
    <w:rsid w:val="00C11B95"/>
    <w:rsid w:val="00C135BC"/>
    <w:rsid w:val="00C15C95"/>
    <w:rsid w:val="00C20383"/>
    <w:rsid w:val="00C225DB"/>
    <w:rsid w:val="00C22945"/>
    <w:rsid w:val="00C234EF"/>
    <w:rsid w:val="00C2596A"/>
    <w:rsid w:val="00C26628"/>
    <w:rsid w:val="00C26B15"/>
    <w:rsid w:val="00C27537"/>
    <w:rsid w:val="00C30EF5"/>
    <w:rsid w:val="00C31263"/>
    <w:rsid w:val="00C328FE"/>
    <w:rsid w:val="00C33507"/>
    <w:rsid w:val="00C33934"/>
    <w:rsid w:val="00C35BCD"/>
    <w:rsid w:val="00C40076"/>
    <w:rsid w:val="00C42A88"/>
    <w:rsid w:val="00C42D0B"/>
    <w:rsid w:val="00C4409D"/>
    <w:rsid w:val="00C44177"/>
    <w:rsid w:val="00C44E72"/>
    <w:rsid w:val="00C45125"/>
    <w:rsid w:val="00C452A6"/>
    <w:rsid w:val="00C45A06"/>
    <w:rsid w:val="00C45EEB"/>
    <w:rsid w:val="00C47E5B"/>
    <w:rsid w:val="00C524E5"/>
    <w:rsid w:val="00C5298D"/>
    <w:rsid w:val="00C54682"/>
    <w:rsid w:val="00C54980"/>
    <w:rsid w:val="00C555FF"/>
    <w:rsid w:val="00C612BE"/>
    <w:rsid w:val="00C61E4B"/>
    <w:rsid w:val="00C63CAD"/>
    <w:rsid w:val="00C64BFF"/>
    <w:rsid w:val="00C662A7"/>
    <w:rsid w:val="00C6664C"/>
    <w:rsid w:val="00C66DF2"/>
    <w:rsid w:val="00C704E9"/>
    <w:rsid w:val="00C70845"/>
    <w:rsid w:val="00C71DD0"/>
    <w:rsid w:val="00C73015"/>
    <w:rsid w:val="00C735BC"/>
    <w:rsid w:val="00C73BB5"/>
    <w:rsid w:val="00C763C9"/>
    <w:rsid w:val="00C76A0E"/>
    <w:rsid w:val="00C77016"/>
    <w:rsid w:val="00C80057"/>
    <w:rsid w:val="00C80F4B"/>
    <w:rsid w:val="00C81BF3"/>
    <w:rsid w:val="00C82232"/>
    <w:rsid w:val="00C82913"/>
    <w:rsid w:val="00C86583"/>
    <w:rsid w:val="00C87A8C"/>
    <w:rsid w:val="00C90F5B"/>
    <w:rsid w:val="00C91731"/>
    <w:rsid w:val="00C918E1"/>
    <w:rsid w:val="00C91C98"/>
    <w:rsid w:val="00C92376"/>
    <w:rsid w:val="00C9470F"/>
    <w:rsid w:val="00C94C50"/>
    <w:rsid w:val="00C961A0"/>
    <w:rsid w:val="00C962A4"/>
    <w:rsid w:val="00C96E2C"/>
    <w:rsid w:val="00C972B1"/>
    <w:rsid w:val="00C974B9"/>
    <w:rsid w:val="00C97656"/>
    <w:rsid w:val="00C977EF"/>
    <w:rsid w:val="00CA06DB"/>
    <w:rsid w:val="00CA2CCE"/>
    <w:rsid w:val="00CA3FAC"/>
    <w:rsid w:val="00CA43FD"/>
    <w:rsid w:val="00CA4CCD"/>
    <w:rsid w:val="00CA58E2"/>
    <w:rsid w:val="00CA714E"/>
    <w:rsid w:val="00CA7EF8"/>
    <w:rsid w:val="00CB0E07"/>
    <w:rsid w:val="00CB0F81"/>
    <w:rsid w:val="00CB13BF"/>
    <w:rsid w:val="00CB1EB4"/>
    <w:rsid w:val="00CB2C13"/>
    <w:rsid w:val="00CB3D97"/>
    <w:rsid w:val="00CB5ABC"/>
    <w:rsid w:val="00CB5C3F"/>
    <w:rsid w:val="00CB77BE"/>
    <w:rsid w:val="00CC0DA4"/>
    <w:rsid w:val="00CC19F8"/>
    <w:rsid w:val="00CC1CAE"/>
    <w:rsid w:val="00CC1FB4"/>
    <w:rsid w:val="00CC2237"/>
    <w:rsid w:val="00CC28AC"/>
    <w:rsid w:val="00CC489B"/>
    <w:rsid w:val="00CC6AB8"/>
    <w:rsid w:val="00CC794B"/>
    <w:rsid w:val="00CC7F1D"/>
    <w:rsid w:val="00CD1930"/>
    <w:rsid w:val="00CD2BCD"/>
    <w:rsid w:val="00CD2C91"/>
    <w:rsid w:val="00CD34BE"/>
    <w:rsid w:val="00CD37F0"/>
    <w:rsid w:val="00CD3A4C"/>
    <w:rsid w:val="00CD4614"/>
    <w:rsid w:val="00CD5202"/>
    <w:rsid w:val="00CD578B"/>
    <w:rsid w:val="00CD64BA"/>
    <w:rsid w:val="00CD7064"/>
    <w:rsid w:val="00CE10E9"/>
    <w:rsid w:val="00CE2910"/>
    <w:rsid w:val="00CE2A40"/>
    <w:rsid w:val="00CE339E"/>
    <w:rsid w:val="00CE3E77"/>
    <w:rsid w:val="00CE5393"/>
    <w:rsid w:val="00CE690D"/>
    <w:rsid w:val="00CE73E8"/>
    <w:rsid w:val="00CF36BE"/>
    <w:rsid w:val="00CF3752"/>
    <w:rsid w:val="00CF3AEF"/>
    <w:rsid w:val="00CF4C64"/>
    <w:rsid w:val="00CF6000"/>
    <w:rsid w:val="00CF7E8D"/>
    <w:rsid w:val="00D003F3"/>
    <w:rsid w:val="00D0364F"/>
    <w:rsid w:val="00D05510"/>
    <w:rsid w:val="00D05862"/>
    <w:rsid w:val="00D05A25"/>
    <w:rsid w:val="00D0638A"/>
    <w:rsid w:val="00D06834"/>
    <w:rsid w:val="00D06A15"/>
    <w:rsid w:val="00D10107"/>
    <w:rsid w:val="00D10791"/>
    <w:rsid w:val="00D13849"/>
    <w:rsid w:val="00D163CC"/>
    <w:rsid w:val="00D17A5C"/>
    <w:rsid w:val="00D22323"/>
    <w:rsid w:val="00D24A24"/>
    <w:rsid w:val="00D260FC"/>
    <w:rsid w:val="00D2629E"/>
    <w:rsid w:val="00D27BB5"/>
    <w:rsid w:val="00D308ED"/>
    <w:rsid w:val="00D31403"/>
    <w:rsid w:val="00D31DEA"/>
    <w:rsid w:val="00D31F39"/>
    <w:rsid w:val="00D3254E"/>
    <w:rsid w:val="00D326D1"/>
    <w:rsid w:val="00D32710"/>
    <w:rsid w:val="00D330A1"/>
    <w:rsid w:val="00D333D6"/>
    <w:rsid w:val="00D3396D"/>
    <w:rsid w:val="00D36D86"/>
    <w:rsid w:val="00D41771"/>
    <w:rsid w:val="00D42881"/>
    <w:rsid w:val="00D428AA"/>
    <w:rsid w:val="00D42B7A"/>
    <w:rsid w:val="00D4564E"/>
    <w:rsid w:val="00D46090"/>
    <w:rsid w:val="00D47A44"/>
    <w:rsid w:val="00D50A34"/>
    <w:rsid w:val="00D51D54"/>
    <w:rsid w:val="00D53EFA"/>
    <w:rsid w:val="00D55E9E"/>
    <w:rsid w:val="00D57155"/>
    <w:rsid w:val="00D62465"/>
    <w:rsid w:val="00D63421"/>
    <w:rsid w:val="00D66953"/>
    <w:rsid w:val="00D707FE"/>
    <w:rsid w:val="00D71A23"/>
    <w:rsid w:val="00D726B3"/>
    <w:rsid w:val="00D72D6C"/>
    <w:rsid w:val="00D7313F"/>
    <w:rsid w:val="00D73AFE"/>
    <w:rsid w:val="00D74E3E"/>
    <w:rsid w:val="00D7523D"/>
    <w:rsid w:val="00D76F29"/>
    <w:rsid w:val="00D7740C"/>
    <w:rsid w:val="00D804BD"/>
    <w:rsid w:val="00D80DD7"/>
    <w:rsid w:val="00D825A6"/>
    <w:rsid w:val="00D84220"/>
    <w:rsid w:val="00D84A05"/>
    <w:rsid w:val="00D84BA0"/>
    <w:rsid w:val="00D84D36"/>
    <w:rsid w:val="00D86CC1"/>
    <w:rsid w:val="00D86FA2"/>
    <w:rsid w:val="00D91423"/>
    <w:rsid w:val="00D91C72"/>
    <w:rsid w:val="00D92957"/>
    <w:rsid w:val="00D94A34"/>
    <w:rsid w:val="00D94A7C"/>
    <w:rsid w:val="00D957A2"/>
    <w:rsid w:val="00D95896"/>
    <w:rsid w:val="00D97A91"/>
    <w:rsid w:val="00DA060A"/>
    <w:rsid w:val="00DA2053"/>
    <w:rsid w:val="00DA3338"/>
    <w:rsid w:val="00DA4648"/>
    <w:rsid w:val="00DA67FF"/>
    <w:rsid w:val="00DA7593"/>
    <w:rsid w:val="00DB14CA"/>
    <w:rsid w:val="00DB2730"/>
    <w:rsid w:val="00DB2983"/>
    <w:rsid w:val="00DB2D44"/>
    <w:rsid w:val="00DB3840"/>
    <w:rsid w:val="00DC1257"/>
    <w:rsid w:val="00DC2268"/>
    <w:rsid w:val="00DC3DC0"/>
    <w:rsid w:val="00DC5B2B"/>
    <w:rsid w:val="00DC6D4A"/>
    <w:rsid w:val="00DD023A"/>
    <w:rsid w:val="00DD02A7"/>
    <w:rsid w:val="00DD1574"/>
    <w:rsid w:val="00DD1733"/>
    <w:rsid w:val="00DD26CA"/>
    <w:rsid w:val="00DD318D"/>
    <w:rsid w:val="00DD6A1E"/>
    <w:rsid w:val="00DE010E"/>
    <w:rsid w:val="00DE0FB1"/>
    <w:rsid w:val="00DE415E"/>
    <w:rsid w:val="00DE53DC"/>
    <w:rsid w:val="00DE6B12"/>
    <w:rsid w:val="00DF2E12"/>
    <w:rsid w:val="00DF3061"/>
    <w:rsid w:val="00DF514A"/>
    <w:rsid w:val="00DF6690"/>
    <w:rsid w:val="00DF6804"/>
    <w:rsid w:val="00DF6F3F"/>
    <w:rsid w:val="00E00175"/>
    <w:rsid w:val="00E00835"/>
    <w:rsid w:val="00E019EA"/>
    <w:rsid w:val="00E02675"/>
    <w:rsid w:val="00E0358D"/>
    <w:rsid w:val="00E04323"/>
    <w:rsid w:val="00E070A2"/>
    <w:rsid w:val="00E11F3C"/>
    <w:rsid w:val="00E123C4"/>
    <w:rsid w:val="00E12E57"/>
    <w:rsid w:val="00E15058"/>
    <w:rsid w:val="00E16875"/>
    <w:rsid w:val="00E20157"/>
    <w:rsid w:val="00E21E57"/>
    <w:rsid w:val="00E22683"/>
    <w:rsid w:val="00E22BEC"/>
    <w:rsid w:val="00E2445A"/>
    <w:rsid w:val="00E24A0E"/>
    <w:rsid w:val="00E2656A"/>
    <w:rsid w:val="00E333FB"/>
    <w:rsid w:val="00E3504D"/>
    <w:rsid w:val="00E3598B"/>
    <w:rsid w:val="00E3710A"/>
    <w:rsid w:val="00E379E7"/>
    <w:rsid w:val="00E40880"/>
    <w:rsid w:val="00E412D0"/>
    <w:rsid w:val="00E438CB"/>
    <w:rsid w:val="00E43CD5"/>
    <w:rsid w:val="00E44610"/>
    <w:rsid w:val="00E456AF"/>
    <w:rsid w:val="00E47CA6"/>
    <w:rsid w:val="00E54D24"/>
    <w:rsid w:val="00E56322"/>
    <w:rsid w:val="00E5701E"/>
    <w:rsid w:val="00E5794C"/>
    <w:rsid w:val="00E60982"/>
    <w:rsid w:val="00E60CDF"/>
    <w:rsid w:val="00E61F04"/>
    <w:rsid w:val="00E6284A"/>
    <w:rsid w:val="00E62C62"/>
    <w:rsid w:val="00E63F3F"/>
    <w:rsid w:val="00E64131"/>
    <w:rsid w:val="00E64637"/>
    <w:rsid w:val="00E64D19"/>
    <w:rsid w:val="00E654C1"/>
    <w:rsid w:val="00E65D97"/>
    <w:rsid w:val="00E66EA9"/>
    <w:rsid w:val="00E67028"/>
    <w:rsid w:val="00E6739C"/>
    <w:rsid w:val="00E67468"/>
    <w:rsid w:val="00E67603"/>
    <w:rsid w:val="00E70276"/>
    <w:rsid w:val="00E72A5A"/>
    <w:rsid w:val="00E73354"/>
    <w:rsid w:val="00E80325"/>
    <w:rsid w:val="00E809E0"/>
    <w:rsid w:val="00E80BBD"/>
    <w:rsid w:val="00E815EA"/>
    <w:rsid w:val="00E81EC4"/>
    <w:rsid w:val="00E839B7"/>
    <w:rsid w:val="00E84BDA"/>
    <w:rsid w:val="00E85B92"/>
    <w:rsid w:val="00E865C2"/>
    <w:rsid w:val="00E867DC"/>
    <w:rsid w:val="00E905DD"/>
    <w:rsid w:val="00E90DD1"/>
    <w:rsid w:val="00E91724"/>
    <w:rsid w:val="00E9242D"/>
    <w:rsid w:val="00E92996"/>
    <w:rsid w:val="00E94227"/>
    <w:rsid w:val="00E95667"/>
    <w:rsid w:val="00E95EFD"/>
    <w:rsid w:val="00E97AE3"/>
    <w:rsid w:val="00EA0DDC"/>
    <w:rsid w:val="00EA12AA"/>
    <w:rsid w:val="00EA1980"/>
    <w:rsid w:val="00EA1C45"/>
    <w:rsid w:val="00EA2E01"/>
    <w:rsid w:val="00EA325E"/>
    <w:rsid w:val="00EB5255"/>
    <w:rsid w:val="00EB5968"/>
    <w:rsid w:val="00EB5C47"/>
    <w:rsid w:val="00EB6ABC"/>
    <w:rsid w:val="00EB7E60"/>
    <w:rsid w:val="00EB7F84"/>
    <w:rsid w:val="00EC607A"/>
    <w:rsid w:val="00EC6632"/>
    <w:rsid w:val="00EC6D74"/>
    <w:rsid w:val="00EC6DE4"/>
    <w:rsid w:val="00EC7765"/>
    <w:rsid w:val="00EC7A21"/>
    <w:rsid w:val="00ED0639"/>
    <w:rsid w:val="00ED2DCA"/>
    <w:rsid w:val="00ED333B"/>
    <w:rsid w:val="00ED3E1A"/>
    <w:rsid w:val="00ED4366"/>
    <w:rsid w:val="00ED60B0"/>
    <w:rsid w:val="00ED7373"/>
    <w:rsid w:val="00ED7B82"/>
    <w:rsid w:val="00EE037A"/>
    <w:rsid w:val="00EE0630"/>
    <w:rsid w:val="00EE0CC2"/>
    <w:rsid w:val="00EE3A0D"/>
    <w:rsid w:val="00EE44E2"/>
    <w:rsid w:val="00EE4E6B"/>
    <w:rsid w:val="00EE7A00"/>
    <w:rsid w:val="00EF19FD"/>
    <w:rsid w:val="00EF2255"/>
    <w:rsid w:val="00EF24B6"/>
    <w:rsid w:val="00EF4755"/>
    <w:rsid w:val="00EF4874"/>
    <w:rsid w:val="00EF4BC8"/>
    <w:rsid w:val="00EF6695"/>
    <w:rsid w:val="00EF7135"/>
    <w:rsid w:val="00F00201"/>
    <w:rsid w:val="00F015BE"/>
    <w:rsid w:val="00F01BEA"/>
    <w:rsid w:val="00F01D9E"/>
    <w:rsid w:val="00F02707"/>
    <w:rsid w:val="00F027DB"/>
    <w:rsid w:val="00F03485"/>
    <w:rsid w:val="00F07D35"/>
    <w:rsid w:val="00F10081"/>
    <w:rsid w:val="00F13FCF"/>
    <w:rsid w:val="00F142B2"/>
    <w:rsid w:val="00F142BC"/>
    <w:rsid w:val="00F14A7A"/>
    <w:rsid w:val="00F16DA3"/>
    <w:rsid w:val="00F171E4"/>
    <w:rsid w:val="00F175D6"/>
    <w:rsid w:val="00F20E3D"/>
    <w:rsid w:val="00F20E45"/>
    <w:rsid w:val="00F21232"/>
    <w:rsid w:val="00F2280C"/>
    <w:rsid w:val="00F22985"/>
    <w:rsid w:val="00F23063"/>
    <w:rsid w:val="00F2341F"/>
    <w:rsid w:val="00F23A2F"/>
    <w:rsid w:val="00F257F9"/>
    <w:rsid w:val="00F27441"/>
    <w:rsid w:val="00F275FC"/>
    <w:rsid w:val="00F27C6D"/>
    <w:rsid w:val="00F30153"/>
    <w:rsid w:val="00F304AF"/>
    <w:rsid w:val="00F31923"/>
    <w:rsid w:val="00F32D4A"/>
    <w:rsid w:val="00F3383E"/>
    <w:rsid w:val="00F37A80"/>
    <w:rsid w:val="00F37AB9"/>
    <w:rsid w:val="00F4053A"/>
    <w:rsid w:val="00F41036"/>
    <w:rsid w:val="00F42E39"/>
    <w:rsid w:val="00F447CA"/>
    <w:rsid w:val="00F46312"/>
    <w:rsid w:val="00F465A7"/>
    <w:rsid w:val="00F502DB"/>
    <w:rsid w:val="00F50B7C"/>
    <w:rsid w:val="00F50CDF"/>
    <w:rsid w:val="00F52758"/>
    <w:rsid w:val="00F52E84"/>
    <w:rsid w:val="00F550E6"/>
    <w:rsid w:val="00F552AC"/>
    <w:rsid w:val="00F56274"/>
    <w:rsid w:val="00F57164"/>
    <w:rsid w:val="00F605BC"/>
    <w:rsid w:val="00F620E2"/>
    <w:rsid w:val="00F64E68"/>
    <w:rsid w:val="00F67414"/>
    <w:rsid w:val="00F7004C"/>
    <w:rsid w:val="00F72303"/>
    <w:rsid w:val="00F74345"/>
    <w:rsid w:val="00F751D2"/>
    <w:rsid w:val="00F76BAA"/>
    <w:rsid w:val="00F80A0A"/>
    <w:rsid w:val="00F82B19"/>
    <w:rsid w:val="00F83192"/>
    <w:rsid w:val="00F8538B"/>
    <w:rsid w:val="00F905B1"/>
    <w:rsid w:val="00F905D8"/>
    <w:rsid w:val="00F9212D"/>
    <w:rsid w:val="00F95735"/>
    <w:rsid w:val="00F96017"/>
    <w:rsid w:val="00F965DA"/>
    <w:rsid w:val="00F975DD"/>
    <w:rsid w:val="00F97D45"/>
    <w:rsid w:val="00FA00DD"/>
    <w:rsid w:val="00FA1281"/>
    <w:rsid w:val="00FA2651"/>
    <w:rsid w:val="00FA406A"/>
    <w:rsid w:val="00FA5B4C"/>
    <w:rsid w:val="00FA691B"/>
    <w:rsid w:val="00FA6931"/>
    <w:rsid w:val="00FB033D"/>
    <w:rsid w:val="00FB039D"/>
    <w:rsid w:val="00FB07C3"/>
    <w:rsid w:val="00FB0CFA"/>
    <w:rsid w:val="00FB292F"/>
    <w:rsid w:val="00FB2E02"/>
    <w:rsid w:val="00FB2F74"/>
    <w:rsid w:val="00FB4301"/>
    <w:rsid w:val="00FB503A"/>
    <w:rsid w:val="00FB516C"/>
    <w:rsid w:val="00FB7DE3"/>
    <w:rsid w:val="00FB7F22"/>
    <w:rsid w:val="00FC018E"/>
    <w:rsid w:val="00FC028C"/>
    <w:rsid w:val="00FC26FE"/>
    <w:rsid w:val="00FC3E1B"/>
    <w:rsid w:val="00FC5204"/>
    <w:rsid w:val="00FC76AF"/>
    <w:rsid w:val="00FD0236"/>
    <w:rsid w:val="00FD18F4"/>
    <w:rsid w:val="00FD2517"/>
    <w:rsid w:val="00FD54DB"/>
    <w:rsid w:val="00FD5F93"/>
    <w:rsid w:val="00FD619F"/>
    <w:rsid w:val="00FE0E46"/>
    <w:rsid w:val="00FE2054"/>
    <w:rsid w:val="00FE392C"/>
    <w:rsid w:val="00FE462C"/>
    <w:rsid w:val="00FE6654"/>
    <w:rsid w:val="00FE67E0"/>
    <w:rsid w:val="00FF15B5"/>
    <w:rsid w:val="00FF2542"/>
    <w:rsid w:val="00FF45BF"/>
    <w:rsid w:val="00FF4A3A"/>
    <w:rsid w:val="00FF50C6"/>
    <w:rsid w:val="01015BD5"/>
    <w:rsid w:val="0107397E"/>
    <w:rsid w:val="01075171"/>
    <w:rsid w:val="010855B5"/>
    <w:rsid w:val="010F7FF3"/>
    <w:rsid w:val="01145609"/>
    <w:rsid w:val="0116312F"/>
    <w:rsid w:val="01174959"/>
    <w:rsid w:val="012313A8"/>
    <w:rsid w:val="01233A9E"/>
    <w:rsid w:val="01253372"/>
    <w:rsid w:val="01290F7E"/>
    <w:rsid w:val="012A0989"/>
    <w:rsid w:val="012A2737"/>
    <w:rsid w:val="013C52F2"/>
    <w:rsid w:val="014063FE"/>
    <w:rsid w:val="01423F24"/>
    <w:rsid w:val="014337F8"/>
    <w:rsid w:val="01447C0F"/>
    <w:rsid w:val="014B3268"/>
    <w:rsid w:val="014F32E7"/>
    <w:rsid w:val="01540340"/>
    <w:rsid w:val="01545A05"/>
    <w:rsid w:val="0159301C"/>
    <w:rsid w:val="015B108C"/>
    <w:rsid w:val="015B4FE6"/>
    <w:rsid w:val="015C7941"/>
    <w:rsid w:val="015D1E09"/>
    <w:rsid w:val="015F762C"/>
    <w:rsid w:val="01633E9B"/>
    <w:rsid w:val="01695955"/>
    <w:rsid w:val="016C45A1"/>
    <w:rsid w:val="016E2E23"/>
    <w:rsid w:val="017165B7"/>
    <w:rsid w:val="017240DE"/>
    <w:rsid w:val="01734557"/>
    <w:rsid w:val="017B7436"/>
    <w:rsid w:val="017C4C15"/>
    <w:rsid w:val="017C5C6B"/>
    <w:rsid w:val="017D7CB0"/>
    <w:rsid w:val="018362EB"/>
    <w:rsid w:val="018C1643"/>
    <w:rsid w:val="018E7169"/>
    <w:rsid w:val="019178C6"/>
    <w:rsid w:val="019329D2"/>
    <w:rsid w:val="01964270"/>
    <w:rsid w:val="01987FE8"/>
    <w:rsid w:val="01993D60"/>
    <w:rsid w:val="01A70DB3"/>
    <w:rsid w:val="01A854A9"/>
    <w:rsid w:val="01A87AFF"/>
    <w:rsid w:val="01AD4F20"/>
    <w:rsid w:val="01B6046E"/>
    <w:rsid w:val="01B65BA3"/>
    <w:rsid w:val="01C761D7"/>
    <w:rsid w:val="01C81F50"/>
    <w:rsid w:val="01CA3F1A"/>
    <w:rsid w:val="01CA6EA2"/>
    <w:rsid w:val="01CB1F85"/>
    <w:rsid w:val="01CB3BC4"/>
    <w:rsid w:val="01CF1530"/>
    <w:rsid w:val="01D01184"/>
    <w:rsid w:val="01D34B7C"/>
    <w:rsid w:val="01D90CF6"/>
    <w:rsid w:val="01DB3D9A"/>
    <w:rsid w:val="01DE2300"/>
    <w:rsid w:val="01E054EB"/>
    <w:rsid w:val="01E428C4"/>
    <w:rsid w:val="01E46229"/>
    <w:rsid w:val="01E70628"/>
    <w:rsid w:val="01F0505F"/>
    <w:rsid w:val="01FD609D"/>
    <w:rsid w:val="01FD7E4B"/>
    <w:rsid w:val="01FE4D7F"/>
    <w:rsid w:val="01FE5971"/>
    <w:rsid w:val="01FF3B76"/>
    <w:rsid w:val="020B2AFE"/>
    <w:rsid w:val="020C77ED"/>
    <w:rsid w:val="02117D9A"/>
    <w:rsid w:val="02160F0D"/>
    <w:rsid w:val="02191C02"/>
    <w:rsid w:val="021A1283"/>
    <w:rsid w:val="021E1369"/>
    <w:rsid w:val="021F6013"/>
    <w:rsid w:val="02203B3A"/>
    <w:rsid w:val="02210631"/>
    <w:rsid w:val="022243E8"/>
    <w:rsid w:val="0224187C"/>
    <w:rsid w:val="0227311A"/>
    <w:rsid w:val="022A0087"/>
    <w:rsid w:val="02325BBF"/>
    <w:rsid w:val="02331ABF"/>
    <w:rsid w:val="02394167"/>
    <w:rsid w:val="023A109F"/>
    <w:rsid w:val="023B17BB"/>
    <w:rsid w:val="023D0B8F"/>
    <w:rsid w:val="023F4174"/>
    <w:rsid w:val="02413EA7"/>
    <w:rsid w:val="024912E2"/>
    <w:rsid w:val="024F4C8A"/>
    <w:rsid w:val="02505A83"/>
    <w:rsid w:val="02530B82"/>
    <w:rsid w:val="02587614"/>
    <w:rsid w:val="02590C8E"/>
    <w:rsid w:val="025A09FE"/>
    <w:rsid w:val="025A6E7A"/>
    <w:rsid w:val="025B1A26"/>
    <w:rsid w:val="025B2545"/>
    <w:rsid w:val="025B4544"/>
    <w:rsid w:val="025B6724"/>
    <w:rsid w:val="025C7268"/>
    <w:rsid w:val="02620834"/>
    <w:rsid w:val="026223A4"/>
    <w:rsid w:val="02636F1A"/>
    <w:rsid w:val="02641C78"/>
    <w:rsid w:val="02672D95"/>
    <w:rsid w:val="02697903"/>
    <w:rsid w:val="026B3007"/>
    <w:rsid w:val="026B71CB"/>
    <w:rsid w:val="026D3223"/>
    <w:rsid w:val="026E2AF7"/>
    <w:rsid w:val="027700D1"/>
    <w:rsid w:val="02781F86"/>
    <w:rsid w:val="027C7009"/>
    <w:rsid w:val="0281653D"/>
    <w:rsid w:val="028440C8"/>
    <w:rsid w:val="02867E41"/>
    <w:rsid w:val="02891116"/>
    <w:rsid w:val="028A3669"/>
    <w:rsid w:val="028D7421"/>
    <w:rsid w:val="028E3199"/>
    <w:rsid w:val="02924A37"/>
    <w:rsid w:val="02932BF4"/>
    <w:rsid w:val="029415CA"/>
    <w:rsid w:val="029675E7"/>
    <w:rsid w:val="029C58B6"/>
    <w:rsid w:val="029C7664"/>
    <w:rsid w:val="029E2DF3"/>
    <w:rsid w:val="029F2F49"/>
    <w:rsid w:val="02A1111E"/>
    <w:rsid w:val="02A66735"/>
    <w:rsid w:val="02A74F84"/>
    <w:rsid w:val="02AD361F"/>
    <w:rsid w:val="02AE669B"/>
    <w:rsid w:val="02B32278"/>
    <w:rsid w:val="02B67A3D"/>
    <w:rsid w:val="02C10E79"/>
    <w:rsid w:val="02C1531D"/>
    <w:rsid w:val="02CD5A6F"/>
    <w:rsid w:val="02CF7133"/>
    <w:rsid w:val="02D246EA"/>
    <w:rsid w:val="02D45050"/>
    <w:rsid w:val="02D54924"/>
    <w:rsid w:val="02D877C3"/>
    <w:rsid w:val="02D9551D"/>
    <w:rsid w:val="02DD1A2B"/>
    <w:rsid w:val="02E21879"/>
    <w:rsid w:val="02EF31BB"/>
    <w:rsid w:val="02F456F2"/>
    <w:rsid w:val="02F92D08"/>
    <w:rsid w:val="02F96569"/>
    <w:rsid w:val="030435EF"/>
    <w:rsid w:val="030516AD"/>
    <w:rsid w:val="03065D3F"/>
    <w:rsid w:val="03127926"/>
    <w:rsid w:val="031418F0"/>
    <w:rsid w:val="031C07A5"/>
    <w:rsid w:val="031E451D"/>
    <w:rsid w:val="031F0AAB"/>
    <w:rsid w:val="03200295"/>
    <w:rsid w:val="03235A15"/>
    <w:rsid w:val="03237D85"/>
    <w:rsid w:val="03260C76"/>
    <w:rsid w:val="03280EF8"/>
    <w:rsid w:val="03315E11"/>
    <w:rsid w:val="03321D76"/>
    <w:rsid w:val="033337C7"/>
    <w:rsid w:val="0336140A"/>
    <w:rsid w:val="033706A3"/>
    <w:rsid w:val="03372BDE"/>
    <w:rsid w:val="03384A05"/>
    <w:rsid w:val="033A16AA"/>
    <w:rsid w:val="03411FB9"/>
    <w:rsid w:val="03440FA3"/>
    <w:rsid w:val="03457CFC"/>
    <w:rsid w:val="034D6BB0"/>
    <w:rsid w:val="034F0B7A"/>
    <w:rsid w:val="03563CB7"/>
    <w:rsid w:val="03575298"/>
    <w:rsid w:val="03591474"/>
    <w:rsid w:val="035C6585"/>
    <w:rsid w:val="03620B17"/>
    <w:rsid w:val="03623B79"/>
    <w:rsid w:val="03655CA8"/>
    <w:rsid w:val="036620C2"/>
    <w:rsid w:val="0368294C"/>
    <w:rsid w:val="03701ADE"/>
    <w:rsid w:val="0370464D"/>
    <w:rsid w:val="03704807"/>
    <w:rsid w:val="037151E1"/>
    <w:rsid w:val="03726617"/>
    <w:rsid w:val="0374413D"/>
    <w:rsid w:val="03766107"/>
    <w:rsid w:val="03771E7F"/>
    <w:rsid w:val="03772173"/>
    <w:rsid w:val="03772C0B"/>
    <w:rsid w:val="0380381C"/>
    <w:rsid w:val="0388408C"/>
    <w:rsid w:val="038A1948"/>
    <w:rsid w:val="038A1BB2"/>
    <w:rsid w:val="038C592B"/>
    <w:rsid w:val="038C6054"/>
    <w:rsid w:val="038D16A3"/>
    <w:rsid w:val="038D61B7"/>
    <w:rsid w:val="03947474"/>
    <w:rsid w:val="039C4775"/>
    <w:rsid w:val="03A013D6"/>
    <w:rsid w:val="03A35AC3"/>
    <w:rsid w:val="03A83855"/>
    <w:rsid w:val="03A83B8C"/>
    <w:rsid w:val="03AA5DB1"/>
    <w:rsid w:val="03B23992"/>
    <w:rsid w:val="03B32D67"/>
    <w:rsid w:val="03B95FF4"/>
    <w:rsid w:val="03BE6198"/>
    <w:rsid w:val="03BE6BB4"/>
    <w:rsid w:val="03C12859"/>
    <w:rsid w:val="03C50E3C"/>
    <w:rsid w:val="03C648DD"/>
    <w:rsid w:val="03C70711"/>
    <w:rsid w:val="03CA7149"/>
    <w:rsid w:val="03CC51F7"/>
    <w:rsid w:val="03CE5F43"/>
    <w:rsid w:val="03CF5817"/>
    <w:rsid w:val="03D42D07"/>
    <w:rsid w:val="03D42E2E"/>
    <w:rsid w:val="03DA48E8"/>
    <w:rsid w:val="03DD769E"/>
    <w:rsid w:val="03E6453B"/>
    <w:rsid w:val="03EA7B21"/>
    <w:rsid w:val="03EB5A70"/>
    <w:rsid w:val="03EF27C8"/>
    <w:rsid w:val="03F1458F"/>
    <w:rsid w:val="03FB3F8E"/>
    <w:rsid w:val="03FD5B9C"/>
    <w:rsid w:val="03FE6F0B"/>
    <w:rsid w:val="04006980"/>
    <w:rsid w:val="0405748B"/>
    <w:rsid w:val="04067974"/>
    <w:rsid w:val="04095165"/>
    <w:rsid w:val="040A2CF3"/>
    <w:rsid w:val="040A66A5"/>
    <w:rsid w:val="040C60A0"/>
    <w:rsid w:val="04106C6A"/>
    <w:rsid w:val="04137DFA"/>
    <w:rsid w:val="04186B9D"/>
    <w:rsid w:val="041B280B"/>
    <w:rsid w:val="041F5E01"/>
    <w:rsid w:val="04223B99"/>
    <w:rsid w:val="042442ED"/>
    <w:rsid w:val="04266295"/>
    <w:rsid w:val="0429107D"/>
    <w:rsid w:val="04294F27"/>
    <w:rsid w:val="043164D2"/>
    <w:rsid w:val="043438CC"/>
    <w:rsid w:val="04365896"/>
    <w:rsid w:val="04383EA7"/>
    <w:rsid w:val="043A35D9"/>
    <w:rsid w:val="043F7299"/>
    <w:rsid w:val="04425FE9"/>
    <w:rsid w:val="04437768"/>
    <w:rsid w:val="04453F13"/>
    <w:rsid w:val="04461F7D"/>
    <w:rsid w:val="04497F84"/>
    <w:rsid w:val="044C0CB4"/>
    <w:rsid w:val="044C50BA"/>
    <w:rsid w:val="044E2039"/>
    <w:rsid w:val="045126D0"/>
    <w:rsid w:val="04537900"/>
    <w:rsid w:val="045847F3"/>
    <w:rsid w:val="045A65AE"/>
    <w:rsid w:val="045B6010"/>
    <w:rsid w:val="045D2E23"/>
    <w:rsid w:val="046441B2"/>
    <w:rsid w:val="04651CD8"/>
    <w:rsid w:val="04697A1A"/>
    <w:rsid w:val="046B19E4"/>
    <w:rsid w:val="046E6DDE"/>
    <w:rsid w:val="04730898"/>
    <w:rsid w:val="047C599F"/>
    <w:rsid w:val="047D0461"/>
    <w:rsid w:val="047D1717"/>
    <w:rsid w:val="04812937"/>
    <w:rsid w:val="04844854"/>
    <w:rsid w:val="048473D7"/>
    <w:rsid w:val="04946055"/>
    <w:rsid w:val="0495080F"/>
    <w:rsid w:val="049820AD"/>
    <w:rsid w:val="04986786"/>
    <w:rsid w:val="049B6611"/>
    <w:rsid w:val="049D76C3"/>
    <w:rsid w:val="049F3623"/>
    <w:rsid w:val="04A44EF6"/>
    <w:rsid w:val="04A46CA4"/>
    <w:rsid w:val="04A46E78"/>
    <w:rsid w:val="04A70542"/>
    <w:rsid w:val="04A942BA"/>
    <w:rsid w:val="04A96068"/>
    <w:rsid w:val="04AB3B8E"/>
    <w:rsid w:val="04AC0D88"/>
    <w:rsid w:val="04B325E2"/>
    <w:rsid w:val="04B53EE0"/>
    <w:rsid w:val="04BA12CE"/>
    <w:rsid w:val="04BA349F"/>
    <w:rsid w:val="04BD7173"/>
    <w:rsid w:val="04BF5D92"/>
    <w:rsid w:val="04C3537C"/>
    <w:rsid w:val="04C609C8"/>
    <w:rsid w:val="04CE3D21"/>
    <w:rsid w:val="04D0175D"/>
    <w:rsid w:val="04D1563D"/>
    <w:rsid w:val="04D74983"/>
    <w:rsid w:val="04DC0528"/>
    <w:rsid w:val="04DC7F02"/>
    <w:rsid w:val="04E24E94"/>
    <w:rsid w:val="04E35A1E"/>
    <w:rsid w:val="04F23B5A"/>
    <w:rsid w:val="04F54577"/>
    <w:rsid w:val="04F76DD4"/>
    <w:rsid w:val="04FA68C4"/>
    <w:rsid w:val="04FA6940"/>
    <w:rsid w:val="04FF6CAE"/>
    <w:rsid w:val="050070BD"/>
    <w:rsid w:val="05020B03"/>
    <w:rsid w:val="05026153"/>
    <w:rsid w:val="05080FE1"/>
    <w:rsid w:val="05096B07"/>
    <w:rsid w:val="050F296C"/>
    <w:rsid w:val="051216E7"/>
    <w:rsid w:val="051300AE"/>
    <w:rsid w:val="051C5E31"/>
    <w:rsid w:val="05215177"/>
    <w:rsid w:val="05257DE5"/>
    <w:rsid w:val="05283431"/>
    <w:rsid w:val="052A0F7E"/>
    <w:rsid w:val="052B5C68"/>
    <w:rsid w:val="052C157C"/>
    <w:rsid w:val="052E6D77"/>
    <w:rsid w:val="05304471"/>
    <w:rsid w:val="05322502"/>
    <w:rsid w:val="05364797"/>
    <w:rsid w:val="053A13B6"/>
    <w:rsid w:val="053D71DA"/>
    <w:rsid w:val="05431831"/>
    <w:rsid w:val="054639C9"/>
    <w:rsid w:val="05485881"/>
    <w:rsid w:val="054A494C"/>
    <w:rsid w:val="055165CD"/>
    <w:rsid w:val="05586CC2"/>
    <w:rsid w:val="0562450A"/>
    <w:rsid w:val="056F6CBD"/>
    <w:rsid w:val="0577196F"/>
    <w:rsid w:val="057B3BEB"/>
    <w:rsid w:val="057B5C57"/>
    <w:rsid w:val="057C6008"/>
    <w:rsid w:val="058638C0"/>
    <w:rsid w:val="05882122"/>
    <w:rsid w:val="05886E41"/>
    <w:rsid w:val="058B5BAB"/>
    <w:rsid w:val="058F34B0"/>
    <w:rsid w:val="05987DBC"/>
    <w:rsid w:val="059C797B"/>
    <w:rsid w:val="059E2BDA"/>
    <w:rsid w:val="059E7B97"/>
    <w:rsid w:val="059F10EB"/>
    <w:rsid w:val="059F4F4E"/>
    <w:rsid w:val="05AC2EC1"/>
    <w:rsid w:val="05AD559A"/>
    <w:rsid w:val="05AF3B52"/>
    <w:rsid w:val="05B04764"/>
    <w:rsid w:val="05B13426"/>
    <w:rsid w:val="05B1771C"/>
    <w:rsid w:val="05B40AFC"/>
    <w:rsid w:val="05B41169"/>
    <w:rsid w:val="05B736F2"/>
    <w:rsid w:val="05B747B5"/>
    <w:rsid w:val="05B80C59"/>
    <w:rsid w:val="05BE3D95"/>
    <w:rsid w:val="05BF70EF"/>
    <w:rsid w:val="05C0567F"/>
    <w:rsid w:val="05C72C4A"/>
    <w:rsid w:val="05C80770"/>
    <w:rsid w:val="05CA273A"/>
    <w:rsid w:val="05D922E0"/>
    <w:rsid w:val="05E27CDA"/>
    <w:rsid w:val="05EA4B8A"/>
    <w:rsid w:val="05EA6938"/>
    <w:rsid w:val="05ED6429"/>
    <w:rsid w:val="05F15F19"/>
    <w:rsid w:val="05F33538"/>
    <w:rsid w:val="05F81055"/>
    <w:rsid w:val="05F83EAE"/>
    <w:rsid w:val="05F872A7"/>
    <w:rsid w:val="05FD4F07"/>
    <w:rsid w:val="06007F0A"/>
    <w:rsid w:val="060379FA"/>
    <w:rsid w:val="060828DF"/>
    <w:rsid w:val="060C68AF"/>
    <w:rsid w:val="060F2843"/>
    <w:rsid w:val="060F45F1"/>
    <w:rsid w:val="06110369"/>
    <w:rsid w:val="06135E8F"/>
    <w:rsid w:val="0618237D"/>
    <w:rsid w:val="061B28F8"/>
    <w:rsid w:val="061D286A"/>
    <w:rsid w:val="061E65E2"/>
    <w:rsid w:val="06200273"/>
    <w:rsid w:val="06212969"/>
    <w:rsid w:val="06233BF8"/>
    <w:rsid w:val="0624009C"/>
    <w:rsid w:val="06250043"/>
    <w:rsid w:val="062C47C4"/>
    <w:rsid w:val="062F2D11"/>
    <w:rsid w:val="062F6A41"/>
    <w:rsid w:val="063127B9"/>
    <w:rsid w:val="063302DF"/>
    <w:rsid w:val="06361B7E"/>
    <w:rsid w:val="06367DD0"/>
    <w:rsid w:val="063A1D55"/>
    <w:rsid w:val="063E5572"/>
    <w:rsid w:val="063E7D85"/>
    <w:rsid w:val="064072EB"/>
    <w:rsid w:val="064102D2"/>
    <w:rsid w:val="064433F3"/>
    <w:rsid w:val="064504DC"/>
    <w:rsid w:val="06450692"/>
    <w:rsid w:val="06456265"/>
    <w:rsid w:val="06483DF7"/>
    <w:rsid w:val="064918B1"/>
    <w:rsid w:val="064952B8"/>
    <w:rsid w:val="06565D7C"/>
    <w:rsid w:val="065C1039"/>
    <w:rsid w:val="065D66E0"/>
    <w:rsid w:val="06652463"/>
    <w:rsid w:val="06665A28"/>
    <w:rsid w:val="06691F53"/>
    <w:rsid w:val="06695AAF"/>
    <w:rsid w:val="066E1462"/>
    <w:rsid w:val="06746CFB"/>
    <w:rsid w:val="067508F8"/>
    <w:rsid w:val="067F3525"/>
    <w:rsid w:val="06811479"/>
    <w:rsid w:val="06846D8D"/>
    <w:rsid w:val="068C5C42"/>
    <w:rsid w:val="06904DE1"/>
    <w:rsid w:val="06914018"/>
    <w:rsid w:val="06957601"/>
    <w:rsid w:val="069A72B4"/>
    <w:rsid w:val="069C1ED5"/>
    <w:rsid w:val="06A56F13"/>
    <w:rsid w:val="06A74829"/>
    <w:rsid w:val="06A922BE"/>
    <w:rsid w:val="06B01930"/>
    <w:rsid w:val="06B30FD6"/>
    <w:rsid w:val="06B502A7"/>
    <w:rsid w:val="06B86A37"/>
    <w:rsid w:val="06BA5F1C"/>
    <w:rsid w:val="06BC02D5"/>
    <w:rsid w:val="06BC034A"/>
    <w:rsid w:val="06BD5DFB"/>
    <w:rsid w:val="06C15099"/>
    <w:rsid w:val="06C278B5"/>
    <w:rsid w:val="06C62F02"/>
    <w:rsid w:val="06C65AF2"/>
    <w:rsid w:val="06C726EE"/>
    <w:rsid w:val="06C86CE6"/>
    <w:rsid w:val="06C90C44"/>
    <w:rsid w:val="06D30F0E"/>
    <w:rsid w:val="06D3561E"/>
    <w:rsid w:val="06D35858"/>
    <w:rsid w:val="06D40A6D"/>
    <w:rsid w:val="06D50AF3"/>
    <w:rsid w:val="06D575E9"/>
    <w:rsid w:val="06D8407A"/>
    <w:rsid w:val="06DC2725"/>
    <w:rsid w:val="06DD2CBC"/>
    <w:rsid w:val="06DE592F"/>
    <w:rsid w:val="06E65352"/>
    <w:rsid w:val="06EE2458"/>
    <w:rsid w:val="06EF6F17"/>
    <w:rsid w:val="06F02E85"/>
    <w:rsid w:val="06F832D7"/>
    <w:rsid w:val="06FD4180"/>
    <w:rsid w:val="0702278F"/>
    <w:rsid w:val="07026731"/>
    <w:rsid w:val="070727FB"/>
    <w:rsid w:val="07091852"/>
    <w:rsid w:val="070C4535"/>
    <w:rsid w:val="070E2AFA"/>
    <w:rsid w:val="07117EF5"/>
    <w:rsid w:val="07150CF9"/>
    <w:rsid w:val="071F3A56"/>
    <w:rsid w:val="07256D45"/>
    <w:rsid w:val="07261BF2"/>
    <w:rsid w:val="07264567"/>
    <w:rsid w:val="07293586"/>
    <w:rsid w:val="07295285"/>
    <w:rsid w:val="072A7934"/>
    <w:rsid w:val="072D4EC7"/>
    <w:rsid w:val="073079D3"/>
    <w:rsid w:val="07313BE5"/>
    <w:rsid w:val="073409C0"/>
    <w:rsid w:val="0735283B"/>
    <w:rsid w:val="073836D3"/>
    <w:rsid w:val="073E3AF2"/>
    <w:rsid w:val="074107DA"/>
    <w:rsid w:val="0743014C"/>
    <w:rsid w:val="074854F8"/>
    <w:rsid w:val="07493C2F"/>
    <w:rsid w:val="074C1ECA"/>
    <w:rsid w:val="074C5D4B"/>
    <w:rsid w:val="074E2EF7"/>
    <w:rsid w:val="075205B5"/>
    <w:rsid w:val="07524795"/>
    <w:rsid w:val="075E138C"/>
    <w:rsid w:val="07603356"/>
    <w:rsid w:val="076170CE"/>
    <w:rsid w:val="07636392"/>
    <w:rsid w:val="07651EBB"/>
    <w:rsid w:val="0767791B"/>
    <w:rsid w:val="07683FB9"/>
    <w:rsid w:val="076B5857"/>
    <w:rsid w:val="07721DBF"/>
    <w:rsid w:val="0775533E"/>
    <w:rsid w:val="07756327"/>
    <w:rsid w:val="07770C56"/>
    <w:rsid w:val="07783E0F"/>
    <w:rsid w:val="077E558A"/>
    <w:rsid w:val="077F2C53"/>
    <w:rsid w:val="078057A6"/>
    <w:rsid w:val="07852DBD"/>
    <w:rsid w:val="0788465B"/>
    <w:rsid w:val="07897965"/>
    <w:rsid w:val="078B5EF9"/>
    <w:rsid w:val="078F7797"/>
    <w:rsid w:val="07911761"/>
    <w:rsid w:val="07926B92"/>
    <w:rsid w:val="079527E5"/>
    <w:rsid w:val="0798667D"/>
    <w:rsid w:val="079923C4"/>
    <w:rsid w:val="079F0AA0"/>
    <w:rsid w:val="079F3753"/>
    <w:rsid w:val="07A2707C"/>
    <w:rsid w:val="07A62D33"/>
    <w:rsid w:val="07A76C22"/>
    <w:rsid w:val="07AA035F"/>
    <w:rsid w:val="07AA261A"/>
    <w:rsid w:val="07AF6AAF"/>
    <w:rsid w:val="07B20F3B"/>
    <w:rsid w:val="07B3215B"/>
    <w:rsid w:val="07B82F91"/>
    <w:rsid w:val="07BB058C"/>
    <w:rsid w:val="07BC4304"/>
    <w:rsid w:val="07BF4D0D"/>
    <w:rsid w:val="07C02047"/>
    <w:rsid w:val="07C10DEF"/>
    <w:rsid w:val="07C37441"/>
    <w:rsid w:val="07C75183"/>
    <w:rsid w:val="07C80EFB"/>
    <w:rsid w:val="07CF4038"/>
    <w:rsid w:val="07D17DB0"/>
    <w:rsid w:val="07D47348"/>
    <w:rsid w:val="07DA3B6F"/>
    <w:rsid w:val="07DE071F"/>
    <w:rsid w:val="07E4199C"/>
    <w:rsid w:val="07E8637B"/>
    <w:rsid w:val="07E86EA8"/>
    <w:rsid w:val="07E927DE"/>
    <w:rsid w:val="07EC6998"/>
    <w:rsid w:val="07F341CA"/>
    <w:rsid w:val="07F372F2"/>
    <w:rsid w:val="07F43A9E"/>
    <w:rsid w:val="07F77D7D"/>
    <w:rsid w:val="07F95559"/>
    <w:rsid w:val="07FA1CB0"/>
    <w:rsid w:val="07FD032B"/>
    <w:rsid w:val="07FE3CDA"/>
    <w:rsid w:val="08055CAB"/>
    <w:rsid w:val="08074D9A"/>
    <w:rsid w:val="080C0DE8"/>
    <w:rsid w:val="080D2DB2"/>
    <w:rsid w:val="0812168C"/>
    <w:rsid w:val="081449CC"/>
    <w:rsid w:val="08153710"/>
    <w:rsid w:val="08193505"/>
    <w:rsid w:val="081D1247"/>
    <w:rsid w:val="081E0B1B"/>
    <w:rsid w:val="0822685D"/>
    <w:rsid w:val="082425D6"/>
    <w:rsid w:val="08255E71"/>
    <w:rsid w:val="08275C22"/>
    <w:rsid w:val="0828164C"/>
    <w:rsid w:val="08287048"/>
    <w:rsid w:val="083079B4"/>
    <w:rsid w:val="08365E65"/>
    <w:rsid w:val="0838342D"/>
    <w:rsid w:val="08386081"/>
    <w:rsid w:val="083B7A01"/>
    <w:rsid w:val="0845254C"/>
    <w:rsid w:val="08457CA2"/>
    <w:rsid w:val="0846077A"/>
    <w:rsid w:val="0846172A"/>
    <w:rsid w:val="08516701"/>
    <w:rsid w:val="08543D79"/>
    <w:rsid w:val="085D015A"/>
    <w:rsid w:val="086329D2"/>
    <w:rsid w:val="08641650"/>
    <w:rsid w:val="086A3D60"/>
    <w:rsid w:val="086F1377"/>
    <w:rsid w:val="087150EF"/>
    <w:rsid w:val="087A0447"/>
    <w:rsid w:val="08814A9C"/>
    <w:rsid w:val="08843074"/>
    <w:rsid w:val="08850B9A"/>
    <w:rsid w:val="08854C7A"/>
    <w:rsid w:val="088766C0"/>
    <w:rsid w:val="088968DD"/>
    <w:rsid w:val="0889729F"/>
    <w:rsid w:val="089A2898"/>
    <w:rsid w:val="089B1EC4"/>
    <w:rsid w:val="089C281E"/>
    <w:rsid w:val="08A14AFE"/>
    <w:rsid w:val="08A2799E"/>
    <w:rsid w:val="08A43866"/>
    <w:rsid w:val="08A47272"/>
    <w:rsid w:val="08A96F1E"/>
    <w:rsid w:val="08AC25CB"/>
    <w:rsid w:val="08B00362"/>
    <w:rsid w:val="08B1373D"/>
    <w:rsid w:val="08B60D54"/>
    <w:rsid w:val="08BA0844"/>
    <w:rsid w:val="08BB636A"/>
    <w:rsid w:val="08C03998"/>
    <w:rsid w:val="08C54A0D"/>
    <w:rsid w:val="08C56734"/>
    <w:rsid w:val="08C6368D"/>
    <w:rsid w:val="08C77405"/>
    <w:rsid w:val="08CB3B02"/>
    <w:rsid w:val="08D22394"/>
    <w:rsid w:val="08D30AAF"/>
    <w:rsid w:val="08D35DAA"/>
    <w:rsid w:val="08D61539"/>
    <w:rsid w:val="08D649A5"/>
    <w:rsid w:val="08D663C8"/>
    <w:rsid w:val="08D81A20"/>
    <w:rsid w:val="08DB6A0C"/>
    <w:rsid w:val="08DD4532"/>
    <w:rsid w:val="08DF214C"/>
    <w:rsid w:val="08E12275"/>
    <w:rsid w:val="08E25FED"/>
    <w:rsid w:val="08E6788B"/>
    <w:rsid w:val="08EA67AB"/>
    <w:rsid w:val="08EB30F3"/>
    <w:rsid w:val="08EB61A5"/>
    <w:rsid w:val="08EB6C4F"/>
    <w:rsid w:val="08EE6740"/>
    <w:rsid w:val="08F1667E"/>
    <w:rsid w:val="08F63353"/>
    <w:rsid w:val="08F71A98"/>
    <w:rsid w:val="08FA1588"/>
    <w:rsid w:val="09000221"/>
    <w:rsid w:val="091710CC"/>
    <w:rsid w:val="0919102B"/>
    <w:rsid w:val="091A12E3"/>
    <w:rsid w:val="091C3D00"/>
    <w:rsid w:val="091D7025"/>
    <w:rsid w:val="091F0FEF"/>
    <w:rsid w:val="092217DD"/>
    <w:rsid w:val="09265ED9"/>
    <w:rsid w:val="09293C1C"/>
    <w:rsid w:val="092D792C"/>
    <w:rsid w:val="092E1232"/>
    <w:rsid w:val="092F1A81"/>
    <w:rsid w:val="092F6E8B"/>
    <w:rsid w:val="09352F90"/>
    <w:rsid w:val="093A7294"/>
    <w:rsid w:val="093D5387"/>
    <w:rsid w:val="093E1F1D"/>
    <w:rsid w:val="0940352C"/>
    <w:rsid w:val="09410A35"/>
    <w:rsid w:val="09414B04"/>
    <w:rsid w:val="09436A8B"/>
    <w:rsid w:val="094A2B7A"/>
    <w:rsid w:val="094C07E5"/>
    <w:rsid w:val="094C3466"/>
    <w:rsid w:val="094D1ED6"/>
    <w:rsid w:val="094D790A"/>
    <w:rsid w:val="095011A8"/>
    <w:rsid w:val="095621B1"/>
    <w:rsid w:val="09566674"/>
    <w:rsid w:val="09575941"/>
    <w:rsid w:val="09623BCC"/>
    <w:rsid w:val="0969572D"/>
    <w:rsid w:val="097924AD"/>
    <w:rsid w:val="097A6225"/>
    <w:rsid w:val="097A7AFA"/>
    <w:rsid w:val="097E12ED"/>
    <w:rsid w:val="097F1A8E"/>
    <w:rsid w:val="09815806"/>
    <w:rsid w:val="098350DA"/>
    <w:rsid w:val="098A7CA9"/>
    <w:rsid w:val="098F7B72"/>
    <w:rsid w:val="09992B4F"/>
    <w:rsid w:val="099C3725"/>
    <w:rsid w:val="099E1F14"/>
    <w:rsid w:val="099E3CC2"/>
    <w:rsid w:val="099F68F2"/>
    <w:rsid w:val="099F7A3A"/>
    <w:rsid w:val="09A0379E"/>
    <w:rsid w:val="09A339CE"/>
    <w:rsid w:val="09A778F9"/>
    <w:rsid w:val="09A92503"/>
    <w:rsid w:val="09AD65FB"/>
    <w:rsid w:val="09B0095A"/>
    <w:rsid w:val="09B047C5"/>
    <w:rsid w:val="09B41D59"/>
    <w:rsid w:val="09BA7BCA"/>
    <w:rsid w:val="09BB733E"/>
    <w:rsid w:val="09BD2129"/>
    <w:rsid w:val="09BF72C0"/>
    <w:rsid w:val="09C35C7A"/>
    <w:rsid w:val="09C474A0"/>
    <w:rsid w:val="09CB082F"/>
    <w:rsid w:val="09CD45A7"/>
    <w:rsid w:val="09CF700E"/>
    <w:rsid w:val="09D45935"/>
    <w:rsid w:val="09D523C4"/>
    <w:rsid w:val="09D773D1"/>
    <w:rsid w:val="09D93396"/>
    <w:rsid w:val="09D973F0"/>
    <w:rsid w:val="09DB6979"/>
    <w:rsid w:val="09DE563C"/>
    <w:rsid w:val="09E334F0"/>
    <w:rsid w:val="09E55D95"/>
    <w:rsid w:val="09E71B0D"/>
    <w:rsid w:val="09ED2E9B"/>
    <w:rsid w:val="09EF6C13"/>
    <w:rsid w:val="09F83049"/>
    <w:rsid w:val="09FC5112"/>
    <w:rsid w:val="0A00672A"/>
    <w:rsid w:val="0A0501E5"/>
    <w:rsid w:val="0A050783"/>
    <w:rsid w:val="0A067AB9"/>
    <w:rsid w:val="0A083831"/>
    <w:rsid w:val="0A0A75A9"/>
    <w:rsid w:val="0A0B34DF"/>
    <w:rsid w:val="0A0B50CF"/>
    <w:rsid w:val="0A1246B0"/>
    <w:rsid w:val="0A133CD2"/>
    <w:rsid w:val="0A15050F"/>
    <w:rsid w:val="0A152499"/>
    <w:rsid w:val="0A171CC6"/>
    <w:rsid w:val="0A190123"/>
    <w:rsid w:val="0A1977EC"/>
    <w:rsid w:val="0A1A2B12"/>
    <w:rsid w:val="0A216B85"/>
    <w:rsid w:val="0A23066B"/>
    <w:rsid w:val="0A263993"/>
    <w:rsid w:val="0A2946A3"/>
    <w:rsid w:val="0A2B1590"/>
    <w:rsid w:val="0A2C17A5"/>
    <w:rsid w:val="0A2C37A9"/>
    <w:rsid w:val="0A2D3AC2"/>
    <w:rsid w:val="0A3208AE"/>
    <w:rsid w:val="0A374116"/>
    <w:rsid w:val="0A3A08FE"/>
    <w:rsid w:val="0A5570C3"/>
    <w:rsid w:val="0A5A289F"/>
    <w:rsid w:val="0A5B33C7"/>
    <w:rsid w:val="0A5B4924"/>
    <w:rsid w:val="0A5C79E2"/>
    <w:rsid w:val="0A5D307D"/>
    <w:rsid w:val="0A632019"/>
    <w:rsid w:val="0A652A31"/>
    <w:rsid w:val="0A71587A"/>
    <w:rsid w:val="0A724A15"/>
    <w:rsid w:val="0A756EBC"/>
    <w:rsid w:val="0A764C3F"/>
    <w:rsid w:val="0A785D2B"/>
    <w:rsid w:val="0A7A5968"/>
    <w:rsid w:val="0A7C3C8A"/>
    <w:rsid w:val="0A7D4828"/>
    <w:rsid w:val="0A821835"/>
    <w:rsid w:val="0A886C3F"/>
    <w:rsid w:val="0A894972"/>
    <w:rsid w:val="0A8D40BB"/>
    <w:rsid w:val="0A9652E1"/>
    <w:rsid w:val="0AA30A0F"/>
    <w:rsid w:val="0AA43DC8"/>
    <w:rsid w:val="0AA55524"/>
    <w:rsid w:val="0AA64D13"/>
    <w:rsid w:val="0AA755DF"/>
    <w:rsid w:val="0AA82AC5"/>
    <w:rsid w:val="0AAA708C"/>
    <w:rsid w:val="0AAB3254"/>
    <w:rsid w:val="0AAF1EFF"/>
    <w:rsid w:val="0AB45767"/>
    <w:rsid w:val="0AB614DF"/>
    <w:rsid w:val="0AB87005"/>
    <w:rsid w:val="0ABD0ABF"/>
    <w:rsid w:val="0ABD461B"/>
    <w:rsid w:val="0AC15516"/>
    <w:rsid w:val="0AC31881"/>
    <w:rsid w:val="0AC534D0"/>
    <w:rsid w:val="0ACA6D38"/>
    <w:rsid w:val="0ACE6829"/>
    <w:rsid w:val="0ACE6E34"/>
    <w:rsid w:val="0AD02968"/>
    <w:rsid w:val="0AD57BB7"/>
    <w:rsid w:val="0AD71885"/>
    <w:rsid w:val="0AD81455"/>
    <w:rsid w:val="0ADC6C9F"/>
    <w:rsid w:val="0ADF4592"/>
    <w:rsid w:val="0AE170A9"/>
    <w:rsid w:val="0AE4604C"/>
    <w:rsid w:val="0AEA2F37"/>
    <w:rsid w:val="0AEB7E66"/>
    <w:rsid w:val="0AEC0A3A"/>
    <w:rsid w:val="0AEC0C1A"/>
    <w:rsid w:val="0AEC7E43"/>
    <w:rsid w:val="0AED1F9C"/>
    <w:rsid w:val="0AF12517"/>
    <w:rsid w:val="0AF3628F"/>
    <w:rsid w:val="0AF81814"/>
    <w:rsid w:val="0AFD2C6A"/>
    <w:rsid w:val="0B00275A"/>
    <w:rsid w:val="0B035728"/>
    <w:rsid w:val="0B050935"/>
    <w:rsid w:val="0B09418A"/>
    <w:rsid w:val="0B0A5C1D"/>
    <w:rsid w:val="0B0F304E"/>
    <w:rsid w:val="0B116715"/>
    <w:rsid w:val="0B120D44"/>
    <w:rsid w:val="0B1224D1"/>
    <w:rsid w:val="0B13248D"/>
    <w:rsid w:val="0B1510E3"/>
    <w:rsid w:val="0B161F7E"/>
    <w:rsid w:val="0B1A381C"/>
    <w:rsid w:val="0B1D3AD1"/>
    <w:rsid w:val="0B2226D0"/>
    <w:rsid w:val="0B2621C1"/>
    <w:rsid w:val="0B2823DD"/>
    <w:rsid w:val="0B297F03"/>
    <w:rsid w:val="0B2E5519"/>
    <w:rsid w:val="0B301291"/>
    <w:rsid w:val="0B330D82"/>
    <w:rsid w:val="0B35347C"/>
    <w:rsid w:val="0B363020"/>
    <w:rsid w:val="0B3643CE"/>
    <w:rsid w:val="0B36691F"/>
    <w:rsid w:val="0B4153D8"/>
    <w:rsid w:val="0B4309EE"/>
    <w:rsid w:val="0B444D3D"/>
    <w:rsid w:val="0B4A761F"/>
    <w:rsid w:val="0B4C50D3"/>
    <w:rsid w:val="0B4E5BBB"/>
    <w:rsid w:val="0B5001AE"/>
    <w:rsid w:val="0B50723E"/>
    <w:rsid w:val="0B512FB6"/>
    <w:rsid w:val="0B545720"/>
    <w:rsid w:val="0B584344"/>
    <w:rsid w:val="0B5F1B77"/>
    <w:rsid w:val="0B5F56D3"/>
    <w:rsid w:val="0B640F3B"/>
    <w:rsid w:val="0B646908"/>
    <w:rsid w:val="0B661B81"/>
    <w:rsid w:val="0B666A61"/>
    <w:rsid w:val="0B6B051B"/>
    <w:rsid w:val="0B6D4294"/>
    <w:rsid w:val="0B6E1DBA"/>
    <w:rsid w:val="0B6E3B68"/>
    <w:rsid w:val="0B70168E"/>
    <w:rsid w:val="0B707622"/>
    <w:rsid w:val="0B7218AA"/>
    <w:rsid w:val="0B786794"/>
    <w:rsid w:val="0B865483"/>
    <w:rsid w:val="0B867103"/>
    <w:rsid w:val="0B892750"/>
    <w:rsid w:val="0B957346"/>
    <w:rsid w:val="0B9C3BE2"/>
    <w:rsid w:val="0B9E1070"/>
    <w:rsid w:val="0B9E444D"/>
    <w:rsid w:val="0B9F1F73"/>
    <w:rsid w:val="0BA54954"/>
    <w:rsid w:val="0BAB6B6A"/>
    <w:rsid w:val="0BBD181D"/>
    <w:rsid w:val="0BBF6171"/>
    <w:rsid w:val="0BC11CE0"/>
    <w:rsid w:val="0BC11EE9"/>
    <w:rsid w:val="0BC3085D"/>
    <w:rsid w:val="0BC32105"/>
    <w:rsid w:val="0BCB4B16"/>
    <w:rsid w:val="0BCD6AE0"/>
    <w:rsid w:val="0BCF2858"/>
    <w:rsid w:val="0BD27BF6"/>
    <w:rsid w:val="0BD51943"/>
    <w:rsid w:val="0BD72E02"/>
    <w:rsid w:val="0BDE7699"/>
    <w:rsid w:val="0BDF1499"/>
    <w:rsid w:val="0BE3000C"/>
    <w:rsid w:val="0BE328DE"/>
    <w:rsid w:val="0BE65DF4"/>
    <w:rsid w:val="0BE8061C"/>
    <w:rsid w:val="0BF0402F"/>
    <w:rsid w:val="0BF7131A"/>
    <w:rsid w:val="0BFA364D"/>
    <w:rsid w:val="0C000C64"/>
    <w:rsid w:val="0C0424D8"/>
    <w:rsid w:val="0C073082"/>
    <w:rsid w:val="0C0D3381"/>
    <w:rsid w:val="0C1269F3"/>
    <w:rsid w:val="0C175FAD"/>
    <w:rsid w:val="0C1849DB"/>
    <w:rsid w:val="0C1A784C"/>
    <w:rsid w:val="0C216E2C"/>
    <w:rsid w:val="0C2348CD"/>
    <w:rsid w:val="0C2565E1"/>
    <w:rsid w:val="0C2846EE"/>
    <w:rsid w:val="0C2A7277"/>
    <w:rsid w:val="0C302577"/>
    <w:rsid w:val="0C322DE7"/>
    <w:rsid w:val="0C364685"/>
    <w:rsid w:val="0C3A10CD"/>
    <w:rsid w:val="0C3B3C7D"/>
    <w:rsid w:val="0C3C3B7A"/>
    <w:rsid w:val="0C3F59D2"/>
    <w:rsid w:val="0C4072B2"/>
    <w:rsid w:val="0C447B32"/>
    <w:rsid w:val="0C4C3EA9"/>
    <w:rsid w:val="0C4F2B60"/>
    <w:rsid w:val="0C582743"/>
    <w:rsid w:val="0C59253E"/>
    <w:rsid w:val="0C5965C6"/>
    <w:rsid w:val="0C5B233E"/>
    <w:rsid w:val="0C665953"/>
    <w:rsid w:val="0C6844A6"/>
    <w:rsid w:val="0C694A9D"/>
    <w:rsid w:val="0C6A2581"/>
    <w:rsid w:val="0C6D120E"/>
    <w:rsid w:val="0C6F7B97"/>
    <w:rsid w:val="0C725932"/>
    <w:rsid w:val="0C7451AE"/>
    <w:rsid w:val="0C747A2B"/>
    <w:rsid w:val="0C7A3C79"/>
    <w:rsid w:val="0C7D44B2"/>
    <w:rsid w:val="0C8162A8"/>
    <w:rsid w:val="0C887EDB"/>
    <w:rsid w:val="0C8E2713"/>
    <w:rsid w:val="0C923886"/>
    <w:rsid w:val="0C9475FE"/>
    <w:rsid w:val="0C96438B"/>
    <w:rsid w:val="0C970E9C"/>
    <w:rsid w:val="0C9B098C"/>
    <w:rsid w:val="0C9B5986"/>
    <w:rsid w:val="0C9B6BDE"/>
    <w:rsid w:val="0C9D4705"/>
    <w:rsid w:val="0CA00E02"/>
    <w:rsid w:val="0CA072C0"/>
    <w:rsid w:val="0CA31213"/>
    <w:rsid w:val="0CA37841"/>
    <w:rsid w:val="0CA5180B"/>
    <w:rsid w:val="0CA84E57"/>
    <w:rsid w:val="0CAA05F1"/>
    <w:rsid w:val="0CAB2EAE"/>
    <w:rsid w:val="0CAE6912"/>
    <w:rsid w:val="0CAF1D7D"/>
    <w:rsid w:val="0CB210DC"/>
    <w:rsid w:val="0CB70869"/>
    <w:rsid w:val="0CBC0CE6"/>
    <w:rsid w:val="0CBD2EAF"/>
    <w:rsid w:val="0CBE28CD"/>
    <w:rsid w:val="0CBE467B"/>
    <w:rsid w:val="0CBF0E6D"/>
    <w:rsid w:val="0CBF5B3A"/>
    <w:rsid w:val="0CC51EAD"/>
    <w:rsid w:val="0CC97311"/>
    <w:rsid w:val="0CD10852"/>
    <w:rsid w:val="0CD22B60"/>
    <w:rsid w:val="0CD345CA"/>
    <w:rsid w:val="0CDB522D"/>
    <w:rsid w:val="0CDC615A"/>
    <w:rsid w:val="0CDF1302"/>
    <w:rsid w:val="0CEA0CA3"/>
    <w:rsid w:val="0CEA36C2"/>
    <w:rsid w:val="0CEF17A5"/>
    <w:rsid w:val="0CF36847"/>
    <w:rsid w:val="0CF44E35"/>
    <w:rsid w:val="0CFB142B"/>
    <w:rsid w:val="0CFF34DF"/>
    <w:rsid w:val="0D06122F"/>
    <w:rsid w:val="0D076022"/>
    <w:rsid w:val="0D0C3638"/>
    <w:rsid w:val="0D0C53E6"/>
    <w:rsid w:val="0D0D7436"/>
    <w:rsid w:val="0D0E115E"/>
    <w:rsid w:val="0D1507C0"/>
    <w:rsid w:val="0D183CA8"/>
    <w:rsid w:val="0D1A3FA7"/>
    <w:rsid w:val="0D2070E4"/>
    <w:rsid w:val="0D224C0A"/>
    <w:rsid w:val="0D2332ED"/>
    <w:rsid w:val="0D286FCA"/>
    <w:rsid w:val="0D29243C"/>
    <w:rsid w:val="0D2A3ABE"/>
    <w:rsid w:val="0D2C6083"/>
    <w:rsid w:val="0D2F19EF"/>
    <w:rsid w:val="0D3246D8"/>
    <w:rsid w:val="0D3A4C8A"/>
    <w:rsid w:val="0D3A63F7"/>
    <w:rsid w:val="0D3F00B4"/>
    <w:rsid w:val="0D3F756A"/>
    <w:rsid w:val="0D401F42"/>
    <w:rsid w:val="0D4508F8"/>
    <w:rsid w:val="0D470B14"/>
    <w:rsid w:val="0D4B4161"/>
    <w:rsid w:val="0D4C612B"/>
    <w:rsid w:val="0D4F572F"/>
    <w:rsid w:val="0D564D5C"/>
    <w:rsid w:val="0D573220"/>
    <w:rsid w:val="0D574214"/>
    <w:rsid w:val="0D5E3A73"/>
    <w:rsid w:val="0D60632E"/>
    <w:rsid w:val="0D613984"/>
    <w:rsid w:val="0D621C7D"/>
    <w:rsid w:val="0D65587A"/>
    <w:rsid w:val="0D685C10"/>
    <w:rsid w:val="0D7364B1"/>
    <w:rsid w:val="0D760B27"/>
    <w:rsid w:val="0D7C6A10"/>
    <w:rsid w:val="0D7E7A25"/>
    <w:rsid w:val="0D814026"/>
    <w:rsid w:val="0D845003"/>
    <w:rsid w:val="0D847289"/>
    <w:rsid w:val="0D860EC5"/>
    <w:rsid w:val="0D913B3D"/>
    <w:rsid w:val="0D9378B6"/>
    <w:rsid w:val="0D984ECC"/>
    <w:rsid w:val="0D9A2252"/>
    <w:rsid w:val="0D9E6357"/>
    <w:rsid w:val="0DA3127A"/>
    <w:rsid w:val="0DA66D6E"/>
    <w:rsid w:val="0DA970D9"/>
    <w:rsid w:val="0DAF0B93"/>
    <w:rsid w:val="0DB22432"/>
    <w:rsid w:val="0DBF68FD"/>
    <w:rsid w:val="0DC01852"/>
    <w:rsid w:val="0DC65EDD"/>
    <w:rsid w:val="0DC777E8"/>
    <w:rsid w:val="0DCB2944"/>
    <w:rsid w:val="0DCB3277"/>
    <w:rsid w:val="0DCB704F"/>
    <w:rsid w:val="0DCE45F2"/>
    <w:rsid w:val="0DD071E4"/>
    <w:rsid w:val="0DD1795C"/>
    <w:rsid w:val="0DD51C7C"/>
    <w:rsid w:val="0DD60570"/>
    <w:rsid w:val="0DD7604E"/>
    <w:rsid w:val="0DD90EE3"/>
    <w:rsid w:val="0DD979BE"/>
    <w:rsid w:val="0DEE56BA"/>
    <w:rsid w:val="0DF1296D"/>
    <w:rsid w:val="0DF30B86"/>
    <w:rsid w:val="0DF57C95"/>
    <w:rsid w:val="0DF65BAF"/>
    <w:rsid w:val="0DFD2968"/>
    <w:rsid w:val="0E0013EF"/>
    <w:rsid w:val="0E032C8D"/>
    <w:rsid w:val="0E0A1E1D"/>
    <w:rsid w:val="0E0B11FA"/>
    <w:rsid w:val="0E0B38F0"/>
    <w:rsid w:val="0E0C299C"/>
    <w:rsid w:val="0E0E3EE5"/>
    <w:rsid w:val="0E0E518E"/>
    <w:rsid w:val="0E100F06"/>
    <w:rsid w:val="0E107158"/>
    <w:rsid w:val="0E121122"/>
    <w:rsid w:val="0E146C48"/>
    <w:rsid w:val="0E1C5AFD"/>
    <w:rsid w:val="0E211C32"/>
    <w:rsid w:val="0E215BA2"/>
    <w:rsid w:val="0E242BC9"/>
    <w:rsid w:val="0E257BBB"/>
    <w:rsid w:val="0E2A1FC8"/>
    <w:rsid w:val="0E2B5D40"/>
    <w:rsid w:val="0E2C21E4"/>
    <w:rsid w:val="0E2E4CD2"/>
    <w:rsid w:val="0E345698"/>
    <w:rsid w:val="0E364E11"/>
    <w:rsid w:val="0E377D9A"/>
    <w:rsid w:val="0E382D8C"/>
    <w:rsid w:val="0E3B73B5"/>
    <w:rsid w:val="0E3C619F"/>
    <w:rsid w:val="0E452056"/>
    <w:rsid w:val="0E46753C"/>
    <w:rsid w:val="0E47740F"/>
    <w:rsid w:val="0E4D215A"/>
    <w:rsid w:val="0E4F73B6"/>
    <w:rsid w:val="0E527771"/>
    <w:rsid w:val="0E550C71"/>
    <w:rsid w:val="0E590CBE"/>
    <w:rsid w:val="0E5A5481"/>
    <w:rsid w:val="0E5C5A3F"/>
    <w:rsid w:val="0E6059EA"/>
    <w:rsid w:val="0E6574A4"/>
    <w:rsid w:val="0E6822D1"/>
    <w:rsid w:val="0E6B25E0"/>
    <w:rsid w:val="0E6D7644"/>
    <w:rsid w:val="0E6E2ABC"/>
    <w:rsid w:val="0E706A04"/>
    <w:rsid w:val="0E73034D"/>
    <w:rsid w:val="0E7645F4"/>
    <w:rsid w:val="0E794B92"/>
    <w:rsid w:val="0E7D0B15"/>
    <w:rsid w:val="0E7D6FD6"/>
    <w:rsid w:val="0E7E2314"/>
    <w:rsid w:val="0E811E04"/>
    <w:rsid w:val="0E83792A"/>
    <w:rsid w:val="0E883613"/>
    <w:rsid w:val="0E8A0CB9"/>
    <w:rsid w:val="0E8A5DD6"/>
    <w:rsid w:val="0E8E5845"/>
    <w:rsid w:val="0E906C07"/>
    <w:rsid w:val="0E917646"/>
    <w:rsid w:val="0E9B1118"/>
    <w:rsid w:val="0E9C0543"/>
    <w:rsid w:val="0E9D1BC1"/>
    <w:rsid w:val="0EA31D7A"/>
    <w:rsid w:val="0EA63619"/>
    <w:rsid w:val="0EAA135B"/>
    <w:rsid w:val="0EB03F8E"/>
    <w:rsid w:val="0EB36461"/>
    <w:rsid w:val="0EB60381"/>
    <w:rsid w:val="0EBB70C4"/>
    <w:rsid w:val="0EC266A4"/>
    <w:rsid w:val="0EC51CF1"/>
    <w:rsid w:val="0EC63CAC"/>
    <w:rsid w:val="0ECA7749"/>
    <w:rsid w:val="0ECC12D1"/>
    <w:rsid w:val="0ECF0BEC"/>
    <w:rsid w:val="0ED5209C"/>
    <w:rsid w:val="0ED709B2"/>
    <w:rsid w:val="0ED84277"/>
    <w:rsid w:val="0ED9579C"/>
    <w:rsid w:val="0EE02A57"/>
    <w:rsid w:val="0EE16A6A"/>
    <w:rsid w:val="0EE20AF5"/>
    <w:rsid w:val="0EE26D46"/>
    <w:rsid w:val="0EE4486D"/>
    <w:rsid w:val="0EEC54CF"/>
    <w:rsid w:val="0EEF3211"/>
    <w:rsid w:val="0EF425D6"/>
    <w:rsid w:val="0EF716D4"/>
    <w:rsid w:val="0EF820C6"/>
    <w:rsid w:val="0EF95E3E"/>
    <w:rsid w:val="0EFA49B9"/>
    <w:rsid w:val="0EFD148A"/>
    <w:rsid w:val="0EFE1A41"/>
    <w:rsid w:val="0F024CF3"/>
    <w:rsid w:val="0F03623C"/>
    <w:rsid w:val="0F0374FE"/>
    <w:rsid w:val="0F056591"/>
    <w:rsid w:val="0F13775A"/>
    <w:rsid w:val="0F16079E"/>
    <w:rsid w:val="0F1B1155"/>
    <w:rsid w:val="0F1B5DB5"/>
    <w:rsid w:val="0F1F3AF7"/>
    <w:rsid w:val="0F2131EB"/>
    <w:rsid w:val="0F254CC5"/>
    <w:rsid w:val="0F284F39"/>
    <w:rsid w:val="0F2B2993"/>
    <w:rsid w:val="0F331350"/>
    <w:rsid w:val="0F3375A2"/>
    <w:rsid w:val="0F3E4653"/>
    <w:rsid w:val="0F473373"/>
    <w:rsid w:val="0F4748CC"/>
    <w:rsid w:val="0F483F12"/>
    <w:rsid w:val="0F4C5F6E"/>
    <w:rsid w:val="0F4E2A38"/>
    <w:rsid w:val="0F5117D6"/>
    <w:rsid w:val="0F5F45FE"/>
    <w:rsid w:val="0F60506B"/>
    <w:rsid w:val="0F637798"/>
    <w:rsid w:val="0F655282"/>
    <w:rsid w:val="0F65560C"/>
    <w:rsid w:val="0F666F97"/>
    <w:rsid w:val="0F682C31"/>
    <w:rsid w:val="0F694D72"/>
    <w:rsid w:val="0F69741B"/>
    <w:rsid w:val="0F6F7F34"/>
    <w:rsid w:val="0F706BF2"/>
    <w:rsid w:val="0F713C26"/>
    <w:rsid w:val="0F714820"/>
    <w:rsid w:val="0F744C35"/>
    <w:rsid w:val="0F745C68"/>
    <w:rsid w:val="0F837E14"/>
    <w:rsid w:val="0F850AC0"/>
    <w:rsid w:val="0F854FCD"/>
    <w:rsid w:val="0F88654C"/>
    <w:rsid w:val="0F8C6C19"/>
    <w:rsid w:val="0F8C6CB2"/>
    <w:rsid w:val="0F933B9D"/>
    <w:rsid w:val="0F955B67"/>
    <w:rsid w:val="0F9A112B"/>
    <w:rsid w:val="0F9C1270"/>
    <w:rsid w:val="0F9D3360"/>
    <w:rsid w:val="0F9E6308"/>
    <w:rsid w:val="0FA4094E"/>
    <w:rsid w:val="0FA638D0"/>
    <w:rsid w:val="0FA933C0"/>
    <w:rsid w:val="0FAF7A07"/>
    <w:rsid w:val="0FB0474F"/>
    <w:rsid w:val="0FB2123A"/>
    <w:rsid w:val="0FB35FED"/>
    <w:rsid w:val="0FC056A2"/>
    <w:rsid w:val="0FC1070A"/>
    <w:rsid w:val="0FC56E2A"/>
    <w:rsid w:val="0FCC70AF"/>
    <w:rsid w:val="0FCF6184"/>
    <w:rsid w:val="0FD3043D"/>
    <w:rsid w:val="0FD540FD"/>
    <w:rsid w:val="0FD541B5"/>
    <w:rsid w:val="0FD604C3"/>
    <w:rsid w:val="0FDA5C70"/>
    <w:rsid w:val="0FDF53DD"/>
    <w:rsid w:val="0FE268D2"/>
    <w:rsid w:val="0FE30A42"/>
    <w:rsid w:val="0FE3488C"/>
    <w:rsid w:val="0FF22FB9"/>
    <w:rsid w:val="0FF705D0"/>
    <w:rsid w:val="0FFA00C0"/>
    <w:rsid w:val="0FFB0383"/>
    <w:rsid w:val="0FFC5802"/>
    <w:rsid w:val="0FFE26FE"/>
    <w:rsid w:val="0FFF7484"/>
    <w:rsid w:val="100315F2"/>
    <w:rsid w:val="100827DD"/>
    <w:rsid w:val="10090303"/>
    <w:rsid w:val="100D1BA1"/>
    <w:rsid w:val="100D394F"/>
    <w:rsid w:val="100E1475"/>
    <w:rsid w:val="10101691"/>
    <w:rsid w:val="1010343F"/>
    <w:rsid w:val="10142F30"/>
    <w:rsid w:val="10156CA8"/>
    <w:rsid w:val="101609B8"/>
    <w:rsid w:val="101747CE"/>
    <w:rsid w:val="1017657C"/>
    <w:rsid w:val="101B6E73"/>
    <w:rsid w:val="101C0036"/>
    <w:rsid w:val="101C5273"/>
    <w:rsid w:val="101D0A47"/>
    <w:rsid w:val="101E5DCD"/>
    <w:rsid w:val="102050E7"/>
    <w:rsid w:val="10213C0E"/>
    <w:rsid w:val="102173FB"/>
    <w:rsid w:val="10270CA8"/>
    <w:rsid w:val="102869DB"/>
    <w:rsid w:val="102962AF"/>
    <w:rsid w:val="10305890"/>
    <w:rsid w:val="10330CA8"/>
    <w:rsid w:val="103709CC"/>
    <w:rsid w:val="103A226A"/>
    <w:rsid w:val="103B0C9F"/>
    <w:rsid w:val="103F5AD3"/>
    <w:rsid w:val="10414385"/>
    <w:rsid w:val="10423221"/>
    <w:rsid w:val="10433815"/>
    <w:rsid w:val="10444045"/>
    <w:rsid w:val="1046715A"/>
    <w:rsid w:val="10475998"/>
    <w:rsid w:val="104B091B"/>
    <w:rsid w:val="104F59F9"/>
    <w:rsid w:val="1052298B"/>
    <w:rsid w:val="105A4668"/>
    <w:rsid w:val="105E7CCF"/>
    <w:rsid w:val="10615A49"/>
    <w:rsid w:val="10632395"/>
    <w:rsid w:val="1065378B"/>
    <w:rsid w:val="106821E9"/>
    <w:rsid w:val="106C096D"/>
    <w:rsid w:val="106C0C87"/>
    <w:rsid w:val="106C7BDC"/>
    <w:rsid w:val="106D2F64"/>
    <w:rsid w:val="107240FA"/>
    <w:rsid w:val="10727C56"/>
    <w:rsid w:val="1074063E"/>
    <w:rsid w:val="10740C17"/>
    <w:rsid w:val="107439CE"/>
    <w:rsid w:val="107D09A0"/>
    <w:rsid w:val="10817E99"/>
    <w:rsid w:val="10833330"/>
    <w:rsid w:val="108654B0"/>
    <w:rsid w:val="108702E4"/>
    <w:rsid w:val="10870456"/>
    <w:rsid w:val="10895B7D"/>
    <w:rsid w:val="108A4FA0"/>
    <w:rsid w:val="108B777F"/>
    <w:rsid w:val="10914580"/>
    <w:rsid w:val="109220A6"/>
    <w:rsid w:val="10947BCD"/>
    <w:rsid w:val="10953945"/>
    <w:rsid w:val="10991559"/>
    <w:rsid w:val="109B53FF"/>
    <w:rsid w:val="109D4673"/>
    <w:rsid w:val="109E0A4B"/>
    <w:rsid w:val="10A11682"/>
    <w:rsid w:val="10A162CC"/>
    <w:rsid w:val="10A818CA"/>
    <w:rsid w:val="10AD5132"/>
    <w:rsid w:val="10B15EC8"/>
    <w:rsid w:val="10B22749"/>
    <w:rsid w:val="10B33A93"/>
    <w:rsid w:val="10B4201D"/>
    <w:rsid w:val="10B63710"/>
    <w:rsid w:val="10B771C0"/>
    <w:rsid w:val="10B8262A"/>
    <w:rsid w:val="10B92326"/>
    <w:rsid w:val="10B93AD7"/>
    <w:rsid w:val="10CA1840"/>
    <w:rsid w:val="10CA7EC9"/>
    <w:rsid w:val="10CC55B8"/>
    <w:rsid w:val="10CD432E"/>
    <w:rsid w:val="10CF2DE7"/>
    <w:rsid w:val="10D03F34"/>
    <w:rsid w:val="10D306B7"/>
    <w:rsid w:val="10DB7AA0"/>
    <w:rsid w:val="10E0587A"/>
    <w:rsid w:val="10E548CC"/>
    <w:rsid w:val="10E656CF"/>
    <w:rsid w:val="10F10820"/>
    <w:rsid w:val="10F468BD"/>
    <w:rsid w:val="10F73956"/>
    <w:rsid w:val="11063C09"/>
    <w:rsid w:val="110F3211"/>
    <w:rsid w:val="1113216F"/>
    <w:rsid w:val="111365EE"/>
    <w:rsid w:val="111807FE"/>
    <w:rsid w:val="11186378"/>
    <w:rsid w:val="111923AE"/>
    <w:rsid w:val="11194576"/>
    <w:rsid w:val="111C2F7A"/>
    <w:rsid w:val="111E393A"/>
    <w:rsid w:val="11203B56"/>
    <w:rsid w:val="112076B2"/>
    <w:rsid w:val="1121335C"/>
    <w:rsid w:val="1122167C"/>
    <w:rsid w:val="112A22DF"/>
    <w:rsid w:val="112B01CB"/>
    <w:rsid w:val="112E1DCF"/>
    <w:rsid w:val="11301656"/>
    <w:rsid w:val="11335637"/>
    <w:rsid w:val="11353D19"/>
    <w:rsid w:val="11380A10"/>
    <w:rsid w:val="11390774"/>
    <w:rsid w:val="114776C3"/>
    <w:rsid w:val="114A472F"/>
    <w:rsid w:val="114E109E"/>
    <w:rsid w:val="114E421F"/>
    <w:rsid w:val="114E7EB4"/>
    <w:rsid w:val="11537A88"/>
    <w:rsid w:val="1157728C"/>
    <w:rsid w:val="115832F0"/>
    <w:rsid w:val="115B7D45"/>
    <w:rsid w:val="115D4462"/>
    <w:rsid w:val="115E01DA"/>
    <w:rsid w:val="11651569"/>
    <w:rsid w:val="11651A18"/>
    <w:rsid w:val="116577BB"/>
    <w:rsid w:val="11665CA1"/>
    <w:rsid w:val="11671785"/>
    <w:rsid w:val="11681CD4"/>
    <w:rsid w:val="116E48C1"/>
    <w:rsid w:val="116E5B1A"/>
    <w:rsid w:val="11744191"/>
    <w:rsid w:val="11755C50"/>
    <w:rsid w:val="1178129C"/>
    <w:rsid w:val="117F087D"/>
    <w:rsid w:val="11875983"/>
    <w:rsid w:val="11883AE7"/>
    <w:rsid w:val="118940DC"/>
    <w:rsid w:val="119105B0"/>
    <w:rsid w:val="11934328"/>
    <w:rsid w:val="1195700E"/>
    <w:rsid w:val="11966404"/>
    <w:rsid w:val="11967974"/>
    <w:rsid w:val="1197547F"/>
    <w:rsid w:val="11987B90"/>
    <w:rsid w:val="119E7DF4"/>
    <w:rsid w:val="11A17236"/>
    <w:rsid w:val="11A26B94"/>
    <w:rsid w:val="11A402E3"/>
    <w:rsid w:val="11A42091"/>
    <w:rsid w:val="11A96E1D"/>
    <w:rsid w:val="11AD4D9B"/>
    <w:rsid w:val="11AE2F10"/>
    <w:rsid w:val="11AF7CCD"/>
    <w:rsid w:val="11B254C9"/>
    <w:rsid w:val="11B57043"/>
    <w:rsid w:val="11B74637"/>
    <w:rsid w:val="11BB73DB"/>
    <w:rsid w:val="11BC5F28"/>
    <w:rsid w:val="11C90332"/>
    <w:rsid w:val="11C91AF8"/>
    <w:rsid w:val="11C931F4"/>
    <w:rsid w:val="11CE5360"/>
    <w:rsid w:val="11D72467"/>
    <w:rsid w:val="11DA5AB3"/>
    <w:rsid w:val="11DB27C0"/>
    <w:rsid w:val="11E76422"/>
    <w:rsid w:val="11E93F48"/>
    <w:rsid w:val="11EA2FBC"/>
    <w:rsid w:val="11EE7F81"/>
    <w:rsid w:val="11F320DD"/>
    <w:rsid w:val="11F34DC7"/>
    <w:rsid w:val="11F36B75"/>
    <w:rsid w:val="11FA7F03"/>
    <w:rsid w:val="11FF551A"/>
    <w:rsid w:val="120174E4"/>
    <w:rsid w:val="12046A6A"/>
    <w:rsid w:val="12096398"/>
    <w:rsid w:val="120E39AF"/>
    <w:rsid w:val="120F3780"/>
    <w:rsid w:val="12130C68"/>
    <w:rsid w:val="12137217"/>
    <w:rsid w:val="121A05A5"/>
    <w:rsid w:val="121C0A3E"/>
    <w:rsid w:val="121C5856"/>
    <w:rsid w:val="121F0576"/>
    <w:rsid w:val="121F41C5"/>
    <w:rsid w:val="122338FE"/>
    <w:rsid w:val="12244F80"/>
    <w:rsid w:val="12260CF8"/>
    <w:rsid w:val="12295A5F"/>
    <w:rsid w:val="122D0C08"/>
    <w:rsid w:val="122D652B"/>
    <w:rsid w:val="12322BA6"/>
    <w:rsid w:val="123F000C"/>
    <w:rsid w:val="123F625E"/>
    <w:rsid w:val="1241311F"/>
    <w:rsid w:val="124267DE"/>
    <w:rsid w:val="12457F37"/>
    <w:rsid w:val="12463148"/>
    <w:rsid w:val="12490E8B"/>
    <w:rsid w:val="124B311E"/>
    <w:rsid w:val="124B715C"/>
    <w:rsid w:val="124C116B"/>
    <w:rsid w:val="124F46F3"/>
    <w:rsid w:val="12541D09"/>
    <w:rsid w:val="12544277"/>
    <w:rsid w:val="125535EC"/>
    <w:rsid w:val="125D11F1"/>
    <w:rsid w:val="125F18C3"/>
    <w:rsid w:val="126420E9"/>
    <w:rsid w:val="12643883"/>
    <w:rsid w:val="12691A62"/>
    <w:rsid w:val="126A1B5C"/>
    <w:rsid w:val="126D6927"/>
    <w:rsid w:val="12723F3D"/>
    <w:rsid w:val="12724255"/>
    <w:rsid w:val="12734937"/>
    <w:rsid w:val="12791770"/>
    <w:rsid w:val="127B54E8"/>
    <w:rsid w:val="127F0CDB"/>
    <w:rsid w:val="12802AFE"/>
    <w:rsid w:val="1283614B"/>
    <w:rsid w:val="1288550F"/>
    <w:rsid w:val="12891287"/>
    <w:rsid w:val="12920C83"/>
    <w:rsid w:val="129245E0"/>
    <w:rsid w:val="1292638E"/>
    <w:rsid w:val="129304E3"/>
    <w:rsid w:val="129465AA"/>
    <w:rsid w:val="12957C2C"/>
    <w:rsid w:val="129739A4"/>
    <w:rsid w:val="129D1054"/>
    <w:rsid w:val="129E2F84"/>
    <w:rsid w:val="129F4006"/>
    <w:rsid w:val="12A22F6F"/>
    <w:rsid w:val="12A40BD6"/>
    <w:rsid w:val="12A63189"/>
    <w:rsid w:val="12A77B09"/>
    <w:rsid w:val="12AD766B"/>
    <w:rsid w:val="12B549FB"/>
    <w:rsid w:val="12B878BF"/>
    <w:rsid w:val="12B92752"/>
    <w:rsid w:val="12BF0270"/>
    <w:rsid w:val="12C16C73"/>
    <w:rsid w:val="12C80001"/>
    <w:rsid w:val="12C8262B"/>
    <w:rsid w:val="12CE0665"/>
    <w:rsid w:val="12D13C56"/>
    <w:rsid w:val="12D16C2E"/>
    <w:rsid w:val="12D375B3"/>
    <w:rsid w:val="12D469A6"/>
    <w:rsid w:val="12D70244"/>
    <w:rsid w:val="12DF7C17"/>
    <w:rsid w:val="12E00DC6"/>
    <w:rsid w:val="12E82452"/>
    <w:rsid w:val="12E92492"/>
    <w:rsid w:val="12EA5817"/>
    <w:rsid w:val="12ED0DC6"/>
    <w:rsid w:val="12ED5CBA"/>
    <w:rsid w:val="12ED6BED"/>
    <w:rsid w:val="12ED7A68"/>
    <w:rsid w:val="12EF558E"/>
    <w:rsid w:val="12EF7AF8"/>
    <w:rsid w:val="12F04B1B"/>
    <w:rsid w:val="12F06155"/>
    <w:rsid w:val="12F17558"/>
    <w:rsid w:val="12F22B9B"/>
    <w:rsid w:val="12F232D0"/>
    <w:rsid w:val="12F42BA4"/>
    <w:rsid w:val="12FA7EC5"/>
    <w:rsid w:val="12FB2185"/>
    <w:rsid w:val="13061198"/>
    <w:rsid w:val="1319019E"/>
    <w:rsid w:val="13196AAF"/>
    <w:rsid w:val="131E60FE"/>
    <w:rsid w:val="13223239"/>
    <w:rsid w:val="1323348A"/>
    <w:rsid w:val="132A2A6A"/>
    <w:rsid w:val="132C6DDC"/>
    <w:rsid w:val="13313DF9"/>
    <w:rsid w:val="1331533C"/>
    <w:rsid w:val="133336AC"/>
    <w:rsid w:val="133438E9"/>
    <w:rsid w:val="13345697"/>
    <w:rsid w:val="13350F22"/>
    <w:rsid w:val="1336140F"/>
    <w:rsid w:val="133705C5"/>
    <w:rsid w:val="13370A53"/>
    <w:rsid w:val="133B78CA"/>
    <w:rsid w:val="133E6515"/>
    <w:rsid w:val="13400A1A"/>
    <w:rsid w:val="13405DEA"/>
    <w:rsid w:val="13442EB6"/>
    <w:rsid w:val="13477178"/>
    <w:rsid w:val="1349202E"/>
    <w:rsid w:val="134C478E"/>
    <w:rsid w:val="134C5B5F"/>
    <w:rsid w:val="134E20A5"/>
    <w:rsid w:val="134E49AB"/>
    <w:rsid w:val="134E5E40"/>
    <w:rsid w:val="13531FC1"/>
    <w:rsid w:val="13545D39"/>
    <w:rsid w:val="135A755F"/>
    <w:rsid w:val="135B2888"/>
    <w:rsid w:val="135E2714"/>
    <w:rsid w:val="135F0966"/>
    <w:rsid w:val="13607F66"/>
    <w:rsid w:val="13703B2C"/>
    <w:rsid w:val="13741F37"/>
    <w:rsid w:val="13755DAD"/>
    <w:rsid w:val="137837D5"/>
    <w:rsid w:val="137F637B"/>
    <w:rsid w:val="138076CE"/>
    <w:rsid w:val="1383078C"/>
    <w:rsid w:val="138419BE"/>
    <w:rsid w:val="13856D5C"/>
    <w:rsid w:val="13866505"/>
    <w:rsid w:val="138E6935"/>
    <w:rsid w:val="13906DCF"/>
    <w:rsid w:val="13926EC3"/>
    <w:rsid w:val="1393114E"/>
    <w:rsid w:val="13936861"/>
    <w:rsid w:val="13951726"/>
    <w:rsid w:val="13955CCA"/>
    <w:rsid w:val="13A154CE"/>
    <w:rsid w:val="13A46379"/>
    <w:rsid w:val="13A90F97"/>
    <w:rsid w:val="13A9398F"/>
    <w:rsid w:val="13B011C1"/>
    <w:rsid w:val="13B3480E"/>
    <w:rsid w:val="13BB050F"/>
    <w:rsid w:val="13BB7B66"/>
    <w:rsid w:val="13BD743A"/>
    <w:rsid w:val="13C133CE"/>
    <w:rsid w:val="13C26E3B"/>
    <w:rsid w:val="13C62A08"/>
    <w:rsid w:val="13C73F1E"/>
    <w:rsid w:val="13DD188A"/>
    <w:rsid w:val="13DE350A"/>
    <w:rsid w:val="13DF5603"/>
    <w:rsid w:val="13E4235C"/>
    <w:rsid w:val="13E85C58"/>
    <w:rsid w:val="13E96481"/>
    <w:rsid w:val="13EB163C"/>
    <w:rsid w:val="13EC14AC"/>
    <w:rsid w:val="13ED41C3"/>
    <w:rsid w:val="13F05194"/>
    <w:rsid w:val="13F13588"/>
    <w:rsid w:val="13F310AE"/>
    <w:rsid w:val="13F553C3"/>
    <w:rsid w:val="13F6294C"/>
    <w:rsid w:val="14067033"/>
    <w:rsid w:val="14076907"/>
    <w:rsid w:val="14083D54"/>
    <w:rsid w:val="140E7C96"/>
    <w:rsid w:val="1415100A"/>
    <w:rsid w:val="14180B15"/>
    <w:rsid w:val="14184FB8"/>
    <w:rsid w:val="14195C65"/>
    <w:rsid w:val="141E5D4B"/>
    <w:rsid w:val="1422717A"/>
    <w:rsid w:val="142825B6"/>
    <w:rsid w:val="142851FC"/>
    <w:rsid w:val="142D2812"/>
    <w:rsid w:val="14353475"/>
    <w:rsid w:val="1436588A"/>
    <w:rsid w:val="14377166"/>
    <w:rsid w:val="1437755A"/>
    <w:rsid w:val="14391FAE"/>
    <w:rsid w:val="14396509"/>
    <w:rsid w:val="143A4F2F"/>
    <w:rsid w:val="14467430"/>
    <w:rsid w:val="14481B94"/>
    <w:rsid w:val="144C09F7"/>
    <w:rsid w:val="144C6CA3"/>
    <w:rsid w:val="144F4AF8"/>
    <w:rsid w:val="14537B96"/>
    <w:rsid w:val="145A248F"/>
    <w:rsid w:val="145A6A37"/>
    <w:rsid w:val="145E0C1D"/>
    <w:rsid w:val="145E6E6F"/>
    <w:rsid w:val="14634486"/>
    <w:rsid w:val="14636234"/>
    <w:rsid w:val="146401FE"/>
    <w:rsid w:val="14645758"/>
    <w:rsid w:val="14667AD2"/>
    <w:rsid w:val="1467040E"/>
    <w:rsid w:val="1467278A"/>
    <w:rsid w:val="14681A9C"/>
    <w:rsid w:val="146B0C64"/>
    <w:rsid w:val="1470031D"/>
    <w:rsid w:val="14750D5A"/>
    <w:rsid w:val="14771CDF"/>
    <w:rsid w:val="147771C0"/>
    <w:rsid w:val="14777F31"/>
    <w:rsid w:val="147815B3"/>
    <w:rsid w:val="147C10A3"/>
    <w:rsid w:val="14857D56"/>
    <w:rsid w:val="14863420"/>
    <w:rsid w:val="148770B2"/>
    <w:rsid w:val="148D49DB"/>
    <w:rsid w:val="148F527B"/>
    <w:rsid w:val="14904B4F"/>
    <w:rsid w:val="149208C7"/>
    <w:rsid w:val="14956D49"/>
    <w:rsid w:val="149A505C"/>
    <w:rsid w:val="149F3EBB"/>
    <w:rsid w:val="14A10B0A"/>
    <w:rsid w:val="14AE7DA5"/>
    <w:rsid w:val="14B702F9"/>
    <w:rsid w:val="14BC5944"/>
    <w:rsid w:val="14C173FE"/>
    <w:rsid w:val="14C64A14"/>
    <w:rsid w:val="14C7703A"/>
    <w:rsid w:val="14C8044C"/>
    <w:rsid w:val="14CE4AB6"/>
    <w:rsid w:val="14D14285"/>
    <w:rsid w:val="14D42C8D"/>
    <w:rsid w:val="14DA207B"/>
    <w:rsid w:val="14DD2C3C"/>
    <w:rsid w:val="14DE5FC6"/>
    <w:rsid w:val="14E2216E"/>
    <w:rsid w:val="14E3018D"/>
    <w:rsid w:val="14E53F8C"/>
    <w:rsid w:val="14E56984"/>
    <w:rsid w:val="14E82BDD"/>
    <w:rsid w:val="14EA3069"/>
    <w:rsid w:val="14ED18CC"/>
    <w:rsid w:val="14ED1FA1"/>
    <w:rsid w:val="14F21366"/>
    <w:rsid w:val="14F22743"/>
    <w:rsid w:val="14FA3B77"/>
    <w:rsid w:val="14FA4F90"/>
    <w:rsid w:val="14FC713C"/>
    <w:rsid w:val="14FE7D0A"/>
    <w:rsid w:val="15001CD4"/>
    <w:rsid w:val="150115A9"/>
    <w:rsid w:val="15075106"/>
    <w:rsid w:val="15095E33"/>
    <w:rsid w:val="150A4B66"/>
    <w:rsid w:val="151A3F56"/>
    <w:rsid w:val="151C4634"/>
    <w:rsid w:val="151C6413"/>
    <w:rsid w:val="151F7529"/>
    <w:rsid w:val="1520411D"/>
    <w:rsid w:val="152042EA"/>
    <w:rsid w:val="15227E9D"/>
    <w:rsid w:val="152359C3"/>
    <w:rsid w:val="15237771"/>
    <w:rsid w:val="152715FF"/>
    <w:rsid w:val="152F6EB9"/>
    <w:rsid w:val="1530124B"/>
    <w:rsid w:val="15316332"/>
    <w:rsid w:val="15320CE0"/>
    <w:rsid w:val="15325C06"/>
    <w:rsid w:val="15394EA5"/>
    <w:rsid w:val="15397A3F"/>
    <w:rsid w:val="15431BC1"/>
    <w:rsid w:val="15455939"/>
    <w:rsid w:val="1547402C"/>
    <w:rsid w:val="154A11A2"/>
    <w:rsid w:val="154C39ED"/>
    <w:rsid w:val="155248B0"/>
    <w:rsid w:val="15532D61"/>
    <w:rsid w:val="15543DCE"/>
    <w:rsid w:val="15575410"/>
    <w:rsid w:val="15595889"/>
    <w:rsid w:val="155A19C1"/>
    <w:rsid w:val="156038DF"/>
    <w:rsid w:val="1560591A"/>
    <w:rsid w:val="156264EB"/>
    <w:rsid w:val="15631831"/>
    <w:rsid w:val="15645374"/>
    <w:rsid w:val="1568403C"/>
    <w:rsid w:val="156A0D46"/>
    <w:rsid w:val="156A2E5A"/>
    <w:rsid w:val="156C55BC"/>
    <w:rsid w:val="15743686"/>
    <w:rsid w:val="15781D56"/>
    <w:rsid w:val="157B135B"/>
    <w:rsid w:val="157C1645"/>
    <w:rsid w:val="157E7CA2"/>
    <w:rsid w:val="15853F88"/>
    <w:rsid w:val="158A5A42"/>
    <w:rsid w:val="15916DD0"/>
    <w:rsid w:val="159577E4"/>
    <w:rsid w:val="15970C72"/>
    <w:rsid w:val="15A00DC2"/>
    <w:rsid w:val="15A238E6"/>
    <w:rsid w:val="15A50AB1"/>
    <w:rsid w:val="15AA365E"/>
    <w:rsid w:val="15AB5770"/>
    <w:rsid w:val="15AB60E4"/>
    <w:rsid w:val="15B14D7D"/>
    <w:rsid w:val="15B900D5"/>
    <w:rsid w:val="15BB3E4D"/>
    <w:rsid w:val="15BD7BC5"/>
    <w:rsid w:val="15C03212"/>
    <w:rsid w:val="15C66D1B"/>
    <w:rsid w:val="15C7386F"/>
    <w:rsid w:val="15C9656A"/>
    <w:rsid w:val="15CC5AE0"/>
    <w:rsid w:val="15CE73A1"/>
    <w:rsid w:val="15CF16A7"/>
    <w:rsid w:val="15DA2525"/>
    <w:rsid w:val="15DD5B72"/>
    <w:rsid w:val="15E21718"/>
    <w:rsid w:val="15E3096C"/>
    <w:rsid w:val="15E30B21"/>
    <w:rsid w:val="15E47A42"/>
    <w:rsid w:val="15E72E4C"/>
    <w:rsid w:val="15EB3D2E"/>
    <w:rsid w:val="15EB7345"/>
    <w:rsid w:val="15EC4007"/>
    <w:rsid w:val="15EE07A2"/>
    <w:rsid w:val="15FB3F89"/>
    <w:rsid w:val="15FC4D26"/>
    <w:rsid w:val="15FC6940"/>
    <w:rsid w:val="15FD4466"/>
    <w:rsid w:val="15FD7FC2"/>
    <w:rsid w:val="160022BA"/>
    <w:rsid w:val="16013F56"/>
    <w:rsid w:val="16087E1D"/>
    <w:rsid w:val="160C56C2"/>
    <w:rsid w:val="160C6457"/>
    <w:rsid w:val="160E6673"/>
    <w:rsid w:val="16104199"/>
    <w:rsid w:val="16111CBF"/>
    <w:rsid w:val="161C4568"/>
    <w:rsid w:val="161C6179"/>
    <w:rsid w:val="161D0664"/>
    <w:rsid w:val="161D2B21"/>
    <w:rsid w:val="161E6DDB"/>
    <w:rsid w:val="161F262E"/>
    <w:rsid w:val="16254E05"/>
    <w:rsid w:val="162D49FB"/>
    <w:rsid w:val="16336BF7"/>
    <w:rsid w:val="16375ECF"/>
    <w:rsid w:val="163836F0"/>
    <w:rsid w:val="163D4989"/>
    <w:rsid w:val="163F05DA"/>
    <w:rsid w:val="163F4A7E"/>
    <w:rsid w:val="16445BF1"/>
    <w:rsid w:val="16467BBB"/>
    <w:rsid w:val="16484957"/>
    <w:rsid w:val="16492D73"/>
    <w:rsid w:val="16497C5F"/>
    <w:rsid w:val="164C7169"/>
    <w:rsid w:val="16500A3A"/>
    <w:rsid w:val="16557DFE"/>
    <w:rsid w:val="1656015C"/>
    <w:rsid w:val="16581438"/>
    <w:rsid w:val="165A3638"/>
    <w:rsid w:val="165B0B3D"/>
    <w:rsid w:val="165C118C"/>
    <w:rsid w:val="165E574E"/>
    <w:rsid w:val="165F6881"/>
    <w:rsid w:val="165F6ECF"/>
    <w:rsid w:val="16671DCC"/>
    <w:rsid w:val="166B499D"/>
    <w:rsid w:val="166E0AB0"/>
    <w:rsid w:val="166F4EF2"/>
    <w:rsid w:val="16777D74"/>
    <w:rsid w:val="167A3837"/>
    <w:rsid w:val="167A7865"/>
    <w:rsid w:val="167F7B48"/>
    <w:rsid w:val="1681560A"/>
    <w:rsid w:val="16816E45"/>
    <w:rsid w:val="16846E3B"/>
    <w:rsid w:val="168626AD"/>
    <w:rsid w:val="16866209"/>
    <w:rsid w:val="168918FF"/>
    <w:rsid w:val="168B7CC4"/>
    <w:rsid w:val="16921052"/>
    <w:rsid w:val="1692422D"/>
    <w:rsid w:val="16930926"/>
    <w:rsid w:val="1694795B"/>
    <w:rsid w:val="16957FF1"/>
    <w:rsid w:val="169A0651"/>
    <w:rsid w:val="169B540B"/>
    <w:rsid w:val="169D08E8"/>
    <w:rsid w:val="169E17A5"/>
    <w:rsid w:val="16A14DF1"/>
    <w:rsid w:val="16A36523"/>
    <w:rsid w:val="16A36DBB"/>
    <w:rsid w:val="16A448E1"/>
    <w:rsid w:val="16A95EE3"/>
    <w:rsid w:val="16AD7C3A"/>
    <w:rsid w:val="16B22AD6"/>
    <w:rsid w:val="16B45024"/>
    <w:rsid w:val="16B56AEF"/>
    <w:rsid w:val="16B7029C"/>
    <w:rsid w:val="16B9038D"/>
    <w:rsid w:val="16BF2BEC"/>
    <w:rsid w:val="16C136E5"/>
    <w:rsid w:val="16C3745D"/>
    <w:rsid w:val="16C84F54"/>
    <w:rsid w:val="16CB7645"/>
    <w:rsid w:val="16CE195E"/>
    <w:rsid w:val="16CF5483"/>
    <w:rsid w:val="16D200BC"/>
    <w:rsid w:val="16D74CB7"/>
    <w:rsid w:val="16DA0303"/>
    <w:rsid w:val="16DC22CD"/>
    <w:rsid w:val="16DF5F3D"/>
    <w:rsid w:val="16E11692"/>
    <w:rsid w:val="16E605C5"/>
    <w:rsid w:val="16F72C63"/>
    <w:rsid w:val="16F83709"/>
    <w:rsid w:val="16F97EE5"/>
    <w:rsid w:val="16FB721B"/>
    <w:rsid w:val="16FD16D7"/>
    <w:rsid w:val="170151A8"/>
    <w:rsid w:val="17081314"/>
    <w:rsid w:val="17084E70"/>
    <w:rsid w:val="170D2487"/>
    <w:rsid w:val="17143815"/>
    <w:rsid w:val="17215FBD"/>
    <w:rsid w:val="172779EC"/>
    <w:rsid w:val="172B0B5F"/>
    <w:rsid w:val="172B40D1"/>
    <w:rsid w:val="172B6DB1"/>
    <w:rsid w:val="172F3719"/>
    <w:rsid w:val="173043C7"/>
    <w:rsid w:val="1732013F"/>
    <w:rsid w:val="17320320"/>
    <w:rsid w:val="17321EED"/>
    <w:rsid w:val="17333EC0"/>
    <w:rsid w:val="1739327C"/>
    <w:rsid w:val="17397720"/>
    <w:rsid w:val="173B532B"/>
    <w:rsid w:val="173B6FF4"/>
    <w:rsid w:val="173C0BA0"/>
    <w:rsid w:val="173C3F12"/>
    <w:rsid w:val="173E45CA"/>
    <w:rsid w:val="173E6AE4"/>
    <w:rsid w:val="174116A4"/>
    <w:rsid w:val="174166E3"/>
    <w:rsid w:val="17467788"/>
    <w:rsid w:val="17484773"/>
    <w:rsid w:val="174C1201"/>
    <w:rsid w:val="174D6D27"/>
    <w:rsid w:val="1752433D"/>
    <w:rsid w:val="17556281"/>
    <w:rsid w:val="175A633D"/>
    <w:rsid w:val="175B58E8"/>
    <w:rsid w:val="175B7522"/>
    <w:rsid w:val="175C5A0C"/>
    <w:rsid w:val="175E7186"/>
    <w:rsid w:val="176522C3"/>
    <w:rsid w:val="176B1BE8"/>
    <w:rsid w:val="176C041B"/>
    <w:rsid w:val="176F1378"/>
    <w:rsid w:val="17701D14"/>
    <w:rsid w:val="1772678E"/>
    <w:rsid w:val="17726EEA"/>
    <w:rsid w:val="17735226"/>
    <w:rsid w:val="177625A5"/>
    <w:rsid w:val="1776627E"/>
    <w:rsid w:val="1779265B"/>
    <w:rsid w:val="17795D6E"/>
    <w:rsid w:val="177A58E3"/>
    <w:rsid w:val="177C4A0A"/>
    <w:rsid w:val="177D585E"/>
    <w:rsid w:val="177E1477"/>
    <w:rsid w:val="177E6B21"/>
    <w:rsid w:val="17800EAB"/>
    <w:rsid w:val="17847EE5"/>
    <w:rsid w:val="178766DD"/>
    <w:rsid w:val="179717E4"/>
    <w:rsid w:val="17976F43"/>
    <w:rsid w:val="17984446"/>
    <w:rsid w:val="179A1D15"/>
    <w:rsid w:val="179A3448"/>
    <w:rsid w:val="179B4D9D"/>
    <w:rsid w:val="179E57D5"/>
    <w:rsid w:val="17A8074E"/>
    <w:rsid w:val="17AA5F28"/>
    <w:rsid w:val="17AE3ED5"/>
    <w:rsid w:val="17AF1790"/>
    <w:rsid w:val="17B159FA"/>
    <w:rsid w:val="17BD3EAD"/>
    <w:rsid w:val="17C227BF"/>
    <w:rsid w:val="17C23271"/>
    <w:rsid w:val="17C36FE9"/>
    <w:rsid w:val="17C460A1"/>
    <w:rsid w:val="17CA0378"/>
    <w:rsid w:val="17CA65CA"/>
    <w:rsid w:val="17CB1111"/>
    <w:rsid w:val="17CD1C16"/>
    <w:rsid w:val="17D14DE3"/>
    <w:rsid w:val="17DA4A5F"/>
    <w:rsid w:val="17E57BB4"/>
    <w:rsid w:val="17E92EF4"/>
    <w:rsid w:val="17E953D3"/>
    <w:rsid w:val="17EC7A44"/>
    <w:rsid w:val="17EF1BC3"/>
    <w:rsid w:val="17EF34BA"/>
    <w:rsid w:val="17F55D8B"/>
    <w:rsid w:val="17F92A0B"/>
    <w:rsid w:val="17FC76E8"/>
    <w:rsid w:val="18001FEB"/>
    <w:rsid w:val="18025D64"/>
    <w:rsid w:val="18095358"/>
    <w:rsid w:val="180A0D7A"/>
    <w:rsid w:val="180F222F"/>
    <w:rsid w:val="180F236F"/>
    <w:rsid w:val="180F7034"/>
    <w:rsid w:val="181635BD"/>
    <w:rsid w:val="181C72E9"/>
    <w:rsid w:val="18217367"/>
    <w:rsid w:val="18297794"/>
    <w:rsid w:val="18310A21"/>
    <w:rsid w:val="183131DF"/>
    <w:rsid w:val="183A374F"/>
    <w:rsid w:val="183A3D66"/>
    <w:rsid w:val="183B1DCB"/>
    <w:rsid w:val="183D3240"/>
    <w:rsid w:val="183D732D"/>
    <w:rsid w:val="1840063A"/>
    <w:rsid w:val="184243B2"/>
    <w:rsid w:val="18441ED8"/>
    <w:rsid w:val="184C6FDF"/>
    <w:rsid w:val="184E796B"/>
    <w:rsid w:val="18513E10"/>
    <w:rsid w:val="18520457"/>
    <w:rsid w:val="18565113"/>
    <w:rsid w:val="18582A6E"/>
    <w:rsid w:val="185954DD"/>
    <w:rsid w:val="185E6093"/>
    <w:rsid w:val="18673E19"/>
    <w:rsid w:val="18694035"/>
    <w:rsid w:val="18697B91"/>
    <w:rsid w:val="186F4E06"/>
    <w:rsid w:val="18702CCD"/>
    <w:rsid w:val="18711C2C"/>
    <w:rsid w:val="18754AC0"/>
    <w:rsid w:val="187D1A02"/>
    <w:rsid w:val="18893BAC"/>
    <w:rsid w:val="188A0C7B"/>
    <w:rsid w:val="188A386F"/>
    <w:rsid w:val="188A4EBB"/>
    <w:rsid w:val="188B440E"/>
    <w:rsid w:val="188C387F"/>
    <w:rsid w:val="18934C0E"/>
    <w:rsid w:val="18956BD8"/>
    <w:rsid w:val="189C62F4"/>
    <w:rsid w:val="189F624C"/>
    <w:rsid w:val="18A46E1B"/>
    <w:rsid w:val="18A60DE5"/>
    <w:rsid w:val="18A818D3"/>
    <w:rsid w:val="18B2778A"/>
    <w:rsid w:val="18B81F8A"/>
    <w:rsid w:val="18BA663E"/>
    <w:rsid w:val="18BC4C04"/>
    <w:rsid w:val="18BF2174"/>
    <w:rsid w:val="18C02BBB"/>
    <w:rsid w:val="18C24EA7"/>
    <w:rsid w:val="18C35054"/>
    <w:rsid w:val="18C56DF7"/>
    <w:rsid w:val="18C64FE3"/>
    <w:rsid w:val="18CB43A7"/>
    <w:rsid w:val="18CE7EA4"/>
    <w:rsid w:val="18CF147F"/>
    <w:rsid w:val="18D21BDA"/>
    <w:rsid w:val="18D72D4C"/>
    <w:rsid w:val="18D86AC4"/>
    <w:rsid w:val="18DC65B5"/>
    <w:rsid w:val="18DE232D"/>
    <w:rsid w:val="18E0295D"/>
    <w:rsid w:val="18E11E1D"/>
    <w:rsid w:val="18E134FB"/>
    <w:rsid w:val="18E15979"/>
    <w:rsid w:val="18E63C50"/>
    <w:rsid w:val="18E831AB"/>
    <w:rsid w:val="18EA6ECB"/>
    <w:rsid w:val="18ED2570"/>
    <w:rsid w:val="18EF5494"/>
    <w:rsid w:val="18F14F3F"/>
    <w:rsid w:val="18F57676"/>
    <w:rsid w:val="18F7519C"/>
    <w:rsid w:val="18FA4C8D"/>
    <w:rsid w:val="18FC18E6"/>
    <w:rsid w:val="18FC27B3"/>
    <w:rsid w:val="18FC7284"/>
    <w:rsid w:val="19033B41"/>
    <w:rsid w:val="190A2450"/>
    <w:rsid w:val="190A76E1"/>
    <w:rsid w:val="190B3A2E"/>
    <w:rsid w:val="190D2C12"/>
    <w:rsid w:val="190F19C4"/>
    <w:rsid w:val="19107621"/>
    <w:rsid w:val="191161D8"/>
    <w:rsid w:val="19137020"/>
    <w:rsid w:val="19172FD4"/>
    <w:rsid w:val="19173A91"/>
    <w:rsid w:val="191E225C"/>
    <w:rsid w:val="191E4C54"/>
    <w:rsid w:val="191F6C0D"/>
    <w:rsid w:val="19204C62"/>
    <w:rsid w:val="19205339"/>
    <w:rsid w:val="1921046B"/>
    <w:rsid w:val="192561AE"/>
    <w:rsid w:val="192835A8"/>
    <w:rsid w:val="192A2505"/>
    <w:rsid w:val="192B25DD"/>
    <w:rsid w:val="192F6848"/>
    <w:rsid w:val="19321C6B"/>
    <w:rsid w:val="19335FC9"/>
    <w:rsid w:val="19371A3D"/>
    <w:rsid w:val="19377C8F"/>
    <w:rsid w:val="19393A07"/>
    <w:rsid w:val="19397563"/>
    <w:rsid w:val="19403784"/>
    <w:rsid w:val="194859F8"/>
    <w:rsid w:val="19485CBC"/>
    <w:rsid w:val="19502AFF"/>
    <w:rsid w:val="19516FA3"/>
    <w:rsid w:val="195425EF"/>
    <w:rsid w:val="195A3619"/>
    <w:rsid w:val="195C76F5"/>
    <w:rsid w:val="19614D0C"/>
    <w:rsid w:val="1962354A"/>
    <w:rsid w:val="19661EFF"/>
    <w:rsid w:val="196A3BC0"/>
    <w:rsid w:val="19706CFD"/>
    <w:rsid w:val="19761132"/>
    <w:rsid w:val="197D694C"/>
    <w:rsid w:val="19810F0A"/>
    <w:rsid w:val="19856C4C"/>
    <w:rsid w:val="1987413E"/>
    <w:rsid w:val="198C47C6"/>
    <w:rsid w:val="19962C07"/>
    <w:rsid w:val="19A16764"/>
    <w:rsid w:val="19AD1CFF"/>
    <w:rsid w:val="19AE541A"/>
    <w:rsid w:val="19B14345"/>
    <w:rsid w:val="19B45968"/>
    <w:rsid w:val="19B906A4"/>
    <w:rsid w:val="19B93786"/>
    <w:rsid w:val="19BA35FD"/>
    <w:rsid w:val="19BB266E"/>
    <w:rsid w:val="19BE5CBA"/>
    <w:rsid w:val="19C257AA"/>
    <w:rsid w:val="19CC0292"/>
    <w:rsid w:val="19CD1167"/>
    <w:rsid w:val="19CE2BB5"/>
    <w:rsid w:val="19D35C0A"/>
    <w:rsid w:val="19D40BB0"/>
    <w:rsid w:val="19D76D7C"/>
    <w:rsid w:val="19D90D46"/>
    <w:rsid w:val="19DB061A"/>
    <w:rsid w:val="19DF45AE"/>
    <w:rsid w:val="19E00326"/>
    <w:rsid w:val="19E576EB"/>
    <w:rsid w:val="19EA6027"/>
    <w:rsid w:val="19EC2827"/>
    <w:rsid w:val="19EE1986"/>
    <w:rsid w:val="19EE47F1"/>
    <w:rsid w:val="19F53DD2"/>
    <w:rsid w:val="19F65454"/>
    <w:rsid w:val="19FA01DC"/>
    <w:rsid w:val="19FA45E4"/>
    <w:rsid w:val="19FB6838"/>
    <w:rsid w:val="19FC21EB"/>
    <w:rsid w:val="19FD52BC"/>
    <w:rsid w:val="19FE7678"/>
    <w:rsid w:val="1A045D99"/>
    <w:rsid w:val="1A0A5FA5"/>
    <w:rsid w:val="1A110E9E"/>
    <w:rsid w:val="1A141D7E"/>
    <w:rsid w:val="1A1C66C0"/>
    <w:rsid w:val="1A1D3EB4"/>
    <w:rsid w:val="1A1F4FD6"/>
    <w:rsid w:val="1A1F79C8"/>
    <w:rsid w:val="1A204BC7"/>
    <w:rsid w:val="1A207C11"/>
    <w:rsid w:val="1A2A0437"/>
    <w:rsid w:val="1A2A3350"/>
    <w:rsid w:val="1A2E4BEE"/>
    <w:rsid w:val="1A2F0966"/>
    <w:rsid w:val="1A330456"/>
    <w:rsid w:val="1A365BF3"/>
    <w:rsid w:val="1A3A17E5"/>
    <w:rsid w:val="1A3A7A37"/>
    <w:rsid w:val="1A3E6129"/>
    <w:rsid w:val="1A42393B"/>
    <w:rsid w:val="1A432F8A"/>
    <w:rsid w:val="1A440A74"/>
    <w:rsid w:val="1A442663"/>
    <w:rsid w:val="1A46462D"/>
    <w:rsid w:val="1A472B8C"/>
    <w:rsid w:val="1A505634"/>
    <w:rsid w:val="1A560BFB"/>
    <w:rsid w:val="1A562397"/>
    <w:rsid w:val="1A564EF1"/>
    <w:rsid w:val="1A5A4033"/>
    <w:rsid w:val="1A5F124B"/>
    <w:rsid w:val="1A6515CA"/>
    <w:rsid w:val="1A66082C"/>
    <w:rsid w:val="1A6B0E53"/>
    <w:rsid w:val="1A6C1BBA"/>
    <w:rsid w:val="1A75281D"/>
    <w:rsid w:val="1A755A9D"/>
    <w:rsid w:val="1A7647E7"/>
    <w:rsid w:val="1A766595"/>
    <w:rsid w:val="1A772A39"/>
    <w:rsid w:val="1A7D2D99"/>
    <w:rsid w:val="1A7D3DC7"/>
    <w:rsid w:val="1A821699"/>
    <w:rsid w:val="1A82318C"/>
    <w:rsid w:val="1A83072F"/>
    <w:rsid w:val="1A8557C1"/>
    <w:rsid w:val="1A8B7E09"/>
    <w:rsid w:val="1A8D15BC"/>
    <w:rsid w:val="1A8D7445"/>
    <w:rsid w:val="1A91517D"/>
    <w:rsid w:val="1A930EF5"/>
    <w:rsid w:val="1A967D69"/>
    <w:rsid w:val="1A980B08"/>
    <w:rsid w:val="1A9A17E2"/>
    <w:rsid w:val="1A9A2D37"/>
    <w:rsid w:val="1A9B5786"/>
    <w:rsid w:val="1AAB3B04"/>
    <w:rsid w:val="1AAD45DE"/>
    <w:rsid w:val="1AB01AA7"/>
    <w:rsid w:val="1AB07CF9"/>
    <w:rsid w:val="1AB11AF9"/>
    <w:rsid w:val="1AB53561"/>
    <w:rsid w:val="1AB71087"/>
    <w:rsid w:val="1AB854CF"/>
    <w:rsid w:val="1ABA2925"/>
    <w:rsid w:val="1ABD5F72"/>
    <w:rsid w:val="1AC13CB4"/>
    <w:rsid w:val="1AC27242"/>
    <w:rsid w:val="1AC75042"/>
    <w:rsid w:val="1ACE0CAF"/>
    <w:rsid w:val="1AD734D7"/>
    <w:rsid w:val="1AD75285"/>
    <w:rsid w:val="1AE22C03"/>
    <w:rsid w:val="1AE71241"/>
    <w:rsid w:val="1AEA43BF"/>
    <w:rsid w:val="1AEA5B9B"/>
    <w:rsid w:val="1AF01790"/>
    <w:rsid w:val="1AF264E1"/>
    <w:rsid w:val="1AF2684C"/>
    <w:rsid w:val="1AF550E8"/>
    <w:rsid w:val="1AF851FC"/>
    <w:rsid w:val="1AF916A0"/>
    <w:rsid w:val="1AFB0BDD"/>
    <w:rsid w:val="1AFC5ACA"/>
    <w:rsid w:val="1B001DD6"/>
    <w:rsid w:val="1B046F80"/>
    <w:rsid w:val="1B067919"/>
    <w:rsid w:val="1B0913F9"/>
    <w:rsid w:val="1B174574"/>
    <w:rsid w:val="1B193AF0"/>
    <w:rsid w:val="1B1D07A3"/>
    <w:rsid w:val="1B220A4F"/>
    <w:rsid w:val="1B281F85"/>
    <w:rsid w:val="1B2D30F7"/>
    <w:rsid w:val="1B2D5B08"/>
    <w:rsid w:val="1B2D759B"/>
    <w:rsid w:val="1B2E6E70"/>
    <w:rsid w:val="1B3267B5"/>
    <w:rsid w:val="1B341A3A"/>
    <w:rsid w:val="1B38347D"/>
    <w:rsid w:val="1B3A5814"/>
    <w:rsid w:val="1B3C77DE"/>
    <w:rsid w:val="1B40161D"/>
    <w:rsid w:val="1B407591"/>
    <w:rsid w:val="1B441859"/>
    <w:rsid w:val="1B4B5C73"/>
    <w:rsid w:val="1B4F57C2"/>
    <w:rsid w:val="1B541017"/>
    <w:rsid w:val="1B596949"/>
    <w:rsid w:val="1B5E7941"/>
    <w:rsid w:val="1B636DBF"/>
    <w:rsid w:val="1B6606B1"/>
    <w:rsid w:val="1B697EA8"/>
    <w:rsid w:val="1B6B3C20"/>
    <w:rsid w:val="1B6E1B64"/>
    <w:rsid w:val="1B6F1962"/>
    <w:rsid w:val="1B6F6FB6"/>
    <w:rsid w:val="1B721452"/>
    <w:rsid w:val="1B737891"/>
    <w:rsid w:val="1B746F78"/>
    <w:rsid w:val="1B7725C5"/>
    <w:rsid w:val="1B7A366D"/>
    <w:rsid w:val="1B7F5F2C"/>
    <w:rsid w:val="1B80142C"/>
    <w:rsid w:val="1B842DFA"/>
    <w:rsid w:val="1B84424C"/>
    <w:rsid w:val="1B916494"/>
    <w:rsid w:val="1B966EEF"/>
    <w:rsid w:val="1B96757D"/>
    <w:rsid w:val="1B981705"/>
    <w:rsid w:val="1B99253B"/>
    <w:rsid w:val="1B9F38C9"/>
    <w:rsid w:val="1BA07D6D"/>
    <w:rsid w:val="1BA57132"/>
    <w:rsid w:val="1BA72022"/>
    <w:rsid w:val="1BAA12D2"/>
    <w:rsid w:val="1BAA393F"/>
    <w:rsid w:val="1BB11F7A"/>
    <w:rsid w:val="1BBB6955"/>
    <w:rsid w:val="1BBB6FC8"/>
    <w:rsid w:val="1BBD7E75"/>
    <w:rsid w:val="1BC3580A"/>
    <w:rsid w:val="1BC51582"/>
    <w:rsid w:val="1BC53330"/>
    <w:rsid w:val="1BCD1019"/>
    <w:rsid w:val="1BCD79AD"/>
    <w:rsid w:val="1BCF41AF"/>
    <w:rsid w:val="1BD9502D"/>
    <w:rsid w:val="1BDF39B5"/>
    <w:rsid w:val="1BE47B60"/>
    <w:rsid w:val="1BE861A8"/>
    <w:rsid w:val="1BE8760C"/>
    <w:rsid w:val="1BE964F4"/>
    <w:rsid w:val="1BEC7F04"/>
    <w:rsid w:val="1BF34341"/>
    <w:rsid w:val="1BF53381"/>
    <w:rsid w:val="1BFB1A4D"/>
    <w:rsid w:val="1BFE4A94"/>
    <w:rsid w:val="1C057BD0"/>
    <w:rsid w:val="1C0D4183"/>
    <w:rsid w:val="1C0E117B"/>
    <w:rsid w:val="1C1109FD"/>
    <w:rsid w:val="1C161DDD"/>
    <w:rsid w:val="1C166655"/>
    <w:rsid w:val="1C1B3898"/>
    <w:rsid w:val="1C1E6EE4"/>
    <w:rsid w:val="1C2208E7"/>
    <w:rsid w:val="1C2344FA"/>
    <w:rsid w:val="1C2362A8"/>
    <w:rsid w:val="1C250273"/>
    <w:rsid w:val="1C25647F"/>
    <w:rsid w:val="1C284952"/>
    <w:rsid w:val="1C2A1FDF"/>
    <w:rsid w:val="1C2F20FA"/>
    <w:rsid w:val="1C311C5D"/>
    <w:rsid w:val="1C3404B6"/>
    <w:rsid w:val="1C3409F7"/>
    <w:rsid w:val="1C395803"/>
    <w:rsid w:val="1C397F14"/>
    <w:rsid w:val="1C3D380E"/>
    <w:rsid w:val="1C3D736A"/>
    <w:rsid w:val="1C3E30E2"/>
    <w:rsid w:val="1C3F7586"/>
    <w:rsid w:val="1C442812"/>
    <w:rsid w:val="1C4674C3"/>
    <w:rsid w:val="1C494C1B"/>
    <w:rsid w:val="1C4954A8"/>
    <w:rsid w:val="1C5C52FA"/>
    <w:rsid w:val="1C5D17E5"/>
    <w:rsid w:val="1C5E7925"/>
    <w:rsid w:val="1C6256A0"/>
    <w:rsid w:val="1C626DD1"/>
    <w:rsid w:val="1C646FED"/>
    <w:rsid w:val="1C662D65"/>
    <w:rsid w:val="1C672639"/>
    <w:rsid w:val="1C6726B4"/>
    <w:rsid w:val="1C69015F"/>
    <w:rsid w:val="1C6D382B"/>
    <w:rsid w:val="1C6D7D1C"/>
    <w:rsid w:val="1C706CDB"/>
    <w:rsid w:val="1C752FA8"/>
    <w:rsid w:val="1C7603E0"/>
    <w:rsid w:val="1C7D3578"/>
    <w:rsid w:val="1C7D3F96"/>
    <w:rsid w:val="1C7F3E27"/>
    <w:rsid w:val="1C817B9F"/>
    <w:rsid w:val="1C856594"/>
    <w:rsid w:val="1C856F63"/>
    <w:rsid w:val="1C874A89"/>
    <w:rsid w:val="1C8925AF"/>
    <w:rsid w:val="1C8B457A"/>
    <w:rsid w:val="1C8E7BC6"/>
    <w:rsid w:val="1C907DE2"/>
    <w:rsid w:val="1C914DAE"/>
    <w:rsid w:val="1C934827"/>
    <w:rsid w:val="1C9378D2"/>
    <w:rsid w:val="1C972EE8"/>
    <w:rsid w:val="1C9A2B49"/>
    <w:rsid w:val="1CA13D9D"/>
    <w:rsid w:val="1CA53161"/>
    <w:rsid w:val="1CAC386E"/>
    <w:rsid w:val="1CB6536F"/>
    <w:rsid w:val="1CBB7C46"/>
    <w:rsid w:val="1CBF4223"/>
    <w:rsid w:val="1CC63804"/>
    <w:rsid w:val="1CCB5E6C"/>
    <w:rsid w:val="1CCB7770"/>
    <w:rsid w:val="1CCC4B92"/>
    <w:rsid w:val="1CD44CBD"/>
    <w:rsid w:val="1CD46E4D"/>
    <w:rsid w:val="1CDA39CF"/>
    <w:rsid w:val="1CE608F8"/>
    <w:rsid w:val="1CE62902"/>
    <w:rsid w:val="1CEB5A62"/>
    <w:rsid w:val="1CEE0CE4"/>
    <w:rsid w:val="1CEE2D5A"/>
    <w:rsid w:val="1CEE68B6"/>
    <w:rsid w:val="1CF0651E"/>
    <w:rsid w:val="1CF754A3"/>
    <w:rsid w:val="1CFD070F"/>
    <w:rsid w:val="1D0568DB"/>
    <w:rsid w:val="1D0B56BA"/>
    <w:rsid w:val="1D0E6F59"/>
    <w:rsid w:val="1D151473"/>
    <w:rsid w:val="1D1663E0"/>
    <w:rsid w:val="1D197650"/>
    <w:rsid w:val="1D1A58FD"/>
    <w:rsid w:val="1D28626C"/>
    <w:rsid w:val="1D291FE4"/>
    <w:rsid w:val="1D307303"/>
    <w:rsid w:val="1D353B32"/>
    <w:rsid w:val="1D3C56BC"/>
    <w:rsid w:val="1D49699C"/>
    <w:rsid w:val="1D497F91"/>
    <w:rsid w:val="1D526E45"/>
    <w:rsid w:val="1D57445C"/>
    <w:rsid w:val="1D594678"/>
    <w:rsid w:val="1D5A3F4C"/>
    <w:rsid w:val="1D5F53BD"/>
    <w:rsid w:val="1D5F6196"/>
    <w:rsid w:val="1D6132A5"/>
    <w:rsid w:val="1D6163CF"/>
    <w:rsid w:val="1D622D44"/>
    <w:rsid w:val="1D6372A4"/>
    <w:rsid w:val="1D69418F"/>
    <w:rsid w:val="1D6C15CC"/>
    <w:rsid w:val="1D6C2F59"/>
    <w:rsid w:val="1D6D3C7F"/>
    <w:rsid w:val="1D70376F"/>
    <w:rsid w:val="1D75105E"/>
    <w:rsid w:val="1D76522A"/>
    <w:rsid w:val="1D774AFE"/>
    <w:rsid w:val="1D7768AC"/>
    <w:rsid w:val="1D833D99"/>
    <w:rsid w:val="1D840FC9"/>
    <w:rsid w:val="1D8C0948"/>
    <w:rsid w:val="1D8D4A2D"/>
    <w:rsid w:val="1D8E56D5"/>
    <w:rsid w:val="1D992CC6"/>
    <w:rsid w:val="1D9E208B"/>
    <w:rsid w:val="1D9E638A"/>
    <w:rsid w:val="1DA04055"/>
    <w:rsid w:val="1DA13929"/>
    <w:rsid w:val="1DA31EB7"/>
    <w:rsid w:val="1DA50C05"/>
    <w:rsid w:val="1DA73C98"/>
    <w:rsid w:val="1DAB47A7"/>
    <w:rsid w:val="1DB2534A"/>
    <w:rsid w:val="1DB367E3"/>
    <w:rsid w:val="1DB47B00"/>
    <w:rsid w:val="1DB61223"/>
    <w:rsid w:val="1DBB0038"/>
    <w:rsid w:val="1DBC0763"/>
    <w:rsid w:val="1DBD70AE"/>
    <w:rsid w:val="1DBE097F"/>
    <w:rsid w:val="1DC00CAC"/>
    <w:rsid w:val="1DC15D79"/>
    <w:rsid w:val="1DC37D43"/>
    <w:rsid w:val="1DC54D0C"/>
    <w:rsid w:val="1DC64641"/>
    <w:rsid w:val="1DC85359"/>
    <w:rsid w:val="1DCB1624"/>
    <w:rsid w:val="1DCC309C"/>
    <w:rsid w:val="1DCD0BC2"/>
    <w:rsid w:val="1DCF0496"/>
    <w:rsid w:val="1DD710B1"/>
    <w:rsid w:val="1DD71A40"/>
    <w:rsid w:val="1DD97567"/>
    <w:rsid w:val="1DDB508D"/>
    <w:rsid w:val="1DDC1198"/>
    <w:rsid w:val="1DE2466D"/>
    <w:rsid w:val="1DE33F41"/>
    <w:rsid w:val="1DE877AA"/>
    <w:rsid w:val="1DE97FBF"/>
    <w:rsid w:val="1DEC729A"/>
    <w:rsid w:val="1DED1FB5"/>
    <w:rsid w:val="1DED6036"/>
    <w:rsid w:val="1DEE4E27"/>
    <w:rsid w:val="1DF03133"/>
    <w:rsid w:val="1DF63C75"/>
    <w:rsid w:val="1DFA2C50"/>
    <w:rsid w:val="1DFA6742"/>
    <w:rsid w:val="1DFB19B3"/>
    <w:rsid w:val="1DFB4367"/>
    <w:rsid w:val="1E02381C"/>
    <w:rsid w:val="1E0433AB"/>
    <w:rsid w:val="1E063D04"/>
    <w:rsid w:val="1E0C0B57"/>
    <w:rsid w:val="1E0C3858"/>
    <w:rsid w:val="1E162569"/>
    <w:rsid w:val="1E1715CA"/>
    <w:rsid w:val="1E18008F"/>
    <w:rsid w:val="1E1847F9"/>
    <w:rsid w:val="1E196B9D"/>
    <w:rsid w:val="1E1C4EBD"/>
    <w:rsid w:val="1E1E54FA"/>
    <w:rsid w:val="1E22114A"/>
    <w:rsid w:val="1E2C3B3A"/>
    <w:rsid w:val="1E2D7626"/>
    <w:rsid w:val="1E332831"/>
    <w:rsid w:val="1E3A3506"/>
    <w:rsid w:val="1E3D7AF5"/>
    <w:rsid w:val="1E454BFC"/>
    <w:rsid w:val="1E474003"/>
    <w:rsid w:val="1E4946EC"/>
    <w:rsid w:val="1E4A2212"/>
    <w:rsid w:val="1E4A4655"/>
    <w:rsid w:val="1E572D33"/>
    <w:rsid w:val="1E5B309D"/>
    <w:rsid w:val="1E5B5F75"/>
    <w:rsid w:val="1E6037E4"/>
    <w:rsid w:val="1E6E5DE3"/>
    <w:rsid w:val="1E763CEE"/>
    <w:rsid w:val="1E77039E"/>
    <w:rsid w:val="1E7A43DA"/>
    <w:rsid w:val="1E7D2EBF"/>
    <w:rsid w:val="1E7E3C6A"/>
    <w:rsid w:val="1E827BFE"/>
    <w:rsid w:val="1E85149C"/>
    <w:rsid w:val="1E860829"/>
    <w:rsid w:val="1E894AE9"/>
    <w:rsid w:val="1E8A269B"/>
    <w:rsid w:val="1E8A6AB3"/>
    <w:rsid w:val="1E8D2CC4"/>
    <w:rsid w:val="1E9049CE"/>
    <w:rsid w:val="1E933BB9"/>
    <w:rsid w:val="1E957931"/>
    <w:rsid w:val="1E9D56CF"/>
    <w:rsid w:val="1EA305EF"/>
    <w:rsid w:val="1EAE3D0A"/>
    <w:rsid w:val="1EB06519"/>
    <w:rsid w:val="1EB2459A"/>
    <w:rsid w:val="1EB365AF"/>
    <w:rsid w:val="1EB77B79"/>
    <w:rsid w:val="1EC21DA9"/>
    <w:rsid w:val="1EC2785D"/>
    <w:rsid w:val="1EC51899"/>
    <w:rsid w:val="1EC6750A"/>
    <w:rsid w:val="1EC7467D"/>
    <w:rsid w:val="1ED31F5C"/>
    <w:rsid w:val="1ED57074"/>
    <w:rsid w:val="1ED61CF8"/>
    <w:rsid w:val="1ED63AA6"/>
    <w:rsid w:val="1EDB2E6A"/>
    <w:rsid w:val="1EDE6ADB"/>
    <w:rsid w:val="1EE066D3"/>
    <w:rsid w:val="1EE07566"/>
    <w:rsid w:val="1EE15A6C"/>
    <w:rsid w:val="1EE44415"/>
    <w:rsid w:val="1EE461C3"/>
    <w:rsid w:val="1EEA5271"/>
    <w:rsid w:val="1EEB57A3"/>
    <w:rsid w:val="1EEC12B8"/>
    <w:rsid w:val="1EF83A1C"/>
    <w:rsid w:val="1EFD1033"/>
    <w:rsid w:val="1F026649"/>
    <w:rsid w:val="1F02785E"/>
    <w:rsid w:val="1F034C4B"/>
    <w:rsid w:val="1F040613"/>
    <w:rsid w:val="1F066139"/>
    <w:rsid w:val="1F070103"/>
    <w:rsid w:val="1F0979D8"/>
    <w:rsid w:val="1F0B19A2"/>
    <w:rsid w:val="1F0D396C"/>
    <w:rsid w:val="1F0D7016"/>
    <w:rsid w:val="1F10520A"/>
    <w:rsid w:val="1F15637C"/>
    <w:rsid w:val="1F157848"/>
    <w:rsid w:val="1F176598"/>
    <w:rsid w:val="1F182311"/>
    <w:rsid w:val="1F1A3993"/>
    <w:rsid w:val="1F1B770B"/>
    <w:rsid w:val="1F1D2883"/>
    <w:rsid w:val="1F1F740F"/>
    <w:rsid w:val="1F240CB5"/>
    <w:rsid w:val="1F315962"/>
    <w:rsid w:val="1F3233D2"/>
    <w:rsid w:val="1F372797"/>
    <w:rsid w:val="1F3F5AEF"/>
    <w:rsid w:val="1F3F7DC3"/>
    <w:rsid w:val="1F444EB4"/>
    <w:rsid w:val="1F445FB7"/>
    <w:rsid w:val="1F4564FF"/>
    <w:rsid w:val="1F460C2C"/>
    <w:rsid w:val="1F485362"/>
    <w:rsid w:val="1F555BD4"/>
    <w:rsid w:val="1F5570C1"/>
    <w:rsid w:val="1F58785F"/>
    <w:rsid w:val="1F5C052B"/>
    <w:rsid w:val="1F5E021B"/>
    <w:rsid w:val="1F5F1CED"/>
    <w:rsid w:val="1F63358C"/>
    <w:rsid w:val="1F683E9E"/>
    <w:rsid w:val="1F6E05BE"/>
    <w:rsid w:val="1F6F5AB9"/>
    <w:rsid w:val="1F703EFB"/>
    <w:rsid w:val="1F7251A9"/>
    <w:rsid w:val="1F84197D"/>
    <w:rsid w:val="1F85568B"/>
    <w:rsid w:val="1F87029E"/>
    <w:rsid w:val="1F8743B5"/>
    <w:rsid w:val="1F884DA0"/>
    <w:rsid w:val="1F893E2E"/>
    <w:rsid w:val="1F8C0968"/>
    <w:rsid w:val="1F8F4478"/>
    <w:rsid w:val="1F903C55"/>
    <w:rsid w:val="1F933745"/>
    <w:rsid w:val="1F947BE9"/>
    <w:rsid w:val="1F953D64"/>
    <w:rsid w:val="1F961A97"/>
    <w:rsid w:val="1F9A4BCF"/>
    <w:rsid w:val="1F9A5927"/>
    <w:rsid w:val="1FA13064"/>
    <w:rsid w:val="1FA22E75"/>
    <w:rsid w:val="1FA45952"/>
    <w:rsid w:val="1FA871F0"/>
    <w:rsid w:val="1FA9398A"/>
    <w:rsid w:val="1FAC5358"/>
    <w:rsid w:val="1FB042F7"/>
    <w:rsid w:val="1FB42039"/>
    <w:rsid w:val="1FBC76E1"/>
    <w:rsid w:val="1FBE0451"/>
    <w:rsid w:val="1FBE138D"/>
    <w:rsid w:val="1FC01EFE"/>
    <w:rsid w:val="1FC226A9"/>
    <w:rsid w:val="1FC34FCE"/>
    <w:rsid w:val="1FC40C14"/>
    <w:rsid w:val="1FC54B9D"/>
    <w:rsid w:val="1FC64832"/>
    <w:rsid w:val="1FC752E7"/>
    <w:rsid w:val="1FC90B14"/>
    <w:rsid w:val="1FCA53B9"/>
    <w:rsid w:val="1FCC2803"/>
    <w:rsid w:val="1FCD300A"/>
    <w:rsid w:val="1FCD6C57"/>
    <w:rsid w:val="1FCE0713"/>
    <w:rsid w:val="1FCE183E"/>
    <w:rsid w:val="1FD46237"/>
    <w:rsid w:val="1FD46D07"/>
    <w:rsid w:val="1FD61FB0"/>
    <w:rsid w:val="1FDC6E9A"/>
    <w:rsid w:val="1FE7539E"/>
    <w:rsid w:val="1FEA4D80"/>
    <w:rsid w:val="1FEB3581"/>
    <w:rsid w:val="1FF2065D"/>
    <w:rsid w:val="1FF22713"/>
    <w:rsid w:val="1FF519D3"/>
    <w:rsid w:val="1FFC12EA"/>
    <w:rsid w:val="1FFC3D32"/>
    <w:rsid w:val="200050D1"/>
    <w:rsid w:val="20007E3B"/>
    <w:rsid w:val="200A4911"/>
    <w:rsid w:val="20142AD8"/>
    <w:rsid w:val="20144886"/>
    <w:rsid w:val="2016415E"/>
    <w:rsid w:val="201A3ED6"/>
    <w:rsid w:val="201B5732"/>
    <w:rsid w:val="201C198C"/>
    <w:rsid w:val="201F53B1"/>
    <w:rsid w:val="20210D51"/>
    <w:rsid w:val="20272471"/>
    <w:rsid w:val="20272641"/>
    <w:rsid w:val="20313896"/>
    <w:rsid w:val="20326B91"/>
    <w:rsid w:val="20337D29"/>
    <w:rsid w:val="20390790"/>
    <w:rsid w:val="203A7297"/>
    <w:rsid w:val="203C5B8B"/>
    <w:rsid w:val="203E7B55"/>
    <w:rsid w:val="203F7B19"/>
    <w:rsid w:val="20426A05"/>
    <w:rsid w:val="2046460E"/>
    <w:rsid w:val="20482782"/>
    <w:rsid w:val="204A02A8"/>
    <w:rsid w:val="204A47F4"/>
    <w:rsid w:val="204A73D9"/>
    <w:rsid w:val="204B104A"/>
    <w:rsid w:val="204C5DAB"/>
    <w:rsid w:val="204C61F4"/>
    <w:rsid w:val="2053686A"/>
    <w:rsid w:val="20542ED4"/>
    <w:rsid w:val="205625B4"/>
    <w:rsid w:val="20580C17"/>
    <w:rsid w:val="20581C34"/>
    <w:rsid w:val="20583C0A"/>
    <w:rsid w:val="205C7EF1"/>
    <w:rsid w:val="20601879"/>
    <w:rsid w:val="206063D4"/>
    <w:rsid w:val="20607ACB"/>
    <w:rsid w:val="20624708"/>
    <w:rsid w:val="20631A24"/>
    <w:rsid w:val="20654ABF"/>
    <w:rsid w:val="20671BE0"/>
    <w:rsid w:val="206C46C2"/>
    <w:rsid w:val="20743577"/>
    <w:rsid w:val="20766C71"/>
    <w:rsid w:val="207905D5"/>
    <w:rsid w:val="207E1B5E"/>
    <w:rsid w:val="207F5113"/>
    <w:rsid w:val="2080305E"/>
    <w:rsid w:val="20825C93"/>
    <w:rsid w:val="208C266E"/>
    <w:rsid w:val="208C6B12"/>
    <w:rsid w:val="20915ED7"/>
    <w:rsid w:val="20963CB8"/>
    <w:rsid w:val="20982BC2"/>
    <w:rsid w:val="209B6D55"/>
    <w:rsid w:val="20A165BD"/>
    <w:rsid w:val="20A246D8"/>
    <w:rsid w:val="20A81A1B"/>
    <w:rsid w:val="20B07FB6"/>
    <w:rsid w:val="20B143A4"/>
    <w:rsid w:val="20B646FB"/>
    <w:rsid w:val="20B80137"/>
    <w:rsid w:val="20BD2E6B"/>
    <w:rsid w:val="20BE4604"/>
    <w:rsid w:val="20BF0C96"/>
    <w:rsid w:val="20BF1879"/>
    <w:rsid w:val="20C004F1"/>
    <w:rsid w:val="20C938C2"/>
    <w:rsid w:val="20CA3197"/>
    <w:rsid w:val="20CE1B4F"/>
    <w:rsid w:val="20D61B3B"/>
    <w:rsid w:val="20D919B5"/>
    <w:rsid w:val="20E34258"/>
    <w:rsid w:val="20E51C8A"/>
    <w:rsid w:val="20F052F3"/>
    <w:rsid w:val="20F07698"/>
    <w:rsid w:val="20F6171C"/>
    <w:rsid w:val="20F93A28"/>
    <w:rsid w:val="20FA7F20"/>
    <w:rsid w:val="20FD3220"/>
    <w:rsid w:val="20FF72E4"/>
    <w:rsid w:val="21020B82"/>
    <w:rsid w:val="210466A8"/>
    <w:rsid w:val="210743EB"/>
    <w:rsid w:val="210F504D"/>
    <w:rsid w:val="21121093"/>
    <w:rsid w:val="2116518F"/>
    <w:rsid w:val="21254871"/>
    <w:rsid w:val="21282758"/>
    <w:rsid w:val="212C5BFF"/>
    <w:rsid w:val="212E1977"/>
    <w:rsid w:val="21336F8E"/>
    <w:rsid w:val="21380A48"/>
    <w:rsid w:val="2139763B"/>
    <w:rsid w:val="213B74B1"/>
    <w:rsid w:val="214473ED"/>
    <w:rsid w:val="2145625A"/>
    <w:rsid w:val="21466C89"/>
    <w:rsid w:val="21472A39"/>
    <w:rsid w:val="21486C4C"/>
    <w:rsid w:val="214C1D19"/>
    <w:rsid w:val="214C2AFA"/>
    <w:rsid w:val="21515666"/>
    <w:rsid w:val="21524965"/>
    <w:rsid w:val="215366BB"/>
    <w:rsid w:val="215533A8"/>
    <w:rsid w:val="21556F04"/>
    <w:rsid w:val="215718DD"/>
    <w:rsid w:val="21577120"/>
    <w:rsid w:val="215A2310"/>
    <w:rsid w:val="215D5774"/>
    <w:rsid w:val="216067DA"/>
    <w:rsid w:val="2164183D"/>
    <w:rsid w:val="216A6A5C"/>
    <w:rsid w:val="216B2BCB"/>
    <w:rsid w:val="21701F90"/>
    <w:rsid w:val="21743015"/>
    <w:rsid w:val="21743743"/>
    <w:rsid w:val="217952E8"/>
    <w:rsid w:val="217E28FF"/>
    <w:rsid w:val="21817CF9"/>
    <w:rsid w:val="218423A9"/>
    <w:rsid w:val="21871088"/>
    <w:rsid w:val="21881CE4"/>
    <w:rsid w:val="21886A3B"/>
    <w:rsid w:val="218872DA"/>
    <w:rsid w:val="218A23F4"/>
    <w:rsid w:val="218A2720"/>
    <w:rsid w:val="219162AD"/>
    <w:rsid w:val="219B78EA"/>
    <w:rsid w:val="219C5A37"/>
    <w:rsid w:val="219D66B2"/>
    <w:rsid w:val="219E6AFD"/>
    <w:rsid w:val="21A15E22"/>
    <w:rsid w:val="21A47E8B"/>
    <w:rsid w:val="21A51B5B"/>
    <w:rsid w:val="21A52231"/>
    <w:rsid w:val="21A72DAE"/>
    <w:rsid w:val="21A815C0"/>
    <w:rsid w:val="21AB746C"/>
    <w:rsid w:val="21B04A82"/>
    <w:rsid w:val="21B2014E"/>
    <w:rsid w:val="21BF4E39"/>
    <w:rsid w:val="21C10A3D"/>
    <w:rsid w:val="21C16826"/>
    <w:rsid w:val="21C4457A"/>
    <w:rsid w:val="21C91279"/>
    <w:rsid w:val="21CB71C6"/>
    <w:rsid w:val="21CE7D40"/>
    <w:rsid w:val="21CF4AE6"/>
    <w:rsid w:val="21D553E7"/>
    <w:rsid w:val="21D73DBD"/>
    <w:rsid w:val="21DC13D3"/>
    <w:rsid w:val="21DE318A"/>
    <w:rsid w:val="21E1216B"/>
    <w:rsid w:val="21E31393"/>
    <w:rsid w:val="21EF5B80"/>
    <w:rsid w:val="21F159D1"/>
    <w:rsid w:val="21F26E49"/>
    <w:rsid w:val="21F4494A"/>
    <w:rsid w:val="21F5033B"/>
    <w:rsid w:val="21F5798D"/>
    <w:rsid w:val="21F665C5"/>
    <w:rsid w:val="21FB24E8"/>
    <w:rsid w:val="21FC7CC7"/>
    <w:rsid w:val="21FE134A"/>
    <w:rsid w:val="21FF50C2"/>
    <w:rsid w:val="220031E8"/>
    <w:rsid w:val="220124C7"/>
    <w:rsid w:val="22043FA2"/>
    <w:rsid w:val="22066450"/>
    <w:rsid w:val="220821C8"/>
    <w:rsid w:val="22097CEF"/>
    <w:rsid w:val="220A23E4"/>
    <w:rsid w:val="220A24B9"/>
    <w:rsid w:val="220E3E9E"/>
    <w:rsid w:val="22123047"/>
    <w:rsid w:val="22137654"/>
    <w:rsid w:val="221548E5"/>
    <w:rsid w:val="22172DB3"/>
    <w:rsid w:val="22180B85"/>
    <w:rsid w:val="22196184"/>
    <w:rsid w:val="221C21DB"/>
    <w:rsid w:val="221F603A"/>
    <w:rsid w:val="22205764"/>
    <w:rsid w:val="22230DB0"/>
    <w:rsid w:val="22235254"/>
    <w:rsid w:val="22244B28"/>
    <w:rsid w:val="2228635C"/>
    <w:rsid w:val="2228720A"/>
    <w:rsid w:val="222C4C91"/>
    <w:rsid w:val="222D1C2F"/>
    <w:rsid w:val="22342FBD"/>
    <w:rsid w:val="223971D4"/>
    <w:rsid w:val="22407E11"/>
    <w:rsid w:val="22421B7E"/>
    <w:rsid w:val="22432E10"/>
    <w:rsid w:val="224551CB"/>
    <w:rsid w:val="224A604B"/>
    <w:rsid w:val="224B05E4"/>
    <w:rsid w:val="22543ACE"/>
    <w:rsid w:val="22554825"/>
    <w:rsid w:val="225571A2"/>
    <w:rsid w:val="22576990"/>
    <w:rsid w:val="22596EC8"/>
    <w:rsid w:val="225C0A0A"/>
    <w:rsid w:val="22604914"/>
    <w:rsid w:val="2265761B"/>
    <w:rsid w:val="226B47C6"/>
    <w:rsid w:val="226C4D62"/>
    <w:rsid w:val="226D0944"/>
    <w:rsid w:val="226D1CAC"/>
    <w:rsid w:val="226D4721"/>
    <w:rsid w:val="22714212"/>
    <w:rsid w:val="227332DD"/>
    <w:rsid w:val="227855A0"/>
    <w:rsid w:val="227C6712"/>
    <w:rsid w:val="227D591F"/>
    <w:rsid w:val="22821F7B"/>
    <w:rsid w:val="22860E4B"/>
    <w:rsid w:val="228B52E0"/>
    <w:rsid w:val="228C104B"/>
    <w:rsid w:val="228D0920"/>
    <w:rsid w:val="22934072"/>
    <w:rsid w:val="22946A32"/>
    <w:rsid w:val="22962A4F"/>
    <w:rsid w:val="22995A23"/>
    <w:rsid w:val="229B6C08"/>
    <w:rsid w:val="22A5210D"/>
    <w:rsid w:val="22A530BF"/>
    <w:rsid w:val="22A53EBB"/>
    <w:rsid w:val="22A924A8"/>
    <w:rsid w:val="22A939AB"/>
    <w:rsid w:val="22AA14D2"/>
    <w:rsid w:val="22AE6A5F"/>
    <w:rsid w:val="22B01947"/>
    <w:rsid w:val="22B21190"/>
    <w:rsid w:val="22B81433"/>
    <w:rsid w:val="22BA1D33"/>
    <w:rsid w:val="22BC0680"/>
    <w:rsid w:val="22C1491A"/>
    <w:rsid w:val="22C46A33"/>
    <w:rsid w:val="22C5455D"/>
    <w:rsid w:val="22C95D2C"/>
    <w:rsid w:val="22C968F9"/>
    <w:rsid w:val="22CF0F38"/>
    <w:rsid w:val="22D20A11"/>
    <w:rsid w:val="22D622C7"/>
    <w:rsid w:val="22D73832"/>
    <w:rsid w:val="22DA1920"/>
    <w:rsid w:val="22DD03B5"/>
    <w:rsid w:val="22DD7C0C"/>
    <w:rsid w:val="22E06CA1"/>
    <w:rsid w:val="22E542B8"/>
    <w:rsid w:val="22E64245"/>
    <w:rsid w:val="22E76CE5"/>
    <w:rsid w:val="22F47480"/>
    <w:rsid w:val="22F96412"/>
    <w:rsid w:val="22FB7F51"/>
    <w:rsid w:val="22FF7A6F"/>
    <w:rsid w:val="23022317"/>
    <w:rsid w:val="23042372"/>
    <w:rsid w:val="23043F3D"/>
    <w:rsid w:val="2309444A"/>
    <w:rsid w:val="23103EFD"/>
    <w:rsid w:val="23110EEC"/>
    <w:rsid w:val="23111551"/>
    <w:rsid w:val="231128EE"/>
    <w:rsid w:val="231177A3"/>
    <w:rsid w:val="23123443"/>
    <w:rsid w:val="23130E25"/>
    <w:rsid w:val="231F0C46"/>
    <w:rsid w:val="231F5A1C"/>
    <w:rsid w:val="2320592D"/>
    <w:rsid w:val="23242385"/>
    <w:rsid w:val="23272B22"/>
    <w:rsid w:val="23290648"/>
    <w:rsid w:val="232B0864"/>
    <w:rsid w:val="232E3EB1"/>
    <w:rsid w:val="232F0744"/>
    <w:rsid w:val="233139A1"/>
    <w:rsid w:val="2336423E"/>
    <w:rsid w:val="23373423"/>
    <w:rsid w:val="23384D2F"/>
    <w:rsid w:val="233A2855"/>
    <w:rsid w:val="233A4603"/>
    <w:rsid w:val="233C22E0"/>
    <w:rsid w:val="233D40F4"/>
    <w:rsid w:val="23496F3C"/>
    <w:rsid w:val="234B4A63"/>
    <w:rsid w:val="234C1912"/>
    <w:rsid w:val="234E4553"/>
    <w:rsid w:val="234F1BDE"/>
    <w:rsid w:val="234F2A4C"/>
    <w:rsid w:val="23530214"/>
    <w:rsid w:val="23563407"/>
    <w:rsid w:val="23566F63"/>
    <w:rsid w:val="23577B30"/>
    <w:rsid w:val="235B7B07"/>
    <w:rsid w:val="23635A76"/>
    <w:rsid w:val="236C37EA"/>
    <w:rsid w:val="236E69A3"/>
    <w:rsid w:val="23713D9D"/>
    <w:rsid w:val="2372733E"/>
    <w:rsid w:val="2376433B"/>
    <w:rsid w:val="23775858"/>
    <w:rsid w:val="237815D0"/>
    <w:rsid w:val="237B69CA"/>
    <w:rsid w:val="237E3B0E"/>
    <w:rsid w:val="23806865"/>
    <w:rsid w:val="2386653D"/>
    <w:rsid w:val="23897339"/>
    <w:rsid w:val="238A75FE"/>
    <w:rsid w:val="23907533"/>
    <w:rsid w:val="23955CDE"/>
    <w:rsid w:val="239A32F4"/>
    <w:rsid w:val="239E64FA"/>
    <w:rsid w:val="23A14683"/>
    <w:rsid w:val="23A15C51"/>
    <w:rsid w:val="23A51314"/>
    <w:rsid w:val="23A81EB5"/>
    <w:rsid w:val="23B239A9"/>
    <w:rsid w:val="23B83C9F"/>
    <w:rsid w:val="23C15C65"/>
    <w:rsid w:val="23C307FE"/>
    <w:rsid w:val="23C55DEA"/>
    <w:rsid w:val="23C860B3"/>
    <w:rsid w:val="23C95987"/>
    <w:rsid w:val="23CB5BA3"/>
    <w:rsid w:val="23D2721C"/>
    <w:rsid w:val="23D36806"/>
    <w:rsid w:val="23D76D54"/>
    <w:rsid w:val="23DA23D9"/>
    <w:rsid w:val="23DC56BB"/>
    <w:rsid w:val="23DE1C48"/>
    <w:rsid w:val="23E32EED"/>
    <w:rsid w:val="23E34C9B"/>
    <w:rsid w:val="23E7405F"/>
    <w:rsid w:val="23F0560A"/>
    <w:rsid w:val="23F13F5C"/>
    <w:rsid w:val="23F7641F"/>
    <w:rsid w:val="23FA60C2"/>
    <w:rsid w:val="23FA7F45"/>
    <w:rsid w:val="24003A9F"/>
    <w:rsid w:val="240210CD"/>
    <w:rsid w:val="2406098A"/>
    <w:rsid w:val="24080473"/>
    <w:rsid w:val="240A66CC"/>
    <w:rsid w:val="240B5FA0"/>
    <w:rsid w:val="240D7F6A"/>
    <w:rsid w:val="241005AF"/>
    <w:rsid w:val="24107A5A"/>
    <w:rsid w:val="2412732E"/>
    <w:rsid w:val="24127D33"/>
    <w:rsid w:val="2419493C"/>
    <w:rsid w:val="241B2DC7"/>
    <w:rsid w:val="242033DE"/>
    <w:rsid w:val="2426102C"/>
    <w:rsid w:val="24276726"/>
    <w:rsid w:val="242B18E6"/>
    <w:rsid w:val="242D0DE1"/>
    <w:rsid w:val="243B4AD7"/>
    <w:rsid w:val="243F3E9B"/>
    <w:rsid w:val="24431BDE"/>
    <w:rsid w:val="24457E1C"/>
    <w:rsid w:val="2446522A"/>
    <w:rsid w:val="24466FD8"/>
    <w:rsid w:val="244B2840"/>
    <w:rsid w:val="24505AD1"/>
    <w:rsid w:val="24534F75"/>
    <w:rsid w:val="24572958"/>
    <w:rsid w:val="245E07C6"/>
    <w:rsid w:val="24642D3C"/>
    <w:rsid w:val="24642F5E"/>
    <w:rsid w:val="246456B0"/>
    <w:rsid w:val="246D6C5B"/>
    <w:rsid w:val="2471512D"/>
    <w:rsid w:val="247C6455"/>
    <w:rsid w:val="247D4CF8"/>
    <w:rsid w:val="2480698E"/>
    <w:rsid w:val="248A3369"/>
    <w:rsid w:val="248B078C"/>
    <w:rsid w:val="248B16A2"/>
    <w:rsid w:val="249146F7"/>
    <w:rsid w:val="2494750B"/>
    <w:rsid w:val="24950333"/>
    <w:rsid w:val="24967F5F"/>
    <w:rsid w:val="24977834"/>
    <w:rsid w:val="249E6E14"/>
    <w:rsid w:val="24A13962"/>
    <w:rsid w:val="24A25CAE"/>
    <w:rsid w:val="24AC1531"/>
    <w:rsid w:val="24AE25E4"/>
    <w:rsid w:val="24AF2DCF"/>
    <w:rsid w:val="24B03B99"/>
    <w:rsid w:val="24B44889"/>
    <w:rsid w:val="24BB1774"/>
    <w:rsid w:val="24BE1264"/>
    <w:rsid w:val="24BF09F7"/>
    <w:rsid w:val="24C50845"/>
    <w:rsid w:val="24CA33CD"/>
    <w:rsid w:val="24CD76F9"/>
    <w:rsid w:val="24D740D4"/>
    <w:rsid w:val="24DA3EBB"/>
    <w:rsid w:val="24E276EE"/>
    <w:rsid w:val="24E44819"/>
    <w:rsid w:val="24E939F3"/>
    <w:rsid w:val="24EB5DB8"/>
    <w:rsid w:val="24ED56A6"/>
    <w:rsid w:val="24F1163A"/>
    <w:rsid w:val="24F274DB"/>
    <w:rsid w:val="24F50E8C"/>
    <w:rsid w:val="24FC3D7E"/>
    <w:rsid w:val="25035C1C"/>
    <w:rsid w:val="25075E2B"/>
    <w:rsid w:val="250C5C83"/>
    <w:rsid w:val="250E05A3"/>
    <w:rsid w:val="250F3724"/>
    <w:rsid w:val="25102484"/>
    <w:rsid w:val="25102FC4"/>
    <w:rsid w:val="251315B0"/>
    <w:rsid w:val="25145328"/>
    <w:rsid w:val="25164BFC"/>
    <w:rsid w:val="25184E18"/>
    <w:rsid w:val="251915B4"/>
    <w:rsid w:val="251D65D7"/>
    <w:rsid w:val="25227A45"/>
    <w:rsid w:val="25284783"/>
    <w:rsid w:val="252D53FE"/>
    <w:rsid w:val="252E0198"/>
    <w:rsid w:val="252E1F46"/>
    <w:rsid w:val="25315EDA"/>
    <w:rsid w:val="25317C88"/>
    <w:rsid w:val="25323BFF"/>
    <w:rsid w:val="25327207"/>
    <w:rsid w:val="253451C8"/>
    <w:rsid w:val="253D03DB"/>
    <w:rsid w:val="253D487F"/>
    <w:rsid w:val="25414EBD"/>
    <w:rsid w:val="254A7ECF"/>
    <w:rsid w:val="254C061E"/>
    <w:rsid w:val="25502375"/>
    <w:rsid w:val="255D2B5F"/>
    <w:rsid w:val="255F4B72"/>
    <w:rsid w:val="25603547"/>
    <w:rsid w:val="25624A61"/>
    <w:rsid w:val="2567101A"/>
    <w:rsid w:val="256718FC"/>
    <w:rsid w:val="2569263E"/>
    <w:rsid w:val="256C2A6E"/>
    <w:rsid w:val="256E67E6"/>
    <w:rsid w:val="25783B09"/>
    <w:rsid w:val="257A2F0F"/>
    <w:rsid w:val="257B2143"/>
    <w:rsid w:val="257E4A9D"/>
    <w:rsid w:val="257F6C45"/>
    <w:rsid w:val="25825474"/>
    <w:rsid w:val="25875AFA"/>
    <w:rsid w:val="25893D68"/>
    <w:rsid w:val="25895D8F"/>
    <w:rsid w:val="25896922"/>
    <w:rsid w:val="258E50DA"/>
    <w:rsid w:val="2593624D"/>
    <w:rsid w:val="25973F8F"/>
    <w:rsid w:val="25982ED7"/>
    <w:rsid w:val="259B4A48"/>
    <w:rsid w:val="259F57BA"/>
    <w:rsid w:val="25A0096A"/>
    <w:rsid w:val="25A01D10"/>
    <w:rsid w:val="25A20B86"/>
    <w:rsid w:val="25A22934"/>
    <w:rsid w:val="25A246E2"/>
    <w:rsid w:val="25AB1B73"/>
    <w:rsid w:val="25AD710F"/>
    <w:rsid w:val="25B368EF"/>
    <w:rsid w:val="25B5273A"/>
    <w:rsid w:val="25BA7462"/>
    <w:rsid w:val="25BC1C48"/>
    <w:rsid w:val="25BF3437"/>
    <w:rsid w:val="25C46BF1"/>
    <w:rsid w:val="25C91FA1"/>
    <w:rsid w:val="25C9362C"/>
    <w:rsid w:val="25C96CBE"/>
    <w:rsid w:val="25CC5A3B"/>
    <w:rsid w:val="25CD4EA6"/>
    <w:rsid w:val="25CD79B1"/>
    <w:rsid w:val="25D074A1"/>
    <w:rsid w:val="25D40F89"/>
    <w:rsid w:val="25E257F4"/>
    <w:rsid w:val="25E42F4C"/>
    <w:rsid w:val="25E60A73"/>
    <w:rsid w:val="25EC2D81"/>
    <w:rsid w:val="25EC567E"/>
    <w:rsid w:val="25F13AB7"/>
    <w:rsid w:val="25F46FD8"/>
    <w:rsid w:val="25F52A64"/>
    <w:rsid w:val="25FA70D0"/>
    <w:rsid w:val="25FE48C3"/>
    <w:rsid w:val="26017E16"/>
    <w:rsid w:val="26046186"/>
    <w:rsid w:val="26047794"/>
    <w:rsid w:val="260570C4"/>
    <w:rsid w:val="26074284"/>
    <w:rsid w:val="26083C81"/>
    <w:rsid w:val="26094761"/>
    <w:rsid w:val="260E3B25"/>
    <w:rsid w:val="260E5C0A"/>
    <w:rsid w:val="260F621B"/>
    <w:rsid w:val="2613702C"/>
    <w:rsid w:val="26173CAC"/>
    <w:rsid w:val="261F21D6"/>
    <w:rsid w:val="26235EFE"/>
    <w:rsid w:val="262477ED"/>
    <w:rsid w:val="262B2929"/>
    <w:rsid w:val="262D47B0"/>
    <w:rsid w:val="26306192"/>
    <w:rsid w:val="26325A66"/>
    <w:rsid w:val="26347A30"/>
    <w:rsid w:val="26377520"/>
    <w:rsid w:val="26393BC5"/>
    <w:rsid w:val="263D1CBA"/>
    <w:rsid w:val="26402A59"/>
    <w:rsid w:val="26404627"/>
    <w:rsid w:val="2644429A"/>
    <w:rsid w:val="26454DBB"/>
    <w:rsid w:val="264B2FCC"/>
    <w:rsid w:val="264F700E"/>
    <w:rsid w:val="26541E80"/>
    <w:rsid w:val="26563B15"/>
    <w:rsid w:val="2657371E"/>
    <w:rsid w:val="265B227D"/>
    <w:rsid w:val="26606A77"/>
    <w:rsid w:val="26633E71"/>
    <w:rsid w:val="26695200"/>
    <w:rsid w:val="266A0D63"/>
    <w:rsid w:val="26722306"/>
    <w:rsid w:val="26726FAE"/>
    <w:rsid w:val="26727564"/>
    <w:rsid w:val="267442D0"/>
    <w:rsid w:val="26751DF6"/>
    <w:rsid w:val="26760048"/>
    <w:rsid w:val="26785BF5"/>
    <w:rsid w:val="267A0D0A"/>
    <w:rsid w:val="267E00A6"/>
    <w:rsid w:val="267E3AC7"/>
    <w:rsid w:val="267E514F"/>
    <w:rsid w:val="267F58F0"/>
    <w:rsid w:val="2685203A"/>
    <w:rsid w:val="26876EE1"/>
    <w:rsid w:val="268A3AF4"/>
    <w:rsid w:val="268D553E"/>
    <w:rsid w:val="268F2EB8"/>
    <w:rsid w:val="26923CD5"/>
    <w:rsid w:val="26924756"/>
    <w:rsid w:val="26964247"/>
    <w:rsid w:val="269728B5"/>
    <w:rsid w:val="26A10E3D"/>
    <w:rsid w:val="26A12BEB"/>
    <w:rsid w:val="26A1515E"/>
    <w:rsid w:val="26A61FB0"/>
    <w:rsid w:val="26A72C38"/>
    <w:rsid w:val="26A73240"/>
    <w:rsid w:val="26AB1368"/>
    <w:rsid w:val="26AD372B"/>
    <w:rsid w:val="26B41E2F"/>
    <w:rsid w:val="26BA245F"/>
    <w:rsid w:val="26BB3EAB"/>
    <w:rsid w:val="26BE19EF"/>
    <w:rsid w:val="26BE379D"/>
    <w:rsid w:val="26C03072"/>
    <w:rsid w:val="26CA4A34"/>
    <w:rsid w:val="26CD39E1"/>
    <w:rsid w:val="26CD578F"/>
    <w:rsid w:val="26D13B43"/>
    <w:rsid w:val="26D262EF"/>
    <w:rsid w:val="26D27AD9"/>
    <w:rsid w:val="26D905CD"/>
    <w:rsid w:val="26DB038C"/>
    <w:rsid w:val="26DD4B77"/>
    <w:rsid w:val="26E06790"/>
    <w:rsid w:val="26E628EC"/>
    <w:rsid w:val="26EA0A6E"/>
    <w:rsid w:val="26EF7DFB"/>
    <w:rsid w:val="26F23447"/>
    <w:rsid w:val="26F5243A"/>
    <w:rsid w:val="26FA67D4"/>
    <w:rsid w:val="26FD79FE"/>
    <w:rsid w:val="26FE003E"/>
    <w:rsid w:val="270B6B49"/>
    <w:rsid w:val="270C517B"/>
    <w:rsid w:val="270C6B7D"/>
    <w:rsid w:val="270F4E62"/>
    <w:rsid w:val="27133AE9"/>
    <w:rsid w:val="271368F1"/>
    <w:rsid w:val="2716650B"/>
    <w:rsid w:val="27171C20"/>
    <w:rsid w:val="2718121A"/>
    <w:rsid w:val="271909D4"/>
    <w:rsid w:val="271964F1"/>
    <w:rsid w:val="271A3A69"/>
    <w:rsid w:val="271E423C"/>
    <w:rsid w:val="27233601"/>
    <w:rsid w:val="272475B9"/>
    <w:rsid w:val="27297642"/>
    <w:rsid w:val="272A498F"/>
    <w:rsid w:val="272D6888"/>
    <w:rsid w:val="272E6BB5"/>
    <w:rsid w:val="27331D58"/>
    <w:rsid w:val="27391076"/>
    <w:rsid w:val="273C5BB7"/>
    <w:rsid w:val="273D56AE"/>
    <w:rsid w:val="27433CA3"/>
    <w:rsid w:val="27483B05"/>
    <w:rsid w:val="274910B4"/>
    <w:rsid w:val="27525F38"/>
    <w:rsid w:val="27541040"/>
    <w:rsid w:val="27586941"/>
    <w:rsid w:val="275B723E"/>
    <w:rsid w:val="275D2BBD"/>
    <w:rsid w:val="275D6B12"/>
    <w:rsid w:val="275E36AF"/>
    <w:rsid w:val="27616C96"/>
    <w:rsid w:val="276854B7"/>
    <w:rsid w:val="276B172A"/>
    <w:rsid w:val="276E6F72"/>
    <w:rsid w:val="277057A2"/>
    <w:rsid w:val="27785187"/>
    <w:rsid w:val="277A5916"/>
    <w:rsid w:val="277B4D8C"/>
    <w:rsid w:val="277C48A6"/>
    <w:rsid w:val="277D5407"/>
    <w:rsid w:val="278034FA"/>
    <w:rsid w:val="2787765E"/>
    <w:rsid w:val="278B2EDA"/>
    <w:rsid w:val="278B5D71"/>
    <w:rsid w:val="278C389C"/>
    <w:rsid w:val="278C564A"/>
    <w:rsid w:val="278E0648"/>
    <w:rsid w:val="27914A0E"/>
    <w:rsid w:val="279462AC"/>
    <w:rsid w:val="279A288D"/>
    <w:rsid w:val="279F4B11"/>
    <w:rsid w:val="279F712B"/>
    <w:rsid w:val="27A42993"/>
    <w:rsid w:val="27A50DC4"/>
    <w:rsid w:val="27A521C1"/>
    <w:rsid w:val="27A6495D"/>
    <w:rsid w:val="27AA17F2"/>
    <w:rsid w:val="27AF5CBC"/>
    <w:rsid w:val="27B01338"/>
    <w:rsid w:val="27B0724E"/>
    <w:rsid w:val="27B21092"/>
    <w:rsid w:val="27C22E19"/>
    <w:rsid w:val="27C301F6"/>
    <w:rsid w:val="27C4757D"/>
    <w:rsid w:val="27C50CF8"/>
    <w:rsid w:val="27C668BE"/>
    <w:rsid w:val="27C91CE6"/>
    <w:rsid w:val="27C92EAF"/>
    <w:rsid w:val="27D112AE"/>
    <w:rsid w:val="27D30271"/>
    <w:rsid w:val="27DE7ED2"/>
    <w:rsid w:val="27DF5779"/>
    <w:rsid w:val="27E67CB3"/>
    <w:rsid w:val="27EB411E"/>
    <w:rsid w:val="27F21951"/>
    <w:rsid w:val="27F52125"/>
    <w:rsid w:val="27F531EF"/>
    <w:rsid w:val="27F82CDF"/>
    <w:rsid w:val="27FA0805"/>
    <w:rsid w:val="27FF406E"/>
    <w:rsid w:val="28034902"/>
    <w:rsid w:val="28050FB8"/>
    <w:rsid w:val="28051705"/>
    <w:rsid w:val="280766F8"/>
    <w:rsid w:val="28090A48"/>
    <w:rsid w:val="281401B5"/>
    <w:rsid w:val="281843F5"/>
    <w:rsid w:val="281928AF"/>
    <w:rsid w:val="281A2C55"/>
    <w:rsid w:val="281C077C"/>
    <w:rsid w:val="28243AD4"/>
    <w:rsid w:val="282633A8"/>
    <w:rsid w:val="282D4FFC"/>
    <w:rsid w:val="28315B47"/>
    <w:rsid w:val="28333D17"/>
    <w:rsid w:val="28336292"/>
    <w:rsid w:val="28336A3F"/>
    <w:rsid w:val="28363D32"/>
    <w:rsid w:val="2838215B"/>
    <w:rsid w:val="283D231C"/>
    <w:rsid w:val="283E32BB"/>
    <w:rsid w:val="283F6199"/>
    <w:rsid w:val="28410534"/>
    <w:rsid w:val="28445769"/>
    <w:rsid w:val="28461C9C"/>
    <w:rsid w:val="284B2E0F"/>
    <w:rsid w:val="284B5E25"/>
    <w:rsid w:val="284D6B87"/>
    <w:rsid w:val="284F3DB5"/>
    <w:rsid w:val="285451F9"/>
    <w:rsid w:val="28582953"/>
    <w:rsid w:val="28653CFA"/>
    <w:rsid w:val="2868600E"/>
    <w:rsid w:val="286D0FD7"/>
    <w:rsid w:val="286F726F"/>
    <w:rsid w:val="28700714"/>
    <w:rsid w:val="287560DE"/>
    <w:rsid w:val="28773C04"/>
    <w:rsid w:val="2877626F"/>
    <w:rsid w:val="28786926"/>
    <w:rsid w:val="287A36F4"/>
    <w:rsid w:val="288108C3"/>
    <w:rsid w:val="28845103"/>
    <w:rsid w:val="28852C5D"/>
    <w:rsid w:val="288B594B"/>
    <w:rsid w:val="288D37FB"/>
    <w:rsid w:val="288E0F4E"/>
    <w:rsid w:val="28932B31"/>
    <w:rsid w:val="28940C5A"/>
    <w:rsid w:val="28962C9E"/>
    <w:rsid w:val="289A78F2"/>
    <w:rsid w:val="289C18BC"/>
    <w:rsid w:val="289C6753"/>
    <w:rsid w:val="28A1150E"/>
    <w:rsid w:val="28A52F74"/>
    <w:rsid w:val="28A644E9"/>
    <w:rsid w:val="28A864B3"/>
    <w:rsid w:val="28A95D87"/>
    <w:rsid w:val="28AD6F6C"/>
    <w:rsid w:val="28AF4EEF"/>
    <w:rsid w:val="28B05A8E"/>
    <w:rsid w:val="28B30912"/>
    <w:rsid w:val="28B409B4"/>
    <w:rsid w:val="28B44E58"/>
    <w:rsid w:val="28B46E09"/>
    <w:rsid w:val="28B547FD"/>
    <w:rsid w:val="28BB61E6"/>
    <w:rsid w:val="28BD244B"/>
    <w:rsid w:val="28BE69FB"/>
    <w:rsid w:val="28BF6DAB"/>
    <w:rsid w:val="28BF78D8"/>
    <w:rsid w:val="28C12636"/>
    <w:rsid w:val="28C31578"/>
    <w:rsid w:val="28C50263"/>
    <w:rsid w:val="28C669EE"/>
    <w:rsid w:val="28CC2066"/>
    <w:rsid w:val="28CD5F1A"/>
    <w:rsid w:val="28CE0A17"/>
    <w:rsid w:val="28D15A45"/>
    <w:rsid w:val="28D948BF"/>
    <w:rsid w:val="28DB0637"/>
    <w:rsid w:val="28DC5CDF"/>
    <w:rsid w:val="28DD6A42"/>
    <w:rsid w:val="28DF6365"/>
    <w:rsid w:val="28E1022D"/>
    <w:rsid w:val="28EE667A"/>
    <w:rsid w:val="28F11C08"/>
    <w:rsid w:val="28F9286B"/>
    <w:rsid w:val="28FB4D41"/>
    <w:rsid w:val="29067EAF"/>
    <w:rsid w:val="29086F52"/>
    <w:rsid w:val="290A0F1C"/>
    <w:rsid w:val="290A21B6"/>
    <w:rsid w:val="29107EB4"/>
    <w:rsid w:val="29115E06"/>
    <w:rsid w:val="2917419D"/>
    <w:rsid w:val="29177195"/>
    <w:rsid w:val="29180460"/>
    <w:rsid w:val="291807B8"/>
    <w:rsid w:val="291853E7"/>
    <w:rsid w:val="291A520D"/>
    <w:rsid w:val="291A6103"/>
    <w:rsid w:val="291B4F3B"/>
    <w:rsid w:val="29206EB8"/>
    <w:rsid w:val="29211DC2"/>
    <w:rsid w:val="29211FE0"/>
    <w:rsid w:val="2923754E"/>
    <w:rsid w:val="2927562A"/>
    <w:rsid w:val="29282C9F"/>
    <w:rsid w:val="292875F4"/>
    <w:rsid w:val="292905C3"/>
    <w:rsid w:val="292A336C"/>
    <w:rsid w:val="292B1A1A"/>
    <w:rsid w:val="293164A9"/>
    <w:rsid w:val="29330C5B"/>
    <w:rsid w:val="29333EC4"/>
    <w:rsid w:val="29341AF5"/>
    <w:rsid w:val="29347D47"/>
    <w:rsid w:val="29381D5F"/>
    <w:rsid w:val="293D6BFB"/>
    <w:rsid w:val="29404512"/>
    <w:rsid w:val="29407343"/>
    <w:rsid w:val="294206B6"/>
    <w:rsid w:val="294223BD"/>
    <w:rsid w:val="2943636D"/>
    <w:rsid w:val="2945317B"/>
    <w:rsid w:val="29455384"/>
    <w:rsid w:val="294573BB"/>
    <w:rsid w:val="294855A0"/>
    <w:rsid w:val="294B1456"/>
    <w:rsid w:val="294C32E2"/>
    <w:rsid w:val="29502A3A"/>
    <w:rsid w:val="29595666"/>
    <w:rsid w:val="295C2DFA"/>
    <w:rsid w:val="296543A4"/>
    <w:rsid w:val="296C74E1"/>
    <w:rsid w:val="296F0D7F"/>
    <w:rsid w:val="29714AF7"/>
    <w:rsid w:val="29716F53"/>
    <w:rsid w:val="29763132"/>
    <w:rsid w:val="297665B1"/>
    <w:rsid w:val="29785E86"/>
    <w:rsid w:val="297B340B"/>
    <w:rsid w:val="297C6FDF"/>
    <w:rsid w:val="29822B05"/>
    <w:rsid w:val="29842A7C"/>
    <w:rsid w:val="29867208"/>
    <w:rsid w:val="29874881"/>
    <w:rsid w:val="2992096A"/>
    <w:rsid w:val="299372B3"/>
    <w:rsid w:val="29942477"/>
    <w:rsid w:val="29946A38"/>
    <w:rsid w:val="299A22A0"/>
    <w:rsid w:val="299B7ECB"/>
    <w:rsid w:val="299D779B"/>
    <w:rsid w:val="299E493C"/>
    <w:rsid w:val="29A0362E"/>
    <w:rsid w:val="29A21154"/>
    <w:rsid w:val="29A22F02"/>
    <w:rsid w:val="29A529F3"/>
    <w:rsid w:val="29A749BD"/>
    <w:rsid w:val="29B011A4"/>
    <w:rsid w:val="29B175E9"/>
    <w:rsid w:val="29B6551D"/>
    <w:rsid w:val="29C45588"/>
    <w:rsid w:val="29C95A87"/>
    <w:rsid w:val="29C966E1"/>
    <w:rsid w:val="29CA2459"/>
    <w:rsid w:val="29CD6446"/>
    <w:rsid w:val="29CE019B"/>
    <w:rsid w:val="29D47298"/>
    <w:rsid w:val="29D86924"/>
    <w:rsid w:val="29E17ECF"/>
    <w:rsid w:val="29E21551"/>
    <w:rsid w:val="29E325E0"/>
    <w:rsid w:val="29E92B52"/>
    <w:rsid w:val="29EA5434"/>
    <w:rsid w:val="29EC2877"/>
    <w:rsid w:val="29F046C1"/>
    <w:rsid w:val="29F23E8A"/>
    <w:rsid w:val="29FB2613"/>
    <w:rsid w:val="29FD45DD"/>
    <w:rsid w:val="29FD638B"/>
    <w:rsid w:val="29FE796B"/>
    <w:rsid w:val="29FF2103"/>
    <w:rsid w:val="2A025DDB"/>
    <w:rsid w:val="2A04066B"/>
    <w:rsid w:val="2A04596B"/>
    <w:rsid w:val="2A072C16"/>
    <w:rsid w:val="2A094D30"/>
    <w:rsid w:val="2A0A14DF"/>
    <w:rsid w:val="2A0E44DE"/>
    <w:rsid w:val="2A116C03"/>
    <w:rsid w:val="2A1262DA"/>
    <w:rsid w:val="2A133E00"/>
    <w:rsid w:val="2A13795C"/>
    <w:rsid w:val="2A16136E"/>
    <w:rsid w:val="2A16744D"/>
    <w:rsid w:val="2A17569E"/>
    <w:rsid w:val="2A1B4108"/>
    <w:rsid w:val="2A1F32A0"/>
    <w:rsid w:val="2A2B114A"/>
    <w:rsid w:val="2A2C6C70"/>
    <w:rsid w:val="2A3165D2"/>
    <w:rsid w:val="2A351FC9"/>
    <w:rsid w:val="2A353D77"/>
    <w:rsid w:val="2A375D41"/>
    <w:rsid w:val="2A391AB9"/>
    <w:rsid w:val="2A3A7DAD"/>
    <w:rsid w:val="2A3C181C"/>
    <w:rsid w:val="2A452503"/>
    <w:rsid w:val="2A4915D0"/>
    <w:rsid w:val="2A4C2BDF"/>
    <w:rsid w:val="2A4C4DF3"/>
    <w:rsid w:val="2A514230"/>
    <w:rsid w:val="2A5171BF"/>
    <w:rsid w:val="2A524929"/>
    <w:rsid w:val="2A554767"/>
    <w:rsid w:val="2A563950"/>
    <w:rsid w:val="2A572C2C"/>
    <w:rsid w:val="2A581813"/>
    <w:rsid w:val="2A58311B"/>
    <w:rsid w:val="2A5837D0"/>
    <w:rsid w:val="2A585CB7"/>
    <w:rsid w:val="2A5B4E5F"/>
    <w:rsid w:val="2A6254EB"/>
    <w:rsid w:val="2A652187"/>
    <w:rsid w:val="2A6B1546"/>
    <w:rsid w:val="2A6B3832"/>
    <w:rsid w:val="2A6E33AA"/>
    <w:rsid w:val="2A725283"/>
    <w:rsid w:val="2A7705F1"/>
    <w:rsid w:val="2A7821F7"/>
    <w:rsid w:val="2A7A3E7F"/>
    <w:rsid w:val="2A810D6A"/>
    <w:rsid w:val="2A863AD3"/>
    <w:rsid w:val="2A88342D"/>
    <w:rsid w:val="2A890141"/>
    <w:rsid w:val="2A8A2314"/>
    <w:rsid w:val="2A8E16D9"/>
    <w:rsid w:val="2A922F77"/>
    <w:rsid w:val="2A944F41"/>
    <w:rsid w:val="2A947C6B"/>
    <w:rsid w:val="2A9F4AD2"/>
    <w:rsid w:val="2AA36F32"/>
    <w:rsid w:val="2AA9206F"/>
    <w:rsid w:val="2AAA6513"/>
    <w:rsid w:val="2AAD67C6"/>
    <w:rsid w:val="2AAF1D7B"/>
    <w:rsid w:val="2AB03726"/>
    <w:rsid w:val="2AB06D2D"/>
    <w:rsid w:val="2AB421BA"/>
    <w:rsid w:val="2AB63109"/>
    <w:rsid w:val="2AB729DE"/>
    <w:rsid w:val="2ABA24CE"/>
    <w:rsid w:val="2AC234BF"/>
    <w:rsid w:val="2AC30B3D"/>
    <w:rsid w:val="2AC33130"/>
    <w:rsid w:val="2AC450FA"/>
    <w:rsid w:val="2AC670C5"/>
    <w:rsid w:val="2ACA2711"/>
    <w:rsid w:val="2ACA7564"/>
    <w:rsid w:val="2ACB21DF"/>
    <w:rsid w:val="2ACC4BF6"/>
    <w:rsid w:val="2ACD1B61"/>
    <w:rsid w:val="2ACD206E"/>
    <w:rsid w:val="2ACD2201"/>
    <w:rsid w:val="2ACF4CC6"/>
    <w:rsid w:val="2AD46ED1"/>
    <w:rsid w:val="2AD81B51"/>
    <w:rsid w:val="2AD90104"/>
    <w:rsid w:val="2AD96DF8"/>
    <w:rsid w:val="2ADB07BB"/>
    <w:rsid w:val="2ADB491E"/>
    <w:rsid w:val="2AE232B1"/>
    <w:rsid w:val="2AE5754B"/>
    <w:rsid w:val="2AE74787"/>
    <w:rsid w:val="2AEF2B2B"/>
    <w:rsid w:val="2AF165E2"/>
    <w:rsid w:val="2AF4778E"/>
    <w:rsid w:val="2AF6306C"/>
    <w:rsid w:val="2B027FC3"/>
    <w:rsid w:val="2B043FCC"/>
    <w:rsid w:val="2B053749"/>
    <w:rsid w:val="2B054B6B"/>
    <w:rsid w:val="2B0556F4"/>
    <w:rsid w:val="2B0674C1"/>
    <w:rsid w:val="2B0760E4"/>
    <w:rsid w:val="2B1656B9"/>
    <w:rsid w:val="2B194807"/>
    <w:rsid w:val="2B1E0EBD"/>
    <w:rsid w:val="2B1F0889"/>
    <w:rsid w:val="2B2133FA"/>
    <w:rsid w:val="2B2160A9"/>
    <w:rsid w:val="2B253DEB"/>
    <w:rsid w:val="2B2A7653"/>
    <w:rsid w:val="2B2C33CC"/>
    <w:rsid w:val="2B2F6902"/>
    <w:rsid w:val="2B317A55"/>
    <w:rsid w:val="2B394CFC"/>
    <w:rsid w:val="2B3E6C5B"/>
    <w:rsid w:val="2B4104F9"/>
    <w:rsid w:val="2B4448C8"/>
    <w:rsid w:val="2B487ADA"/>
    <w:rsid w:val="2B514BE0"/>
    <w:rsid w:val="2B536BAA"/>
    <w:rsid w:val="2B547350"/>
    <w:rsid w:val="2B5A53B6"/>
    <w:rsid w:val="2B5D628A"/>
    <w:rsid w:val="2B640498"/>
    <w:rsid w:val="2B691981"/>
    <w:rsid w:val="2B6A441E"/>
    <w:rsid w:val="2B6C1A1A"/>
    <w:rsid w:val="2B711B8B"/>
    <w:rsid w:val="2B722C4A"/>
    <w:rsid w:val="2B7469BB"/>
    <w:rsid w:val="2B7834F5"/>
    <w:rsid w:val="2B793244"/>
    <w:rsid w:val="2B793765"/>
    <w:rsid w:val="2B7A701F"/>
    <w:rsid w:val="2B7B16EA"/>
    <w:rsid w:val="2B7B1DC1"/>
    <w:rsid w:val="2B7C45EA"/>
    <w:rsid w:val="2B801021"/>
    <w:rsid w:val="2B8054C5"/>
    <w:rsid w:val="2B8925CC"/>
    <w:rsid w:val="2B8E1990"/>
    <w:rsid w:val="2B8F395A"/>
    <w:rsid w:val="2B8F6DDD"/>
    <w:rsid w:val="2B9546FF"/>
    <w:rsid w:val="2B980A61"/>
    <w:rsid w:val="2B983E5B"/>
    <w:rsid w:val="2B9E594C"/>
    <w:rsid w:val="2BA03472"/>
    <w:rsid w:val="2BA2368E"/>
    <w:rsid w:val="2BA936A8"/>
    <w:rsid w:val="2BAC198D"/>
    <w:rsid w:val="2BAC1E16"/>
    <w:rsid w:val="2BAC62BA"/>
    <w:rsid w:val="2BB138D1"/>
    <w:rsid w:val="2BB1567F"/>
    <w:rsid w:val="2BB1742D"/>
    <w:rsid w:val="2BB512FE"/>
    <w:rsid w:val="2BB86A0D"/>
    <w:rsid w:val="2BB94533"/>
    <w:rsid w:val="2BBD2276"/>
    <w:rsid w:val="2BBF5C96"/>
    <w:rsid w:val="2BC058C2"/>
    <w:rsid w:val="2BC90C1A"/>
    <w:rsid w:val="2BD011A6"/>
    <w:rsid w:val="2BD15D21"/>
    <w:rsid w:val="2BDC6D23"/>
    <w:rsid w:val="2BE26DFE"/>
    <w:rsid w:val="2BE62A1C"/>
    <w:rsid w:val="2BEE167E"/>
    <w:rsid w:val="2BEE4C55"/>
    <w:rsid w:val="2BF10806"/>
    <w:rsid w:val="2BF35C97"/>
    <w:rsid w:val="2BF64FC9"/>
    <w:rsid w:val="2BFA0DD4"/>
    <w:rsid w:val="2BFB76BA"/>
    <w:rsid w:val="2BFD6B16"/>
    <w:rsid w:val="2C073EAD"/>
    <w:rsid w:val="2C1260E7"/>
    <w:rsid w:val="2C136339"/>
    <w:rsid w:val="2C143EC1"/>
    <w:rsid w:val="2C155C0E"/>
    <w:rsid w:val="2C1664BB"/>
    <w:rsid w:val="2C22675B"/>
    <w:rsid w:val="2C315A5A"/>
    <w:rsid w:val="2C351E0C"/>
    <w:rsid w:val="2C363DD6"/>
    <w:rsid w:val="2C377C61"/>
    <w:rsid w:val="2C3B2F90"/>
    <w:rsid w:val="2C3B3A3A"/>
    <w:rsid w:val="2C3C1B09"/>
    <w:rsid w:val="2C42277B"/>
    <w:rsid w:val="2C444745"/>
    <w:rsid w:val="2C4464F3"/>
    <w:rsid w:val="2C477D91"/>
    <w:rsid w:val="2C491D5B"/>
    <w:rsid w:val="2C4B1C25"/>
    <w:rsid w:val="2C4D00EB"/>
    <w:rsid w:val="2C5030EA"/>
    <w:rsid w:val="2C503E7E"/>
    <w:rsid w:val="2C504E98"/>
    <w:rsid w:val="2C506C46"/>
    <w:rsid w:val="2C517951"/>
    <w:rsid w:val="2C5801F0"/>
    <w:rsid w:val="2C5D75B5"/>
    <w:rsid w:val="2C640943"/>
    <w:rsid w:val="2C6941AB"/>
    <w:rsid w:val="2C6A6029"/>
    <w:rsid w:val="2C7768C8"/>
    <w:rsid w:val="2C7C5C8D"/>
    <w:rsid w:val="2C8043FC"/>
    <w:rsid w:val="2C8139BA"/>
    <w:rsid w:val="2C8348CD"/>
    <w:rsid w:val="2C842D2F"/>
    <w:rsid w:val="2C853793"/>
    <w:rsid w:val="2C866204"/>
    <w:rsid w:val="2C87787E"/>
    <w:rsid w:val="2C8851D5"/>
    <w:rsid w:val="2C8B5ED0"/>
    <w:rsid w:val="2C8D7E9A"/>
    <w:rsid w:val="2C8E6106"/>
    <w:rsid w:val="2C8E776E"/>
    <w:rsid w:val="2C90239F"/>
    <w:rsid w:val="2C920BF7"/>
    <w:rsid w:val="2C9254B0"/>
    <w:rsid w:val="2C93195A"/>
    <w:rsid w:val="2C9A6113"/>
    <w:rsid w:val="2C9C1E8B"/>
    <w:rsid w:val="2C9F197B"/>
    <w:rsid w:val="2CA90A4C"/>
    <w:rsid w:val="2CAB6572"/>
    <w:rsid w:val="2CAD5E46"/>
    <w:rsid w:val="2CB03B88"/>
    <w:rsid w:val="2CB25B52"/>
    <w:rsid w:val="2CB52F4D"/>
    <w:rsid w:val="2CB5522F"/>
    <w:rsid w:val="2CB96370"/>
    <w:rsid w:val="2CBA0563"/>
    <w:rsid w:val="2CBC42DB"/>
    <w:rsid w:val="2CC31B0E"/>
    <w:rsid w:val="2CC71223"/>
    <w:rsid w:val="2CC87112"/>
    <w:rsid w:val="2CC94C4A"/>
    <w:rsid w:val="2CCB09C2"/>
    <w:rsid w:val="2CCC2A95"/>
    <w:rsid w:val="2CCD64DE"/>
    <w:rsid w:val="2CCF04B2"/>
    <w:rsid w:val="2CD120EE"/>
    <w:rsid w:val="2CD36E6A"/>
    <w:rsid w:val="2CD77367"/>
    <w:rsid w:val="2CDA29B3"/>
    <w:rsid w:val="2CDE06F5"/>
    <w:rsid w:val="2CE132A0"/>
    <w:rsid w:val="2CE3011E"/>
    <w:rsid w:val="2CE55F57"/>
    <w:rsid w:val="2CED26E7"/>
    <w:rsid w:val="2CEE32A6"/>
    <w:rsid w:val="2CEE645F"/>
    <w:rsid w:val="2CF015E0"/>
    <w:rsid w:val="2CF75313"/>
    <w:rsid w:val="2CF95FD4"/>
    <w:rsid w:val="2CFF241A"/>
    <w:rsid w:val="2D002E18"/>
    <w:rsid w:val="2D0440C7"/>
    <w:rsid w:val="2D0D4B37"/>
    <w:rsid w:val="2D0F5B53"/>
    <w:rsid w:val="2D12214D"/>
    <w:rsid w:val="2D156530"/>
    <w:rsid w:val="2D1C7470"/>
    <w:rsid w:val="2D1F53D0"/>
    <w:rsid w:val="2D214A86"/>
    <w:rsid w:val="2D22764F"/>
    <w:rsid w:val="2D2325AC"/>
    <w:rsid w:val="2D232BB3"/>
    <w:rsid w:val="2D241E80"/>
    <w:rsid w:val="2D282227"/>
    <w:rsid w:val="2D347926"/>
    <w:rsid w:val="2D376058"/>
    <w:rsid w:val="2D3868F1"/>
    <w:rsid w:val="2D3B3EE2"/>
    <w:rsid w:val="2D3C366E"/>
    <w:rsid w:val="2D406CBA"/>
    <w:rsid w:val="2D412A32"/>
    <w:rsid w:val="2D426ED6"/>
    <w:rsid w:val="2D452523"/>
    <w:rsid w:val="2D485B6F"/>
    <w:rsid w:val="2D4B534E"/>
    <w:rsid w:val="2D4B7688"/>
    <w:rsid w:val="2D4F502A"/>
    <w:rsid w:val="2D4F6EFD"/>
    <w:rsid w:val="2D532D74"/>
    <w:rsid w:val="2D54696D"/>
    <w:rsid w:val="2D546C0A"/>
    <w:rsid w:val="2D564730"/>
    <w:rsid w:val="2D5664DE"/>
    <w:rsid w:val="2D5C786C"/>
    <w:rsid w:val="2D5E7113"/>
    <w:rsid w:val="2D5F6C3C"/>
    <w:rsid w:val="2D603B9C"/>
    <w:rsid w:val="2D616FDD"/>
    <w:rsid w:val="2D62283F"/>
    <w:rsid w:val="2D624B2F"/>
    <w:rsid w:val="2D634CF0"/>
    <w:rsid w:val="2D6548BB"/>
    <w:rsid w:val="2D684463"/>
    <w:rsid w:val="2D6C5D01"/>
    <w:rsid w:val="2D713318"/>
    <w:rsid w:val="2D720E3E"/>
    <w:rsid w:val="2D731343"/>
    <w:rsid w:val="2D744556"/>
    <w:rsid w:val="2D7469D2"/>
    <w:rsid w:val="2D7C3A6A"/>
    <w:rsid w:val="2D855015"/>
    <w:rsid w:val="2D8D5C78"/>
    <w:rsid w:val="2D962D7E"/>
    <w:rsid w:val="2D990AC0"/>
    <w:rsid w:val="2D9B5BC3"/>
    <w:rsid w:val="2D9C146A"/>
    <w:rsid w:val="2D9E56F5"/>
    <w:rsid w:val="2D9E60D7"/>
    <w:rsid w:val="2DA03BFD"/>
    <w:rsid w:val="2DA90D03"/>
    <w:rsid w:val="2DAC25A2"/>
    <w:rsid w:val="2DAC3027"/>
    <w:rsid w:val="2DAD00C8"/>
    <w:rsid w:val="2DB05916"/>
    <w:rsid w:val="2DB63420"/>
    <w:rsid w:val="2DB93CC5"/>
    <w:rsid w:val="2DBA31BB"/>
    <w:rsid w:val="2DC01BA9"/>
    <w:rsid w:val="2DC518B5"/>
    <w:rsid w:val="2DCA133D"/>
    <w:rsid w:val="2DCE2518"/>
    <w:rsid w:val="2DCE4FFC"/>
    <w:rsid w:val="2DD12008"/>
    <w:rsid w:val="2DD1251E"/>
    <w:rsid w:val="2DD85145"/>
    <w:rsid w:val="2DD9710F"/>
    <w:rsid w:val="2DDB2E87"/>
    <w:rsid w:val="2DDD275B"/>
    <w:rsid w:val="2DDD2EDC"/>
    <w:rsid w:val="2DE0049D"/>
    <w:rsid w:val="2DE010DE"/>
    <w:rsid w:val="2DE41D28"/>
    <w:rsid w:val="2DE97352"/>
    <w:rsid w:val="2DF65CCA"/>
    <w:rsid w:val="2DFB0E33"/>
    <w:rsid w:val="2E0423DE"/>
    <w:rsid w:val="2E0777D8"/>
    <w:rsid w:val="2E0903C4"/>
    <w:rsid w:val="2E0D5D29"/>
    <w:rsid w:val="2E0E0B44"/>
    <w:rsid w:val="2E0F57F5"/>
    <w:rsid w:val="2E112405"/>
    <w:rsid w:val="2E1805A9"/>
    <w:rsid w:val="2E197BD7"/>
    <w:rsid w:val="2E22014D"/>
    <w:rsid w:val="2E220AB6"/>
    <w:rsid w:val="2E225C6C"/>
    <w:rsid w:val="2E232138"/>
    <w:rsid w:val="2E254102"/>
    <w:rsid w:val="2E2627B5"/>
    <w:rsid w:val="2E293BF2"/>
    <w:rsid w:val="2E2B2D7C"/>
    <w:rsid w:val="2E2D26A1"/>
    <w:rsid w:val="2E3031D3"/>
    <w:rsid w:val="2E3305CD"/>
    <w:rsid w:val="2E355879"/>
    <w:rsid w:val="2E372A60"/>
    <w:rsid w:val="2E38111F"/>
    <w:rsid w:val="2E3B1300"/>
    <w:rsid w:val="2E4F2F2D"/>
    <w:rsid w:val="2E4F7F14"/>
    <w:rsid w:val="2E505623"/>
    <w:rsid w:val="2E57204A"/>
    <w:rsid w:val="2E577DE4"/>
    <w:rsid w:val="2E5B0F11"/>
    <w:rsid w:val="2E6305ED"/>
    <w:rsid w:val="2E666BF4"/>
    <w:rsid w:val="2E667F96"/>
    <w:rsid w:val="2E67471B"/>
    <w:rsid w:val="2E6C65AC"/>
    <w:rsid w:val="2E6E40B7"/>
    <w:rsid w:val="2E6F2DE9"/>
    <w:rsid w:val="2E7035CF"/>
    <w:rsid w:val="2E7418E0"/>
    <w:rsid w:val="2E79216D"/>
    <w:rsid w:val="2E7C6418"/>
    <w:rsid w:val="2E7F0A39"/>
    <w:rsid w:val="2E7F39BA"/>
    <w:rsid w:val="2E8226AB"/>
    <w:rsid w:val="2E894691"/>
    <w:rsid w:val="2E8A13DC"/>
    <w:rsid w:val="2E8B49B7"/>
    <w:rsid w:val="2E8D23D3"/>
    <w:rsid w:val="2E90655A"/>
    <w:rsid w:val="2E930E53"/>
    <w:rsid w:val="2E9314D4"/>
    <w:rsid w:val="2E9372BE"/>
    <w:rsid w:val="2E942B04"/>
    <w:rsid w:val="2E951288"/>
    <w:rsid w:val="2E9574DA"/>
    <w:rsid w:val="2E9A01FB"/>
    <w:rsid w:val="2E9B7024"/>
    <w:rsid w:val="2E9C21C7"/>
    <w:rsid w:val="2EA414CB"/>
    <w:rsid w:val="2EA464AE"/>
    <w:rsid w:val="2EA54AD6"/>
    <w:rsid w:val="2EA8720D"/>
    <w:rsid w:val="2EA87A1C"/>
    <w:rsid w:val="2EAC037F"/>
    <w:rsid w:val="2EB23BE8"/>
    <w:rsid w:val="2EB26B81"/>
    <w:rsid w:val="2EB3498A"/>
    <w:rsid w:val="2EB4209B"/>
    <w:rsid w:val="2EB63EF5"/>
    <w:rsid w:val="2EB72FAC"/>
    <w:rsid w:val="2EB91B26"/>
    <w:rsid w:val="2EB931C8"/>
    <w:rsid w:val="2EBA5CA0"/>
    <w:rsid w:val="2EBC05C2"/>
    <w:rsid w:val="2EC56AB5"/>
    <w:rsid w:val="2ECD6C74"/>
    <w:rsid w:val="2ECD7363"/>
    <w:rsid w:val="2ECF5B55"/>
    <w:rsid w:val="2ED26F43"/>
    <w:rsid w:val="2ED533E9"/>
    <w:rsid w:val="2ED637C6"/>
    <w:rsid w:val="2ED718A0"/>
    <w:rsid w:val="2ED753FC"/>
    <w:rsid w:val="2EDB2AF2"/>
    <w:rsid w:val="2EDB60E8"/>
    <w:rsid w:val="2EDC6EF5"/>
    <w:rsid w:val="2EDD678B"/>
    <w:rsid w:val="2EDE7414"/>
    <w:rsid w:val="2EE10E16"/>
    <w:rsid w:val="2EE717BE"/>
    <w:rsid w:val="2EEA15D4"/>
    <w:rsid w:val="2EEA16A4"/>
    <w:rsid w:val="2EEA3E42"/>
    <w:rsid w:val="2EEE218C"/>
    <w:rsid w:val="2EEF3EEB"/>
    <w:rsid w:val="2EF67512"/>
    <w:rsid w:val="2EF7362C"/>
    <w:rsid w:val="2EF73CF0"/>
    <w:rsid w:val="2EFB225A"/>
    <w:rsid w:val="2EFB296D"/>
    <w:rsid w:val="2EFC1307"/>
    <w:rsid w:val="2EFE0BDB"/>
    <w:rsid w:val="2EFE4F46"/>
    <w:rsid w:val="2EFF2EDF"/>
    <w:rsid w:val="2F012479"/>
    <w:rsid w:val="2F017F60"/>
    <w:rsid w:val="2F030DBB"/>
    <w:rsid w:val="2F0437FF"/>
    <w:rsid w:val="2F083808"/>
    <w:rsid w:val="2F0A61E8"/>
    <w:rsid w:val="2F0D52C2"/>
    <w:rsid w:val="2F0D5C0B"/>
    <w:rsid w:val="2F0E56BC"/>
    <w:rsid w:val="2F0F6596"/>
    <w:rsid w:val="2F155F25"/>
    <w:rsid w:val="2F17393F"/>
    <w:rsid w:val="2F196AD7"/>
    <w:rsid w:val="2F1B6430"/>
    <w:rsid w:val="2F1C67E3"/>
    <w:rsid w:val="2F1D6D82"/>
    <w:rsid w:val="2F1E1ACE"/>
    <w:rsid w:val="2F1F1FC4"/>
    <w:rsid w:val="2F1F5DDD"/>
    <w:rsid w:val="2F252CC5"/>
    <w:rsid w:val="2F264CBE"/>
    <w:rsid w:val="2F2919D0"/>
    <w:rsid w:val="2F2D7712"/>
    <w:rsid w:val="2F3960B7"/>
    <w:rsid w:val="2F397E65"/>
    <w:rsid w:val="2F3A39D1"/>
    <w:rsid w:val="2F3C1703"/>
    <w:rsid w:val="2F3C5BA7"/>
    <w:rsid w:val="2F490799"/>
    <w:rsid w:val="2F584B91"/>
    <w:rsid w:val="2F5A7DDB"/>
    <w:rsid w:val="2F5B427F"/>
    <w:rsid w:val="2F5B77BD"/>
    <w:rsid w:val="2F6066F3"/>
    <w:rsid w:val="2F6078A4"/>
    <w:rsid w:val="2F657F9F"/>
    <w:rsid w:val="2F6A7C36"/>
    <w:rsid w:val="2F6D1146"/>
    <w:rsid w:val="2F6F3887"/>
    <w:rsid w:val="2F704949"/>
    <w:rsid w:val="2F725125"/>
    <w:rsid w:val="2F737BA6"/>
    <w:rsid w:val="2F7453AB"/>
    <w:rsid w:val="2F7C63DF"/>
    <w:rsid w:val="2F7E7F6E"/>
    <w:rsid w:val="2F7F5230"/>
    <w:rsid w:val="2F8337D6"/>
    <w:rsid w:val="2F83752B"/>
    <w:rsid w:val="2F880DEC"/>
    <w:rsid w:val="2F8B5B35"/>
    <w:rsid w:val="2F8E2058"/>
    <w:rsid w:val="2F95496C"/>
    <w:rsid w:val="2F974B8C"/>
    <w:rsid w:val="2F9B467C"/>
    <w:rsid w:val="2F9F7A4B"/>
    <w:rsid w:val="2FA06644"/>
    <w:rsid w:val="2FA13583"/>
    <w:rsid w:val="2FA21EAE"/>
    <w:rsid w:val="2FA84FEB"/>
    <w:rsid w:val="2FA93429"/>
    <w:rsid w:val="2FAF0127"/>
    <w:rsid w:val="2FB67708"/>
    <w:rsid w:val="2FC11C09"/>
    <w:rsid w:val="2FC75471"/>
    <w:rsid w:val="2FC968E8"/>
    <w:rsid w:val="2FCC6F2B"/>
    <w:rsid w:val="2FCF2080"/>
    <w:rsid w:val="2FD065E6"/>
    <w:rsid w:val="2FD23E16"/>
    <w:rsid w:val="2FD429D9"/>
    <w:rsid w:val="2FD47B8E"/>
    <w:rsid w:val="2FD951A4"/>
    <w:rsid w:val="2FD96870"/>
    <w:rsid w:val="2FE06533"/>
    <w:rsid w:val="2FE73D65"/>
    <w:rsid w:val="2FEB619A"/>
    <w:rsid w:val="2FEC6072"/>
    <w:rsid w:val="2FEE50F3"/>
    <w:rsid w:val="2FEE5C1B"/>
    <w:rsid w:val="2FEE6EA1"/>
    <w:rsid w:val="2FF81704"/>
    <w:rsid w:val="2FFB336C"/>
    <w:rsid w:val="2FFD4332"/>
    <w:rsid w:val="2FFF78F5"/>
    <w:rsid w:val="3002294D"/>
    <w:rsid w:val="30071D11"/>
    <w:rsid w:val="300C39C6"/>
    <w:rsid w:val="300C557A"/>
    <w:rsid w:val="300F3CF4"/>
    <w:rsid w:val="301472B6"/>
    <w:rsid w:val="30162FEC"/>
    <w:rsid w:val="301B57BD"/>
    <w:rsid w:val="301D7787"/>
    <w:rsid w:val="30222169"/>
    <w:rsid w:val="30231051"/>
    <w:rsid w:val="3023122B"/>
    <w:rsid w:val="302820F2"/>
    <w:rsid w:val="3029612C"/>
    <w:rsid w:val="302A5A00"/>
    <w:rsid w:val="302B41A7"/>
    <w:rsid w:val="302C79CA"/>
    <w:rsid w:val="302F3E44"/>
    <w:rsid w:val="303625F7"/>
    <w:rsid w:val="30390D84"/>
    <w:rsid w:val="303A351C"/>
    <w:rsid w:val="303D059E"/>
    <w:rsid w:val="30405E56"/>
    <w:rsid w:val="30406FD1"/>
    <w:rsid w:val="3042268E"/>
    <w:rsid w:val="30442F65"/>
    <w:rsid w:val="3050190A"/>
    <w:rsid w:val="30536D05"/>
    <w:rsid w:val="305765F9"/>
    <w:rsid w:val="30580BC9"/>
    <w:rsid w:val="3058256D"/>
    <w:rsid w:val="305B02AF"/>
    <w:rsid w:val="305E17D7"/>
    <w:rsid w:val="305E56A9"/>
    <w:rsid w:val="305F04DB"/>
    <w:rsid w:val="3062163D"/>
    <w:rsid w:val="306233EC"/>
    <w:rsid w:val="30671406"/>
    <w:rsid w:val="3068032E"/>
    <w:rsid w:val="306E2BD8"/>
    <w:rsid w:val="306E7FE2"/>
    <w:rsid w:val="30741671"/>
    <w:rsid w:val="307902EB"/>
    <w:rsid w:val="307D5C1A"/>
    <w:rsid w:val="30806709"/>
    <w:rsid w:val="30850E88"/>
    <w:rsid w:val="30862E5A"/>
    <w:rsid w:val="30881ED1"/>
    <w:rsid w:val="308E46B3"/>
    <w:rsid w:val="30956FFB"/>
    <w:rsid w:val="30963095"/>
    <w:rsid w:val="30973E22"/>
    <w:rsid w:val="30986E0D"/>
    <w:rsid w:val="309A2B85"/>
    <w:rsid w:val="309D61D2"/>
    <w:rsid w:val="309F019C"/>
    <w:rsid w:val="30A21A3A"/>
    <w:rsid w:val="30A24F4C"/>
    <w:rsid w:val="30A734F4"/>
    <w:rsid w:val="30AE664D"/>
    <w:rsid w:val="30B26121"/>
    <w:rsid w:val="30B31E99"/>
    <w:rsid w:val="30B359F5"/>
    <w:rsid w:val="30B654E5"/>
    <w:rsid w:val="30C07A8D"/>
    <w:rsid w:val="30C45E54"/>
    <w:rsid w:val="30C4716D"/>
    <w:rsid w:val="30C9346B"/>
    <w:rsid w:val="30C96FC7"/>
    <w:rsid w:val="30D37E45"/>
    <w:rsid w:val="30D43B6A"/>
    <w:rsid w:val="30DF2EF5"/>
    <w:rsid w:val="30E236AE"/>
    <w:rsid w:val="30E262DA"/>
    <w:rsid w:val="30E402A4"/>
    <w:rsid w:val="30EE0A9E"/>
    <w:rsid w:val="30EE1DEE"/>
    <w:rsid w:val="30F05651"/>
    <w:rsid w:val="30F77FD8"/>
    <w:rsid w:val="30FC739C"/>
    <w:rsid w:val="3107282D"/>
    <w:rsid w:val="31085D41"/>
    <w:rsid w:val="310F7B6C"/>
    <w:rsid w:val="31111BFD"/>
    <w:rsid w:val="31124E12"/>
    <w:rsid w:val="31132938"/>
    <w:rsid w:val="31175F84"/>
    <w:rsid w:val="311E2ED7"/>
    <w:rsid w:val="312845D3"/>
    <w:rsid w:val="31291B85"/>
    <w:rsid w:val="312B3FDA"/>
    <w:rsid w:val="31393E3B"/>
    <w:rsid w:val="313C3C3D"/>
    <w:rsid w:val="313E0D04"/>
    <w:rsid w:val="31436D79"/>
    <w:rsid w:val="31466869"/>
    <w:rsid w:val="31474F6D"/>
    <w:rsid w:val="31477BE9"/>
    <w:rsid w:val="314833E2"/>
    <w:rsid w:val="3148438F"/>
    <w:rsid w:val="314D7BF8"/>
    <w:rsid w:val="31501496"/>
    <w:rsid w:val="31506ACE"/>
    <w:rsid w:val="315174A9"/>
    <w:rsid w:val="315619EE"/>
    <w:rsid w:val="31572824"/>
    <w:rsid w:val="315947EF"/>
    <w:rsid w:val="315A37BA"/>
    <w:rsid w:val="315C449C"/>
    <w:rsid w:val="315D0DDA"/>
    <w:rsid w:val="315E02E1"/>
    <w:rsid w:val="315E119C"/>
    <w:rsid w:val="316136A3"/>
    <w:rsid w:val="3163373C"/>
    <w:rsid w:val="3166515D"/>
    <w:rsid w:val="31666F0B"/>
    <w:rsid w:val="316771C6"/>
    <w:rsid w:val="31684A32"/>
    <w:rsid w:val="316867E0"/>
    <w:rsid w:val="316E7EEC"/>
    <w:rsid w:val="3172765E"/>
    <w:rsid w:val="3179279B"/>
    <w:rsid w:val="317B4CFF"/>
    <w:rsid w:val="31807FCD"/>
    <w:rsid w:val="31822753"/>
    <w:rsid w:val="318479A1"/>
    <w:rsid w:val="31887B58"/>
    <w:rsid w:val="318A2BFA"/>
    <w:rsid w:val="318A49A8"/>
    <w:rsid w:val="31905D36"/>
    <w:rsid w:val="31916A3A"/>
    <w:rsid w:val="31945827"/>
    <w:rsid w:val="3197648A"/>
    <w:rsid w:val="31A17DF8"/>
    <w:rsid w:val="31A22024"/>
    <w:rsid w:val="31A31F0E"/>
    <w:rsid w:val="31A77F56"/>
    <w:rsid w:val="31A812AB"/>
    <w:rsid w:val="31AB03AE"/>
    <w:rsid w:val="31AD4DE9"/>
    <w:rsid w:val="31AE180F"/>
    <w:rsid w:val="31AF440F"/>
    <w:rsid w:val="31B15E56"/>
    <w:rsid w:val="31B53264"/>
    <w:rsid w:val="31B82709"/>
    <w:rsid w:val="31B859B9"/>
    <w:rsid w:val="31BA22FF"/>
    <w:rsid w:val="31BB139D"/>
    <w:rsid w:val="31BB7E0F"/>
    <w:rsid w:val="31BE2D33"/>
    <w:rsid w:val="31C3610C"/>
    <w:rsid w:val="31C4769C"/>
    <w:rsid w:val="31C94300"/>
    <w:rsid w:val="31CA62EC"/>
    <w:rsid w:val="31CE63C0"/>
    <w:rsid w:val="31D05482"/>
    <w:rsid w:val="31D420C7"/>
    <w:rsid w:val="31D54EF7"/>
    <w:rsid w:val="31D669B4"/>
    <w:rsid w:val="31D92BDB"/>
    <w:rsid w:val="31DE2F46"/>
    <w:rsid w:val="31DF175B"/>
    <w:rsid w:val="31E00A6C"/>
    <w:rsid w:val="31E3230A"/>
    <w:rsid w:val="31EA071A"/>
    <w:rsid w:val="31EA18EB"/>
    <w:rsid w:val="31EF6733"/>
    <w:rsid w:val="31F00869"/>
    <w:rsid w:val="31F340BE"/>
    <w:rsid w:val="31F84007"/>
    <w:rsid w:val="31FA5EFB"/>
    <w:rsid w:val="3201186B"/>
    <w:rsid w:val="32024E86"/>
    <w:rsid w:val="3203475A"/>
    <w:rsid w:val="32064605"/>
    <w:rsid w:val="320C1861"/>
    <w:rsid w:val="320F1351"/>
    <w:rsid w:val="320F1AB1"/>
    <w:rsid w:val="32101EAF"/>
    <w:rsid w:val="32110506"/>
    <w:rsid w:val="32116E77"/>
    <w:rsid w:val="321307EA"/>
    <w:rsid w:val="321702EA"/>
    <w:rsid w:val="32260BC4"/>
    <w:rsid w:val="322A1CE7"/>
    <w:rsid w:val="322F1676"/>
    <w:rsid w:val="32352C43"/>
    <w:rsid w:val="323B3865"/>
    <w:rsid w:val="323D5EBE"/>
    <w:rsid w:val="323E5792"/>
    <w:rsid w:val="32400B34"/>
    <w:rsid w:val="3240775C"/>
    <w:rsid w:val="32427031"/>
    <w:rsid w:val="32436447"/>
    <w:rsid w:val="32454D73"/>
    <w:rsid w:val="324803BF"/>
    <w:rsid w:val="324A2760"/>
    <w:rsid w:val="324C4353"/>
    <w:rsid w:val="324D01C5"/>
    <w:rsid w:val="324D4B92"/>
    <w:rsid w:val="3257018C"/>
    <w:rsid w:val="3259098A"/>
    <w:rsid w:val="325B6344"/>
    <w:rsid w:val="32602287"/>
    <w:rsid w:val="32621481"/>
    <w:rsid w:val="326278DC"/>
    <w:rsid w:val="32696CB3"/>
    <w:rsid w:val="326A4DED"/>
    <w:rsid w:val="326C2300"/>
    <w:rsid w:val="326E42CA"/>
    <w:rsid w:val="32755658"/>
    <w:rsid w:val="32764F2C"/>
    <w:rsid w:val="3277039E"/>
    <w:rsid w:val="32780CA4"/>
    <w:rsid w:val="32794A1C"/>
    <w:rsid w:val="327A0EC0"/>
    <w:rsid w:val="327D23CD"/>
    <w:rsid w:val="32840B71"/>
    <w:rsid w:val="3287538B"/>
    <w:rsid w:val="32891103"/>
    <w:rsid w:val="328A65D7"/>
    <w:rsid w:val="328D05A3"/>
    <w:rsid w:val="328D7C9C"/>
    <w:rsid w:val="328E0849"/>
    <w:rsid w:val="328F5FEE"/>
    <w:rsid w:val="32917FB8"/>
    <w:rsid w:val="32944C82"/>
    <w:rsid w:val="32951856"/>
    <w:rsid w:val="329655CE"/>
    <w:rsid w:val="32981347"/>
    <w:rsid w:val="32981BA7"/>
    <w:rsid w:val="32990C1B"/>
    <w:rsid w:val="329B0B26"/>
    <w:rsid w:val="329C4887"/>
    <w:rsid w:val="329E6876"/>
    <w:rsid w:val="32A01FA9"/>
    <w:rsid w:val="32A277CA"/>
    <w:rsid w:val="32A45F3D"/>
    <w:rsid w:val="32A57E67"/>
    <w:rsid w:val="32A61CB5"/>
    <w:rsid w:val="32A777DC"/>
    <w:rsid w:val="32AA1B48"/>
    <w:rsid w:val="32AC5357"/>
    <w:rsid w:val="32B1065A"/>
    <w:rsid w:val="32B11C3C"/>
    <w:rsid w:val="32B51EF8"/>
    <w:rsid w:val="32B86A07"/>
    <w:rsid w:val="32BD0DAD"/>
    <w:rsid w:val="32BE0471"/>
    <w:rsid w:val="32C04CBB"/>
    <w:rsid w:val="32C6541E"/>
    <w:rsid w:val="32C65EB4"/>
    <w:rsid w:val="32D309EC"/>
    <w:rsid w:val="32D700C1"/>
    <w:rsid w:val="32DC56D7"/>
    <w:rsid w:val="32DF0D23"/>
    <w:rsid w:val="32E14A9C"/>
    <w:rsid w:val="32E26574"/>
    <w:rsid w:val="32E334E6"/>
    <w:rsid w:val="32EC51EE"/>
    <w:rsid w:val="32F00926"/>
    <w:rsid w:val="32F11300"/>
    <w:rsid w:val="32F64F46"/>
    <w:rsid w:val="32F81DE5"/>
    <w:rsid w:val="32F96543"/>
    <w:rsid w:val="32FA142D"/>
    <w:rsid w:val="32FB3683"/>
    <w:rsid w:val="32FB6546"/>
    <w:rsid w:val="32FD73FC"/>
    <w:rsid w:val="330864CC"/>
    <w:rsid w:val="33087F73"/>
    <w:rsid w:val="331035D3"/>
    <w:rsid w:val="331105EF"/>
    <w:rsid w:val="33112A84"/>
    <w:rsid w:val="33122EA7"/>
    <w:rsid w:val="33150BE9"/>
    <w:rsid w:val="3317670F"/>
    <w:rsid w:val="331838AD"/>
    <w:rsid w:val="331A7FAD"/>
    <w:rsid w:val="331B03A0"/>
    <w:rsid w:val="331C75A8"/>
    <w:rsid w:val="331F2C8E"/>
    <w:rsid w:val="331F30E1"/>
    <w:rsid w:val="33226E62"/>
    <w:rsid w:val="33264BA4"/>
    <w:rsid w:val="33285907"/>
    <w:rsid w:val="333015F2"/>
    <w:rsid w:val="3330332D"/>
    <w:rsid w:val="33305A23"/>
    <w:rsid w:val="33323549"/>
    <w:rsid w:val="3341378C"/>
    <w:rsid w:val="334212B2"/>
    <w:rsid w:val="33421B7C"/>
    <w:rsid w:val="33475064"/>
    <w:rsid w:val="33482D6D"/>
    <w:rsid w:val="33493E78"/>
    <w:rsid w:val="334B0167"/>
    <w:rsid w:val="334B1D44"/>
    <w:rsid w:val="334B6320"/>
    <w:rsid w:val="334D6CBE"/>
    <w:rsid w:val="3353014C"/>
    <w:rsid w:val="335334BF"/>
    <w:rsid w:val="33572FB0"/>
    <w:rsid w:val="33574D5E"/>
    <w:rsid w:val="335C02D0"/>
    <w:rsid w:val="33641229"/>
    <w:rsid w:val="3364257A"/>
    <w:rsid w:val="33654D6A"/>
    <w:rsid w:val="33664FA1"/>
    <w:rsid w:val="33691B5B"/>
    <w:rsid w:val="336F02F9"/>
    <w:rsid w:val="337A1509"/>
    <w:rsid w:val="337D1DE2"/>
    <w:rsid w:val="3381002D"/>
    <w:rsid w:val="33817B26"/>
    <w:rsid w:val="338373A5"/>
    <w:rsid w:val="33837901"/>
    <w:rsid w:val="33893878"/>
    <w:rsid w:val="33896EE1"/>
    <w:rsid w:val="338D3BB2"/>
    <w:rsid w:val="33931C9E"/>
    <w:rsid w:val="33945FB2"/>
    <w:rsid w:val="33973471"/>
    <w:rsid w:val="33995376"/>
    <w:rsid w:val="339B7340"/>
    <w:rsid w:val="339C09C3"/>
    <w:rsid w:val="33A1247D"/>
    <w:rsid w:val="33A53571"/>
    <w:rsid w:val="33A76F60"/>
    <w:rsid w:val="33AD1F2B"/>
    <w:rsid w:val="33AD497E"/>
    <w:rsid w:val="33AE06F6"/>
    <w:rsid w:val="33B024CC"/>
    <w:rsid w:val="33B11B90"/>
    <w:rsid w:val="33B930AD"/>
    <w:rsid w:val="33B977C6"/>
    <w:rsid w:val="33BB508D"/>
    <w:rsid w:val="33C42E83"/>
    <w:rsid w:val="33CA5530"/>
    <w:rsid w:val="33D12D62"/>
    <w:rsid w:val="33D20888"/>
    <w:rsid w:val="33D60378"/>
    <w:rsid w:val="33D934D4"/>
    <w:rsid w:val="33E34843"/>
    <w:rsid w:val="33E5680D"/>
    <w:rsid w:val="33E660E2"/>
    <w:rsid w:val="33E800AC"/>
    <w:rsid w:val="33EC443C"/>
    <w:rsid w:val="33EC7934"/>
    <w:rsid w:val="33ED7092"/>
    <w:rsid w:val="33EF31E8"/>
    <w:rsid w:val="33EF4F96"/>
    <w:rsid w:val="33F269CB"/>
    <w:rsid w:val="33F82A31"/>
    <w:rsid w:val="33FB393B"/>
    <w:rsid w:val="33FC61E7"/>
    <w:rsid w:val="33FE2F6A"/>
    <w:rsid w:val="33FF54F7"/>
    <w:rsid w:val="34011730"/>
    <w:rsid w:val="34012305"/>
    <w:rsid w:val="340547BA"/>
    <w:rsid w:val="34076784"/>
    <w:rsid w:val="340771EC"/>
    <w:rsid w:val="340B0AC3"/>
    <w:rsid w:val="340C4B7E"/>
    <w:rsid w:val="340E07E5"/>
    <w:rsid w:val="341741FA"/>
    <w:rsid w:val="341C4A20"/>
    <w:rsid w:val="341D2ED3"/>
    <w:rsid w:val="341D3232"/>
    <w:rsid w:val="341E3ACD"/>
    <w:rsid w:val="341E7629"/>
    <w:rsid w:val="341F7DA1"/>
    <w:rsid w:val="342328FC"/>
    <w:rsid w:val="34235BF7"/>
    <w:rsid w:val="34237336"/>
    <w:rsid w:val="342509B8"/>
    <w:rsid w:val="34256C0A"/>
    <w:rsid w:val="342D7A0D"/>
    <w:rsid w:val="343121BD"/>
    <w:rsid w:val="34381F52"/>
    <w:rsid w:val="34390DE3"/>
    <w:rsid w:val="343926B5"/>
    <w:rsid w:val="34403A44"/>
    <w:rsid w:val="344077DC"/>
    <w:rsid w:val="3442156A"/>
    <w:rsid w:val="34473024"/>
    <w:rsid w:val="344C0532"/>
    <w:rsid w:val="344C4197"/>
    <w:rsid w:val="34504415"/>
    <w:rsid w:val="345541C6"/>
    <w:rsid w:val="345632C2"/>
    <w:rsid w:val="345B6AD0"/>
    <w:rsid w:val="345D2848"/>
    <w:rsid w:val="34605428"/>
    <w:rsid w:val="346375C0"/>
    <w:rsid w:val="3464172B"/>
    <w:rsid w:val="346445CD"/>
    <w:rsid w:val="34652BAA"/>
    <w:rsid w:val="346911EC"/>
    <w:rsid w:val="34693484"/>
    <w:rsid w:val="346C2A8B"/>
    <w:rsid w:val="346E05B1"/>
    <w:rsid w:val="34732F0D"/>
    <w:rsid w:val="347352B7"/>
    <w:rsid w:val="34735BC7"/>
    <w:rsid w:val="34743213"/>
    <w:rsid w:val="34766E96"/>
    <w:rsid w:val="34777F6D"/>
    <w:rsid w:val="347A51A8"/>
    <w:rsid w:val="347B7BE4"/>
    <w:rsid w:val="347E631A"/>
    <w:rsid w:val="348118FC"/>
    <w:rsid w:val="348222AE"/>
    <w:rsid w:val="348D2FF1"/>
    <w:rsid w:val="348F0527"/>
    <w:rsid w:val="3491636D"/>
    <w:rsid w:val="3494655F"/>
    <w:rsid w:val="34973705"/>
    <w:rsid w:val="34A17CC8"/>
    <w:rsid w:val="34A728B5"/>
    <w:rsid w:val="34AB56C0"/>
    <w:rsid w:val="34AC10D9"/>
    <w:rsid w:val="34AC732B"/>
    <w:rsid w:val="34AF2977"/>
    <w:rsid w:val="34B317F0"/>
    <w:rsid w:val="34B453B0"/>
    <w:rsid w:val="34BC20B7"/>
    <w:rsid w:val="34BD2629"/>
    <w:rsid w:val="34BD5094"/>
    <w:rsid w:val="34BF0415"/>
    <w:rsid w:val="34BF705E"/>
    <w:rsid w:val="34C01FA6"/>
    <w:rsid w:val="34C226AB"/>
    <w:rsid w:val="34C32238"/>
    <w:rsid w:val="34C72FF1"/>
    <w:rsid w:val="34C76E9E"/>
    <w:rsid w:val="34CC177B"/>
    <w:rsid w:val="34CE2DFE"/>
    <w:rsid w:val="34D17DCC"/>
    <w:rsid w:val="34D36666"/>
    <w:rsid w:val="34DD5737"/>
    <w:rsid w:val="34DF2FE2"/>
    <w:rsid w:val="34E940DB"/>
    <w:rsid w:val="34F07218"/>
    <w:rsid w:val="34F8663F"/>
    <w:rsid w:val="34FC6F25"/>
    <w:rsid w:val="34FD7B87"/>
    <w:rsid w:val="35020CF9"/>
    <w:rsid w:val="35040F15"/>
    <w:rsid w:val="35050C1D"/>
    <w:rsid w:val="35064C8D"/>
    <w:rsid w:val="35074561"/>
    <w:rsid w:val="350B154F"/>
    <w:rsid w:val="351006CF"/>
    <w:rsid w:val="351522E2"/>
    <w:rsid w:val="35156D57"/>
    <w:rsid w:val="3518051D"/>
    <w:rsid w:val="351B20BF"/>
    <w:rsid w:val="351F3657"/>
    <w:rsid w:val="35211519"/>
    <w:rsid w:val="3522139B"/>
    <w:rsid w:val="3522586C"/>
    <w:rsid w:val="352549E8"/>
    <w:rsid w:val="35284C04"/>
    <w:rsid w:val="352E0830"/>
    <w:rsid w:val="35354249"/>
    <w:rsid w:val="3537258B"/>
    <w:rsid w:val="353A66E5"/>
    <w:rsid w:val="353C420B"/>
    <w:rsid w:val="353D2B32"/>
    <w:rsid w:val="353E2233"/>
    <w:rsid w:val="3546508A"/>
    <w:rsid w:val="35472BB0"/>
    <w:rsid w:val="35494369"/>
    <w:rsid w:val="3550415A"/>
    <w:rsid w:val="35572FD6"/>
    <w:rsid w:val="35594AFA"/>
    <w:rsid w:val="355C665B"/>
    <w:rsid w:val="35632F82"/>
    <w:rsid w:val="356419B4"/>
    <w:rsid w:val="3566572C"/>
    <w:rsid w:val="3568449D"/>
    <w:rsid w:val="356B2D42"/>
    <w:rsid w:val="357065AB"/>
    <w:rsid w:val="35725E7F"/>
    <w:rsid w:val="35775243"/>
    <w:rsid w:val="35777939"/>
    <w:rsid w:val="35785B02"/>
    <w:rsid w:val="357B054F"/>
    <w:rsid w:val="357C0AAC"/>
    <w:rsid w:val="357D4824"/>
    <w:rsid w:val="358156C4"/>
    <w:rsid w:val="358362DE"/>
    <w:rsid w:val="35837D96"/>
    <w:rsid w:val="35885AF5"/>
    <w:rsid w:val="358C13A5"/>
    <w:rsid w:val="358C5FA8"/>
    <w:rsid w:val="358E5CB8"/>
    <w:rsid w:val="35944B65"/>
    <w:rsid w:val="359607F3"/>
    <w:rsid w:val="3598548C"/>
    <w:rsid w:val="359B0108"/>
    <w:rsid w:val="359B5D8D"/>
    <w:rsid w:val="359F479A"/>
    <w:rsid w:val="35A149B6"/>
    <w:rsid w:val="35A3428A"/>
    <w:rsid w:val="35A63D7A"/>
    <w:rsid w:val="35A95619"/>
    <w:rsid w:val="35AA5754"/>
    <w:rsid w:val="35AB313F"/>
    <w:rsid w:val="35AD7633"/>
    <w:rsid w:val="35AE5BBB"/>
    <w:rsid w:val="35AF7676"/>
    <w:rsid w:val="35B04BF9"/>
    <w:rsid w:val="35B41300"/>
    <w:rsid w:val="35BA7826"/>
    <w:rsid w:val="35BB3F9F"/>
    <w:rsid w:val="35C0532D"/>
    <w:rsid w:val="35C15DF1"/>
    <w:rsid w:val="35C20979"/>
    <w:rsid w:val="35C40D6C"/>
    <w:rsid w:val="35C64FF0"/>
    <w:rsid w:val="35C80195"/>
    <w:rsid w:val="35C91817"/>
    <w:rsid w:val="35C96809"/>
    <w:rsid w:val="35CA16AF"/>
    <w:rsid w:val="35D05A62"/>
    <w:rsid w:val="35D404C0"/>
    <w:rsid w:val="35D41A8D"/>
    <w:rsid w:val="35D42696"/>
    <w:rsid w:val="35D8700E"/>
    <w:rsid w:val="35D95EFE"/>
    <w:rsid w:val="35DA1C76"/>
    <w:rsid w:val="35DA3A24"/>
    <w:rsid w:val="35DF3FE2"/>
    <w:rsid w:val="35E26A4F"/>
    <w:rsid w:val="35F40F8A"/>
    <w:rsid w:val="35F43E19"/>
    <w:rsid w:val="35F81149"/>
    <w:rsid w:val="35F83633"/>
    <w:rsid w:val="35FD204D"/>
    <w:rsid w:val="36046F47"/>
    <w:rsid w:val="36074A7F"/>
    <w:rsid w:val="36087BFF"/>
    <w:rsid w:val="360B43BF"/>
    <w:rsid w:val="360D1393"/>
    <w:rsid w:val="360F7DE6"/>
    <w:rsid w:val="361138EA"/>
    <w:rsid w:val="36127662"/>
    <w:rsid w:val="361311BE"/>
    <w:rsid w:val="36174C78"/>
    <w:rsid w:val="36191495"/>
    <w:rsid w:val="361A2668"/>
    <w:rsid w:val="361B1DC7"/>
    <w:rsid w:val="361E6007"/>
    <w:rsid w:val="362058DB"/>
    <w:rsid w:val="36232900"/>
    <w:rsid w:val="36237179"/>
    <w:rsid w:val="36257395"/>
    <w:rsid w:val="36280C33"/>
    <w:rsid w:val="362D624A"/>
    <w:rsid w:val="36315D3A"/>
    <w:rsid w:val="36363350"/>
    <w:rsid w:val="3637518B"/>
    <w:rsid w:val="36391D81"/>
    <w:rsid w:val="36392E40"/>
    <w:rsid w:val="36415851"/>
    <w:rsid w:val="364315C9"/>
    <w:rsid w:val="36445017"/>
    <w:rsid w:val="3647730B"/>
    <w:rsid w:val="36486BE0"/>
    <w:rsid w:val="364A01F9"/>
    <w:rsid w:val="364F7F6E"/>
    <w:rsid w:val="36571359"/>
    <w:rsid w:val="365B2DB7"/>
    <w:rsid w:val="365C5588"/>
    <w:rsid w:val="365D6B2F"/>
    <w:rsid w:val="36617CA1"/>
    <w:rsid w:val="3663220B"/>
    <w:rsid w:val="36684DE4"/>
    <w:rsid w:val="366854D4"/>
    <w:rsid w:val="36735088"/>
    <w:rsid w:val="367558C9"/>
    <w:rsid w:val="3676374D"/>
    <w:rsid w:val="36773044"/>
    <w:rsid w:val="367A3449"/>
    <w:rsid w:val="367B5207"/>
    <w:rsid w:val="367F5027"/>
    <w:rsid w:val="36807657"/>
    <w:rsid w:val="36821864"/>
    <w:rsid w:val="368526D6"/>
    <w:rsid w:val="36857F6B"/>
    <w:rsid w:val="36891E90"/>
    <w:rsid w:val="368C11C2"/>
    <w:rsid w:val="368D27DA"/>
    <w:rsid w:val="368F4369"/>
    <w:rsid w:val="36914DDB"/>
    <w:rsid w:val="36923549"/>
    <w:rsid w:val="36932551"/>
    <w:rsid w:val="3694098D"/>
    <w:rsid w:val="3698396B"/>
    <w:rsid w:val="36987B67"/>
    <w:rsid w:val="369B31B3"/>
    <w:rsid w:val="369E06DD"/>
    <w:rsid w:val="369E0EF6"/>
    <w:rsid w:val="369E2454"/>
    <w:rsid w:val="369E4A52"/>
    <w:rsid w:val="36A31726"/>
    <w:rsid w:val="36A32816"/>
    <w:rsid w:val="36A42896"/>
    <w:rsid w:val="36A71B58"/>
    <w:rsid w:val="36A77DAA"/>
    <w:rsid w:val="36AA33F6"/>
    <w:rsid w:val="36AC7A6D"/>
    <w:rsid w:val="36AD2EE7"/>
    <w:rsid w:val="36AD5F41"/>
    <w:rsid w:val="36B060E9"/>
    <w:rsid w:val="36B204FD"/>
    <w:rsid w:val="36B6623F"/>
    <w:rsid w:val="36B75FBF"/>
    <w:rsid w:val="36BA02A4"/>
    <w:rsid w:val="36BC0835"/>
    <w:rsid w:val="36BC737C"/>
    <w:rsid w:val="36BD0C45"/>
    <w:rsid w:val="36BD61A5"/>
    <w:rsid w:val="36BE50F4"/>
    <w:rsid w:val="36BE6EAC"/>
    <w:rsid w:val="36BF0D56"/>
    <w:rsid w:val="36C00E6C"/>
    <w:rsid w:val="36CE5337"/>
    <w:rsid w:val="36D026DB"/>
    <w:rsid w:val="36D05553"/>
    <w:rsid w:val="36D6068F"/>
    <w:rsid w:val="36DA0B1D"/>
    <w:rsid w:val="36DB3EF8"/>
    <w:rsid w:val="36DC4253"/>
    <w:rsid w:val="36DD2BF9"/>
    <w:rsid w:val="36DD37CC"/>
    <w:rsid w:val="36E508D2"/>
    <w:rsid w:val="36EB22DB"/>
    <w:rsid w:val="36EC53F1"/>
    <w:rsid w:val="36EE59D9"/>
    <w:rsid w:val="36F63451"/>
    <w:rsid w:val="36FC3F1D"/>
    <w:rsid w:val="36FC5D31"/>
    <w:rsid w:val="370229DF"/>
    <w:rsid w:val="370621EB"/>
    <w:rsid w:val="370C4F51"/>
    <w:rsid w:val="370F76FD"/>
    <w:rsid w:val="37123819"/>
    <w:rsid w:val="3715513B"/>
    <w:rsid w:val="37181BAF"/>
    <w:rsid w:val="37182A56"/>
    <w:rsid w:val="37193175"/>
    <w:rsid w:val="371A618B"/>
    <w:rsid w:val="37215DAE"/>
    <w:rsid w:val="372376B1"/>
    <w:rsid w:val="3727713D"/>
    <w:rsid w:val="372817A1"/>
    <w:rsid w:val="3733163E"/>
    <w:rsid w:val="373D3C15"/>
    <w:rsid w:val="37437A92"/>
    <w:rsid w:val="3744342B"/>
    <w:rsid w:val="37476A3A"/>
    <w:rsid w:val="374D6BA3"/>
    <w:rsid w:val="374E46CA"/>
    <w:rsid w:val="375515B4"/>
    <w:rsid w:val="3755284C"/>
    <w:rsid w:val="3755562B"/>
    <w:rsid w:val="375A0811"/>
    <w:rsid w:val="375B1407"/>
    <w:rsid w:val="375D66BB"/>
    <w:rsid w:val="3765200F"/>
    <w:rsid w:val="3769199A"/>
    <w:rsid w:val="37692A49"/>
    <w:rsid w:val="37697BF4"/>
    <w:rsid w:val="37702892"/>
    <w:rsid w:val="37752793"/>
    <w:rsid w:val="37765B1B"/>
    <w:rsid w:val="377A101B"/>
    <w:rsid w:val="377F0D27"/>
    <w:rsid w:val="37825684"/>
    <w:rsid w:val="37840664"/>
    <w:rsid w:val="37875BB4"/>
    <w:rsid w:val="378917F8"/>
    <w:rsid w:val="378E4AC6"/>
    <w:rsid w:val="3791691B"/>
    <w:rsid w:val="3793032E"/>
    <w:rsid w:val="37983B97"/>
    <w:rsid w:val="379B44FD"/>
    <w:rsid w:val="379E11AD"/>
    <w:rsid w:val="379E73FF"/>
    <w:rsid w:val="37A147F9"/>
    <w:rsid w:val="37A95DA4"/>
    <w:rsid w:val="37AD13F0"/>
    <w:rsid w:val="37AD4EFB"/>
    <w:rsid w:val="37AE6F16"/>
    <w:rsid w:val="37B06978"/>
    <w:rsid w:val="37B81B43"/>
    <w:rsid w:val="37BD15EC"/>
    <w:rsid w:val="37BF1123"/>
    <w:rsid w:val="37C3779D"/>
    <w:rsid w:val="37C52BDE"/>
    <w:rsid w:val="37C60704"/>
    <w:rsid w:val="37C67B72"/>
    <w:rsid w:val="37CE281A"/>
    <w:rsid w:val="37CE692C"/>
    <w:rsid w:val="37D01583"/>
    <w:rsid w:val="37D050DF"/>
    <w:rsid w:val="37D546DA"/>
    <w:rsid w:val="37D54F1B"/>
    <w:rsid w:val="37DC3A83"/>
    <w:rsid w:val="37E00298"/>
    <w:rsid w:val="37E1553E"/>
    <w:rsid w:val="37E172EC"/>
    <w:rsid w:val="37E334DC"/>
    <w:rsid w:val="37E42938"/>
    <w:rsid w:val="37E56149"/>
    <w:rsid w:val="37E61AE1"/>
    <w:rsid w:val="37E80BA5"/>
    <w:rsid w:val="37EB2790"/>
    <w:rsid w:val="37ED5C91"/>
    <w:rsid w:val="37ED7A3F"/>
    <w:rsid w:val="37EE1E82"/>
    <w:rsid w:val="37EF573E"/>
    <w:rsid w:val="37F82BA8"/>
    <w:rsid w:val="37F87539"/>
    <w:rsid w:val="37FA215C"/>
    <w:rsid w:val="37FA3FBC"/>
    <w:rsid w:val="37FB0B2E"/>
    <w:rsid w:val="38042FDA"/>
    <w:rsid w:val="38076059"/>
    <w:rsid w:val="380964E8"/>
    <w:rsid w:val="381577F7"/>
    <w:rsid w:val="381921BA"/>
    <w:rsid w:val="38206066"/>
    <w:rsid w:val="38213A24"/>
    <w:rsid w:val="3822213C"/>
    <w:rsid w:val="38235C42"/>
    <w:rsid w:val="3828316D"/>
    <w:rsid w:val="382D142B"/>
    <w:rsid w:val="382E3A24"/>
    <w:rsid w:val="382F0057"/>
    <w:rsid w:val="382F62A9"/>
    <w:rsid w:val="383314B7"/>
    <w:rsid w:val="384155FA"/>
    <w:rsid w:val="38417B15"/>
    <w:rsid w:val="38433B03"/>
    <w:rsid w:val="3844298F"/>
    <w:rsid w:val="384855BD"/>
    <w:rsid w:val="384A30E3"/>
    <w:rsid w:val="38526CB0"/>
    <w:rsid w:val="3857135C"/>
    <w:rsid w:val="385C4BC4"/>
    <w:rsid w:val="385D37E7"/>
    <w:rsid w:val="385F71F4"/>
    <w:rsid w:val="386121DB"/>
    <w:rsid w:val="38620668"/>
    <w:rsid w:val="38654456"/>
    <w:rsid w:val="386A72E1"/>
    <w:rsid w:val="386B727B"/>
    <w:rsid w:val="38722F36"/>
    <w:rsid w:val="38745AD8"/>
    <w:rsid w:val="38772A62"/>
    <w:rsid w:val="387B1A7E"/>
    <w:rsid w:val="387B504A"/>
    <w:rsid w:val="387D042B"/>
    <w:rsid w:val="387D5D44"/>
    <w:rsid w:val="387F0D2C"/>
    <w:rsid w:val="388008B3"/>
    <w:rsid w:val="38877E93"/>
    <w:rsid w:val="3890274F"/>
    <w:rsid w:val="38934A8A"/>
    <w:rsid w:val="38983414"/>
    <w:rsid w:val="38997BC6"/>
    <w:rsid w:val="389A29C0"/>
    <w:rsid w:val="389C4947"/>
    <w:rsid w:val="389E342F"/>
    <w:rsid w:val="389E536A"/>
    <w:rsid w:val="389F5E73"/>
    <w:rsid w:val="38A04AB1"/>
    <w:rsid w:val="38A071A7"/>
    <w:rsid w:val="38A30F62"/>
    <w:rsid w:val="38A4483B"/>
    <w:rsid w:val="38A65E3F"/>
    <w:rsid w:val="38A93AAB"/>
    <w:rsid w:val="38AB441A"/>
    <w:rsid w:val="38B1469E"/>
    <w:rsid w:val="38B302F9"/>
    <w:rsid w:val="38B467AE"/>
    <w:rsid w:val="38BB18EB"/>
    <w:rsid w:val="38BD38B5"/>
    <w:rsid w:val="38BE5E78"/>
    <w:rsid w:val="38BE762D"/>
    <w:rsid w:val="38BF4014"/>
    <w:rsid w:val="38C22C79"/>
    <w:rsid w:val="38CC1D4A"/>
    <w:rsid w:val="38D020AF"/>
    <w:rsid w:val="38D030A4"/>
    <w:rsid w:val="38D60872"/>
    <w:rsid w:val="38D66725"/>
    <w:rsid w:val="38D96215"/>
    <w:rsid w:val="38DB2980"/>
    <w:rsid w:val="38DD5D05"/>
    <w:rsid w:val="38DE55D9"/>
    <w:rsid w:val="38E06D45"/>
    <w:rsid w:val="38E27F47"/>
    <w:rsid w:val="38E33A25"/>
    <w:rsid w:val="38EC419A"/>
    <w:rsid w:val="38F12CD3"/>
    <w:rsid w:val="38F1355F"/>
    <w:rsid w:val="38F35529"/>
    <w:rsid w:val="38F644BC"/>
    <w:rsid w:val="38F82B3F"/>
    <w:rsid w:val="38F94775"/>
    <w:rsid w:val="38FC72EB"/>
    <w:rsid w:val="3902751A"/>
    <w:rsid w:val="39070FD4"/>
    <w:rsid w:val="390A63CE"/>
    <w:rsid w:val="390E2362"/>
    <w:rsid w:val="390F49E4"/>
    <w:rsid w:val="39101785"/>
    <w:rsid w:val="39162FC5"/>
    <w:rsid w:val="39184F8F"/>
    <w:rsid w:val="391A77BD"/>
    <w:rsid w:val="391E6E55"/>
    <w:rsid w:val="39227BBC"/>
    <w:rsid w:val="392732D9"/>
    <w:rsid w:val="3927491C"/>
    <w:rsid w:val="39276F80"/>
    <w:rsid w:val="3929719C"/>
    <w:rsid w:val="392971ED"/>
    <w:rsid w:val="392A47D3"/>
    <w:rsid w:val="392E47B3"/>
    <w:rsid w:val="393031C4"/>
    <w:rsid w:val="39325651"/>
    <w:rsid w:val="393450E2"/>
    <w:rsid w:val="393A3157"/>
    <w:rsid w:val="393E1819"/>
    <w:rsid w:val="39400042"/>
    <w:rsid w:val="39430307"/>
    <w:rsid w:val="39445D84"/>
    <w:rsid w:val="394C729B"/>
    <w:rsid w:val="394E09B1"/>
    <w:rsid w:val="394E63E6"/>
    <w:rsid w:val="39504729"/>
    <w:rsid w:val="39540E7F"/>
    <w:rsid w:val="39557F91"/>
    <w:rsid w:val="39561614"/>
    <w:rsid w:val="3957639F"/>
    <w:rsid w:val="395D2841"/>
    <w:rsid w:val="396A50BF"/>
    <w:rsid w:val="396B5912"/>
    <w:rsid w:val="39722811"/>
    <w:rsid w:val="397523E2"/>
    <w:rsid w:val="39761CB6"/>
    <w:rsid w:val="397D1296"/>
    <w:rsid w:val="397D312F"/>
    <w:rsid w:val="3983235A"/>
    <w:rsid w:val="39846181"/>
    <w:rsid w:val="39893797"/>
    <w:rsid w:val="39900FC9"/>
    <w:rsid w:val="39913610"/>
    <w:rsid w:val="39941F91"/>
    <w:rsid w:val="3995038E"/>
    <w:rsid w:val="399654A2"/>
    <w:rsid w:val="399E7A18"/>
    <w:rsid w:val="39A03EED"/>
    <w:rsid w:val="39A14A8C"/>
    <w:rsid w:val="39A607ED"/>
    <w:rsid w:val="39A91C31"/>
    <w:rsid w:val="39A93E39"/>
    <w:rsid w:val="39A95D8A"/>
    <w:rsid w:val="39B527DE"/>
    <w:rsid w:val="39B96CFD"/>
    <w:rsid w:val="39BA6046"/>
    <w:rsid w:val="39BC0814"/>
    <w:rsid w:val="39BF540B"/>
    <w:rsid w:val="39C173D5"/>
    <w:rsid w:val="39C576F9"/>
    <w:rsid w:val="39C96289"/>
    <w:rsid w:val="39CA501E"/>
    <w:rsid w:val="39DE6FB4"/>
    <w:rsid w:val="39DF785B"/>
    <w:rsid w:val="39E03482"/>
    <w:rsid w:val="39E15381"/>
    <w:rsid w:val="39EC4898"/>
    <w:rsid w:val="39F54EC8"/>
    <w:rsid w:val="39F811FC"/>
    <w:rsid w:val="3A013C75"/>
    <w:rsid w:val="3A0644D6"/>
    <w:rsid w:val="3A085004"/>
    <w:rsid w:val="3A086DB2"/>
    <w:rsid w:val="3A0A0D7C"/>
    <w:rsid w:val="3A0A134B"/>
    <w:rsid w:val="3A0A231E"/>
    <w:rsid w:val="3A0D4436"/>
    <w:rsid w:val="3A0E1EEE"/>
    <w:rsid w:val="3A103EB8"/>
    <w:rsid w:val="3A147D9A"/>
    <w:rsid w:val="3A1C1022"/>
    <w:rsid w:val="3A1C2B2E"/>
    <w:rsid w:val="3A217E73"/>
    <w:rsid w:val="3A231E3E"/>
    <w:rsid w:val="3A25196D"/>
    <w:rsid w:val="3A2F1D0A"/>
    <w:rsid w:val="3A381A11"/>
    <w:rsid w:val="3A385857"/>
    <w:rsid w:val="3A3A0F35"/>
    <w:rsid w:val="3A3C2EFF"/>
    <w:rsid w:val="3A3C7886"/>
    <w:rsid w:val="3A3F696B"/>
    <w:rsid w:val="3A451DB4"/>
    <w:rsid w:val="3A4678DA"/>
    <w:rsid w:val="3A4A561C"/>
    <w:rsid w:val="3A4F49E1"/>
    <w:rsid w:val="3A4F678F"/>
    <w:rsid w:val="3A52627F"/>
    <w:rsid w:val="3A5C691B"/>
    <w:rsid w:val="3A5D72F5"/>
    <w:rsid w:val="3A5F5A4D"/>
    <w:rsid w:val="3A60099C"/>
    <w:rsid w:val="3A6015E8"/>
    <w:rsid w:val="3A6158D6"/>
    <w:rsid w:val="3A623553"/>
    <w:rsid w:val="3A647D60"/>
    <w:rsid w:val="3A685AA2"/>
    <w:rsid w:val="3A692AF3"/>
    <w:rsid w:val="3A7206CF"/>
    <w:rsid w:val="3A79380C"/>
    <w:rsid w:val="3A7D7749"/>
    <w:rsid w:val="3A7E0E22"/>
    <w:rsid w:val="3A7E7074"/>
    <w:rsid w:val="3A810BB5"/>
    <w:rsid w:val="3A824DB6"/>
    <w:rsid w:val="3A836438"/>
    <w:rsid w:val="3A83656D"/>
    <w:rsid w:val="3A8542C3"/>
    <w:rsid w:val="3A872856"/>
    <w:rsid w:val="3A881CA1"/>
    <w:rsid w:val="3A944AE9"/>
    <w:rsid w:val="3A9656E4"/>
    <w:rsid w:val="3A992100"/>
    <w:rsid w:val="3A9C2D31"/>
    <w:rsid w:val="3A9C574C"/>
    <w:rsid w:val="3A9C5C09"/>
    <w:rsid w:val="3AA0523C"/>
    <w:rsid w:val="3AA54601"/>
    <w:rsid w:val="3AB111F7"/>
    <w:rsid w:val="3AB42A96"/>
    <w:rsid w:val="3AB56515"/>
    <w:rsid w:val="3AB658AA"/>
    <w:rsid w:val="3AB72576"/>
    <w:rsid w:val="3AB900AC"/>
    <w:rsid w:val="3ABC194A"/>
    <w:rsid w:val="3ABC7B9C"/>
    <w:rsid w:val="3ABE6CDA"/>
    <w:rsid w:val="3AC0768C"/>
    <w:rsid w:val="3AC133C7"/>
    <w:rsid w:val="3AC151B3"/>
    <w:rsid w:val="3AC23405"/>
    <w:rsid w:val="3AC54CA3"/>
    <w:rsid w:val="3ACC390E"/>
    <w:rsid w:val="3AD04447"/>
    <w:rsid w:val="3AD743AA"/>
    <w:rsid w:val="3ADD023E"/>
    <w:rsid w:val="3AE07CCD"/>
    <w:rsid w:val="3AE16E59"/>
    <w:rsid w:val="3AE50EA1"/>
    <w:rsid w:val="3AE710BD"/>
    <w:rsid w:val="3AE96BE3"/>
    <w:rsid w:val="3AEC222F"/>
    <w:rsid w:val="3AEC4FDE"/>
    <w:rsid w:val="3AEE41FA"/>
    <w:rsid w:val="3AF86E26"/>
    <w:rsid w:val="3AFC4F2B"/>
    <w:rsid w:val="3AFF6407"/>
    <w:rsid w:val="3B017830"/>
    <w:rsid w:val="3B084AF6"/>
    <w:rsid w:val="3B091033"/>
    <w:rsid w:val="3B0E664A"/>
    <w:rsid w:val="3B153A67"/>
    <w:rsid w:val="3B176798"/>
    <w:rsid w:val="3B181276"/>
    <w:rsid w:val="3B1B48C3"/>
    <w:rsid w:val="3B1D7C60"/>
    <w:rsid w:val="3B1F0857"/>
    <w:rsid w:val="3B1F5D8D"/>
    <w:rsid w:val="3B223EA3"/>
    <w:rsid w:val="3B29763C"/>
    <w:rsid w:val="3B2B2BF9"/>
    <w:rsid w:val="3B2C4013"/>
    <w:rsid w:val="3B2D45F6"/>
    <w:rsid w:val="3B2E2848"/>
    <w:rsid w:val="3B2F036E"/>
    <w:rsid w:val="3B301E22"/>
    <w:rsid w:val="3B304812"/>
    <w:rsid w:val="3B312338"/>
    <w:rsid w:val="3B374E9C"/>
    <w:rsid w:val="3B3763D1"/>
    <w:rsid w:val="3B385475"/>
    <w:rsid w:val="3B3911ED"/>
    <w:rsid w:val="3B3D0CDD"/>
    <w:rsid w:val="3B42636E"/>
    <w:rsid w:val="3B476F2C"/>
    <w:rsid w:val="3B4C0F20"/>
    <w:rsid w:val="3B514788"/>
    <w:rsid w:val="3B521AA4"/>
    <w:rsid w:val="3B53405D"/>
    <w:rsid w:val="3B5A3DBD"/>
    <w:rsid w:val="3B5B2B56"/>
    <w:rsid w:val="3B5B5607"/>
    <w:rsid w:val="3B5F6EA5"/>
    <w:rsid w:val="3B61494D"/>
    <w:rsid w:val="3B6251B3"/>
    <w:rsid w:val="3B625A97"/>
    <w:rsid w:val="3B634772"/>
    <w:rsid w:val="3B6C3370"/>
    <w:rsid w:val="3B6E7FA8"/>
    <w:rsid w:val="3B716BD9"/>
    <w:rsid w:val="3B7A5A8D"/>
    <w:rsid w:val="3B7C158F"/>
    <w:rsid w:val="3B8763FC"/>
    <w:rsid w:val="3B8832B4"/>
    <w:rsid w:val="3B883899"/>
    <w:rsid w:val="3B892174"/>
    <w:rsid w:val="3B894681"/>
    <w:rsid w:val="3B8C62D6"/>
    <w:rsid w:val="3B905C06"/>
    <w:rsid w:val="3B9528C7"/>
    <w:rsid w:val="3B9A346B"/>
    <w:rsid w:val="3B9C3C56"/>
    <w:rsid w:val="3B9D25DA"/>
    <w:rsid w:val="3B9D352A"/>
    <w:rsid w:val="3B9E68C8"/>
    <w:rsid w:val="3B9F00B0"/>
    <w:rsid w:val="3BA64267"/>
    <w:rsid w:val="3BA725FA"/>
    <w:rsid w:val="3BA76A7D"/>
    <w:rsid w:val="3BAA3110"/>
    <w:rsid w:val="3BAC19BF"/>
    <w:rsid w:val="3BB371F1"/>
    <w:rsid w:val="3BB52F69"/>
    <w:rsid w:val="3BBA71BC"/>
    <w:rsid w:val="3BBE6FCD"/>
    <w:rsid w:val="3BBE70A5"/>
    <w:rsid w:val="3BC57EFE"/>
    <w:rsid w:val="3BC74A4B"/>
    <w:rsid w:val="3BCE7B87"/>
    <w:rsid w:val="3BD67C19"/>
    <w:rsid w:val="3BD92D35"/>
    <w:rsid w:val="3BDC22A4"/>
    <w:rsid w:val="3BDC3B29"/>
    <w:rsid w:val="3BDD426E"/>
    <w:rsid w:val="3BDE0876"/>
    <w:rsid w:val="3BE01289"/>
    <w:rsid w:val="3BE41159"/>
    <w:rsid w:val="3BE41E09"/>
    <w:rsid w:val="3BE7439C"/>
    <w:rsid w:val="3BED123F"/>
    <w:rsid w:val="3BEF3D86"/>
    <w:rsid w:val="3BF346B2"/>
    <w:rsid w:val="3BF4738E"/>
    <w:rsid w:val="3BF530C9"/>
    <w:rsid w:val="3BF910A8"/>
    <w:rsid w:val="3C0311C7"/>
    <w:rsid w:val="3C033FA1"/>
    <w:rsid w:val="3C05149C"/>
    <w:rsid w:val="3C095FCC"/>
    <w:rsid w:val="3C0D4B53"/>
    <w:rsid w:val="3C0E2679"/>
    <w:rsid w:val="3C12216A"/>
    <w:rsid w:val="3C131A08"/>
    <w:rsid w:val="3C144385"/>
    <w:rsid w:val="3C192326"/>
    <w:rsid w:val="3C195C12"/>
    <w:rsid w:val="3C1E1CA5"/>
    <w:rsid w:val="3C1F4887"/>
    <w:rsid w:val="3C2123AD"/>
    <w:rsid w:val="3C22115D"/>
    <w:rsid w:val="3C241E9D"/>
    <w:rsid w:val="3C2B322B"/>
    <w:rsid w:val="3C2F6E1E"/>
    <w:rsid w:val="3C314072"/>
    <w:rsid w:val="3C333E8E"/>
    <w:rsid w:val="3C340332"/>
    <w:rsid w:val="3C3519B4"/>
    <w:rsid w:val="3C362434"/>
    <w:rsid w:val="3C3976F6"/>
    <w:rsid w:val="3C3A6FCB"/>
    <w:rsid w:val="3C3E2F5F"/>
    <w:rsid w:val="3C415D6A"/>
    <w:rsid w:val="3C447867"/>
    <w:rsid w:val="3C485B8B"/>
    <w:rsid w:val="3C4979C4"/>
    <w:rsid w:val="3C4A1903"/>
    <w:rsid w:val="3C4F64BA"/>
    <w:rsid w:val="3C502C92"/>
    <w:rsid w:val="3C551980"/>
    <w:rsid w:val="3C5A4785"/>
    <w:rsid w:val="3C5B3302"/>
    <w:rsid w:val="3C5B3DA4"/>
    <w:rsid w:val="3C5C33E5"/>
    <w:rsid w:val="3C5D26C1"/>
    <w:rsid w:val="3C5E0F0B"/>
    <w:rsid w:val="3C616C4D"/>
    <w:rsid w:val="3C641407"/>
    <w:rsid w:val="3C664263"/>
    <w:rsid w:val="3C67542C"/>
    <w:rsid w:val="3C6978B0"/>
    <w:rsid w:val="3C6B7ACC"/>
    <w:rsid w:val="3C6D55F2"/>
    <w:rsid w:val="3C731D04"/>
    <w:rsid w:val="3C75071A"/>
    <w:rsid w:val="3C75654D"/>
    <w:rsid w:val="3C793F97"/>
    <w:rsid w:val="3C7A0904"/>
    <w:rsid w:val="3C7D02E9"/>
    <w:rsid w:val="3C7D1519"/>
    <w:rsid w:val="3C7F27E9"/>
    <w:rsid w:val="3C7F63E9"/>
    <w:rsid w:val="3C805325"/>
    <w:rsid w:val="3C830972"/>
    <w:rsid w:val="3C84058D"/>
    <w:rsid w:val="3C8A739A"/>
    <w:rsid w:val="3C8B5A78"/>
    <w:rsid w:val="3C8B7826"/>
    <w:rsid w:val="3C8D6A50"/>
    <w:rsid w:val="3C9366F9"/>
    <w:rsid w:val="3C936A65"/>
    <w:rsid w:val="3C94594D"/>
    <w:rsid w:val="3C9630FC"/>
    <w:rsid w:val="3C9963E7"/>
    <w:rsid w:val="3C9D7E9A"/>
    <w:rsid w:val="3CA1704A"/>
    <w:rsid w:val="3CA33038"/>
    <w:rsid w:val="3CA71C71"/>
    <w:rsid w:val="3CA8487C"/>
    <w:rsid w:val="3CA93163"/>
    <w:rsid w:val="3CAC21A2"/>
    <w:rsid w:val="3CAC3C94"/>
    <w:rsid w:val="3CB03348"/>
    <w:rsid w:val="3CB324B6"/>
    <w:rsid w:val="3CB43221"/>
    <w:rsid w:val="3CB45B09"/>
    <w:rsid w:val="3CB5751C"/>
    <w:rsid w:val="3CBA07BD"/>
    <w:rsid w:val="3CBA7A1F"/>
    <w:rsid w:val="3CBB635D"/>
    <w:rsid w:val="3CBD51CD"/>
    <w:rsid w:val="3CBE6046"/>
    <w:rsid w:val="3CC01BC6"/>
    <w:rsid w:val="3CC940B7"/>
    <w:rsid w:val="3CCA034E"/>
    <w:rsid w:val="3CCB40C7"/>
    <w:rsid w:val="3CCC056A"/>
    <w:rsid w:val="3CCE671A"/>
    <w:rsid w:val="3CCF281D"/>
    <w:rsid w:val="3CD13B56"/>
    <w:rsid w:val="3CD15B81"/>
    <w:rsid w:val="3CD45671"/>
    <w:rsid w:val="3CD72A6B"/>
    <w:rsid w:val="3CDA245A"/>
    <w:rsid w:val="3CDB255C"/>
    <w:rsid w:val="3CDC165C"/>
    <w:rsid w:val="3CE35C05"/>
    <w:rsid w:val="3CE8383B"/>
    <w:rsid w:val="3CEA1374"/>
    <w:rsid w:val="3CEA214B"/>
    <w:rsid w:val="3CEA6C43"/>
    <w:rsid w:val="3CEE67C3"/>
    <w:rsid w:val="3CEE6B23"/>
    <w:rsid w:val="3CEF4259"/>
    <w:rsid w:val="3CF342E9"/>
    <w:rsid w:val="3CF7291B"/>
    <w:rsid w:val="3CF90C34"/>
    <w:rsid w:val="3CFB7D83"/>
    <w:rsid w:val="3CFE449C"/>
    <w:rsid w:val="3CFE7D65"/>
    <w:rsid w:val="3CFF62EF"/>
    <w:rsid w:val="3D0532FC"/>
    <w:rsid w:val="3D066263"/>
    <w:rsid w:val="3D127F47"/>
    <w:rsid w:val="3D157871"/>
    <w:rsid w:val="3D1911E7"/>
    <w:rsid w:val="3D197528"/>
    <w:rsid w:val="3D1D2B74"/>
    <w:rsid w:val="3D1E069A"/>
    <w:rsid w:val="3D1E06B7"/>
    <w:rsid w:val="3D21551C"/>
    <w:rsid w:val="3D22462E"/>
    <w:rsid w:val="3D231DE6"/>
    <w:rsid w:val="3D2433FC"/>
    <w:rsid w:val="3D256A71"/>
    <w:rsid w:val="3D344362"/>
    <w:rsid w:val="3D346D9D"/>
    <w:rsid w:val="3D356511"/>
    <w:rsid w:val="3D361E88"/>
    <w:rsid w:val="3D430101"/>
    <w:rsid w:val="3D430983"/>
    <w:rsid w:val="3D433EC3"/>
    <w:rsid w:val="3D4445A5"/>
    <w:rsid w:val="3D453E79"/>
    <w:rsid w:val="3D475E43"/>
    <w:rsid w:val="3D4945C9"/>
    <w:rsid w:val="3D4E71D1"/>
    <w:rsid w:val="3D504CB9"/>
    <w:rsid w:val="3D545124"/>
    <w:rsid w:val="3D6720EA"/>
    <w:rsid w:val="3D6C7658"/>
    <w:rsid w:val="3D712EC0"/>
    <w:rsid w:val="3D725D1C"/>
    <w:rsid w:val="3D7529B0"/>
    <w:rsid w:val="3D791D75"/>
    <w:rsid w:val="3D7E1994"/>
    <w:rsid w:val="3D7E7EDB"/>
    <w:rsid w:val="3D801355"/>
    <w:rsid w:val="3D864BBD"/>
    <w:rsid w:val="3D876E0F"/>
    <w:rsid w:val="3D8A3B45"/>
    <w:rsid w:val="3D8A5D30"/>
    <w:rsid w:val="3D8E6FFD"/>
    <w:rsid w:val="3D915310"/>
    <w:rsid w:val="3D9170BE"/>
    <w:rsid w:val="3D954E00"/>
    <w:rsid w:val="3D966B30"/>
    <w:rsid w:val="3D98000B"/>
    <w:rsid w:val="3D9A41C5"/>
    <w:rsid w:val="3D9F17DB"/>
    <w:rsid w:val="3DA079AE"/>
    <w:rsid w:val="3DA9265A"/>
    <w:rsid w:val="3DA956F1"/>
    <w:rsid w:val="3DAE1A1E"/>
    <w:rsid w:val="3DAF0BA9"/>
    <w:rsid w:val="3DB90469"/>
    <w:rsid w:val="3DB94B4C"/>
    <w:rsid w:val="3DBA4867"/>
    <w:rsid w:val="3DBA6615"/>
    <w:rsid w:val="3DC01751"/>
    <w:rsid w:val="3DC15BF5"/>
    <w:rsid w:val="3DC23A42"/>
    <w:rsid w:val="3DC47494"/>
    <w:rsid w:val="3DC7561F"/>
    <w:rsid w:val="3DCB32E5"/>
    <w:rsid w:val="3DCB6A74"/>
    <w:rsid w:val="3DCC66DC"/>
    <w:rsid w:val="3DCE005E"/>
    <w:rsid w:val="3DCE11FD"/>
    <w:rsid w:val="3DD11BB1"/>
    <w:rsid w:val="3DD34568"/>
    <w:rsid w:val="3DD401ED"/>
    <w:rsid w:val="3DD53983"/>
    <w:rsid w:val="3DD61A08"/>
    <w:rsid w:val="3DD75419"/>
    <w:rsid w:val="3DDB658B"/>
    <w:rsid w:val="3DDC08FA"/>
    <w:rsid w:val="3DDE19D1"/>
    <w:rsid w:val="3DDE30D7"/>
    <w:rsid w:val="3DE73182"/>
    <w:rsid w:val="3DE9258D"/>
    <w:rsid w:val="3DEB0EC7"/>
    <w:rsid w:val="3DEB40F0"/>
    <w:rsid w:val="3DF15DAF"/>
    <w:rsid w:val="3DF541A9"/>
    <w:rsid w:val="3DF633C5"/>
    <w:rsid w:val="3DFC75A4"/>
    <w:rsid w:val="3DFF04CC"/>
    <w:rsid w:val="3DFF7EA5"/>
    <w:rsid w:val="3E045AE2"/>
    <w:rsid w:val="3E0D0E3B"/>
    <w:rsid w:val="3E0E4BB3"/>
    <w:rsid w:val="3E1201FF"/>
    <w:rsid w:val="3E133F77"/>
    <w:rsid w:val="3E1D6BA4"/>
    <w:rsid w:val="3E1E3150"/>
    <w:rsid w:val="3E263BAC"/>
    <w:rsid w:val="3E265A58"/>
    <w:rsid w:val="3E274725"/>
    <w:rsid w:val="3E285C74"/>
    <w:rsid w:val="3E2B30F8"/>
    <w:rsid w:val="3E2B36E8"/>
    <w:rsid w:val="3E3550BB"/>
    <w:rsid w:val="3E3918F8"/>
    <w:rsid w:val="3E4214A4"/>
    <w:rsid w:val="3E4475A8"/>
    <w:rsid w:val="3E474440"/>
    <w:rsid w:val="3E477F08"/>
    <w:rsid w:val="3E4A66BF"/>
    <w:rsid w:val="3E4E3D34"/>
    <w:rsid w:val="3E4F17EE"/>
    <w:rsid w:val="3E520DC7"/>
    <w:rsid w:val="3E542846"/>
    <w:rsid w:val="3E5527E2"/>
    <w:rsid w:val="3E5C7540"/>
    <w:rsid w:val="3E5F7EE0"/>
    <w:rsid w:val="3E667380"/>
    <w:rsid w:val="3E67031B"/>
    <w:rsid w:val="3E6B35D7"/>
    <w:rsid w:val="3E6F513F"/>
    <w:rsid w:val="3E712E32"/>
    <w:rsid w:val="3E720C9E"/>
    <w:rsid w:val="3E725142"/>
    <w:rsid w:val="3E726EF0"/>
    <w:rsid w:val="3E774506"/>
    <w:rsid w:val="3E7A2248"/>
    <w:rsid w:val="3E7C38CA"/>
    <w:rsid w:val="3E815608"/>
    <w:rsid w:val="3E8310FD"/>
    <w:rsid w:val="3E8B1D5F"/>
    <w:rsid w:val="3E8D5AD7"/>
    <w:rsid w:val="3E9230EE"/>
    <w:rsid w:val="3E94028B"/>
    <w:rsid w:val="3E9522AF"/>
    <w:rsid w:val="3E952BDE"/>
    <w:rsid w:val="3E962C89"/>
    <w:rsid w:val="3E9A6446"/>
    <w:rsid w:val="3E9B4698"/>
    <w:rsid w:val="3E9C4981"/>
    <w:rsid w:val="3E9E1A93"/>
    <w:rsid w:val="3E9E2778"/>
    <w:rsid w:val="3EA03A5D"/>
    <w:rsid w:val="3EA203E2"/>
    <w:rsid w:val="3EA329AA"/>
    <w:rsid w:val="3EA352FB"/>
    <w:rsid w:val="3EA82911"/>
    <w:rsid w:val="3EAA7816"/>
    <w:rsid w:val="3EAB41B0"/>
    <w:rsid w:val="3EAD1CD6"/>
    <w:rsid w:val="3EB017C6"/>
    <w:rsid w:val="3EB968CD"/>
    <w:rsid w:val="3EBC60F9"/>
    <w:rsid w:val="3EBC6464"/>
    <w:rsid w:val="3EBE3EE3"/>
    <w:rsid w:val="3EBF7C5B"/>
    <w:rsid w:val="3EC139D3"/>
    <w:rsid w:val="3ED74FA5"/>
    <w:rsid w:val="3EDA0523"/>
    <w:rsid w:val="3EE77E01"/>
    <w:rsid w:val="3EEF6792"/>
    <w:rsid w:val="3EF23B8C"/>
    <w:rsid w:val="3EF67D02"/>
    <w:rsid w:val="3F041198"/>
    <w:rsid w:val="3F057D64"/>
    <w:rsid w:val="3F12422F"/>
    <w:rsid w:val="3F141D55"/>
    <w:rsid w:val="3F1610DA"/>
    <w:rsid w:val="3F16384A"/>
    <w:rsid w:val="3F171845"/>
    <w:rsid w:val="3F281CA4"/>
    <w:rsid w:val="3F2852FB"/>
    <w:rsid w:val="3F2D0EFA"/>
    <w:rsid w:val="3F2D1069"/>
    <w:rsid w:val="3F3210B3"/>
    <w:rsid w:val="3F3441A5"/>
    <w:rsid w:val="3F3772D1"/>
    <w:rsid w:val="3F37738F"/>
    <w:rsid w:val="3F381D87"/>
    <w:rsid w:val="3F395C5F"/>
    <w:rsid w:val="3F3C0908"/>
    <w:rsid w:val="3F406FEE"/>
    <w:rsid w:val="3F497D47"/>
    <w:rsid w:val="3F4D4FFE"/>
    <w:rsid w:val="3F4F7231"/>
    <w:rsid w:val="3F593C0C"/>
    <w:rsid w:val="3F5B39A5"/>
    <w:rsid w:val="3F5E08A1"/>
    <w:rsid w:val="3F6050F1"/>
    <w:rsid w:val="3F634A8A"/>
    <w:rsid w:val="3F67620D"/>
    <w:rsid w:val="3F6A5E19"/>
    <w:rsid w:val="3F6E5909"/>
    <w:rsid w:val="3F7248A4"/>
    <w:rsid w:val="3F760C61"/>
    <w:rsid w:val="3F7722E4"/>
    <w:rsid w:val="3F781393"/>
    <w:rsid w:val="3F7A2500"/>
    <w:rsid w:val="3F7B6278"/>
    <w:rsid w:val="3F7D3D9E"/>
    <w:rsid w:val="3F8073EA"/>
    <w:rsid w:val="3F824E8C"/>
    <w:rsid w:val="3F827606"/>
    <w:rsid w:val="3F890995"/>
    <w:rsid w:val="3F8B3A8F"/>
    <w:rsid w:val="3F914693"/>
    <w:rsid w:val="3F925818"/>
    <w:rsid w:val="3F970648"/>
    <w:rsid w:val="3F9904AC"/>
    <w:rsid w:val="3F9F1088"/>
    <w:rsid w:val="3F9F267B"/>
    <w:rsid w:val="3FA03031"/>
    <w:rsid w:val="3FA1798B"/>
    <w:rsid w:val="3FA80959"/>
    <w:rsid w:val="3FA85502"/>
    <w:rsid w:val="3FB36E63"/>
    <w:rsid w:val="3FB93AD9"/>
    <w:rsid w:val="3FB95C69"/>
    <w:rsid w:val="3FBD3AE8"/>
    <w:rsid w:val="3FBD419A"/>
    <w:rsid w:val="3FBE42E2"/>
    <w:rsid w:val="3FBF43B6"/>
    <w:rsid w:val="3FC27A03"/>
    <w:rsid w:val="3FC55C45"/>
    <w:rsid w:val="3FC714FE"/>
    <w:rsid w:val="3FCC262F"/>
    <w:rsid w:val="3FD27F37"/>
    <w:rsid w:val="3FE51248"/>
    <w:rsid w:val="3FE94F8F"/>
    <w:rsid w:val="3FED6C75"/>
    <w:rsid w:val="3FF05D87"/>
    <w:rsid w:val="3FF24ED4"/>
    <w:rsid w:val="3FF51B86"/>
    <w:rsid w:val="3FF5207C"/>
    <w:rsid w:val="3FF80285"/>
    <w:rsid w:val="3FFB2F15"/>
    <w:rsid w:val="3FFC1167"/>
    <w:rsid w:val="40006D8C"/>
    <w:rsid w:val="40052980"/>
    <w:rsid w:val="40064D15"/>
    <w:rsid w:val="400718BA"/>
    <w:rsid w:val="400C0C7E"/>
    <w:rsid w:val="400C6ED0"/>
    <w:rsid w:val="400D0A89"/>
    <w:rsid w:val="400E0E9A"/>
    <w:rsid w:val="400F2841"/>
    <w:rsid w:val="40104C12"/>
    <w:rsid w:val="401069C0"/>
    <w:rsid w:val="4012098A"/>
    <w:rsid w:val="401609CD"/>
    <w:rsid w:val="401C35B7"/>
    <w:rsid w:val="401D049B"/>
    <w:rsid w:val="401F397C"/>
    <w:rsid w:val="401F6C03"/>
    <w:rsid w:val="402266C5"/>
    <w:rsid w:val="40250618"/>
    <w:rsid w:val="40265590"/>
    <w:rsid w:val="40271D55"/>
    <w:rsid w:val="40273D0A"/>
    <w:rsid w:val="40287A5A"/>
    <w:rsid w:val="402B37FA"/>
    <w:rsid w:val="402D2B6C"/>
    <w:rsid w:val="40414F3F"/>
    <w:rsid w:val="404218B6"/>
    <w:rsid w:val="404239F7"/>
    <w:rsid w:val="40491ED2"/>
    <w:rsid w:val="404C3770"/>
    <w:rsid w:val="404C551E"/>
    <w:rsid w:val="40500359"/>
    <w:rsid w:val="40566F51"/>
    <w:rsid w:val="4057639D"/>
    <w:rsid w:val="405B2692"/>
    <w:rsid w:val="405E44A4"/>
    <w:rsid w:val="40612B3F"/>
    <w:rsid w:val="4062731F"/>
    <w:rsid w:val="40632F94"/>
    <w:rsid w:val="40643F38"/>
    <w:rsid w:val="40697DEF"/>
    <w:rsid w:val="406C47B6"/>
    <w:rsid w:val="406D5BC1"/>
    <w:rsid w:val="406F28D0"/>
    <w:rsid w:val="40702D29"/>
    <w:rsid w:val="40736F4F"/>
    <w:rsid w:val="40754A75"/>
    <w:rsid w:val="40776A3F"/>
    <w:rsid w:val="40791C37"/>
    <w:rsid w:val="407A6407"/>
    <w:rsid w:val="407D392A"/>
    <w:rsid w:val="407D5652"/>
    <w:rsid w:val="407F5D91"/>
    <w:rsid w:val="408178BE"/>
    <w:rsid w:val="40833636"/>
    <w:rsid w:val="40835A4C"/>
    <w:rsid w:val="40844CB8"/>
    <w:rsid w:val="40856445"/>
    <w:rsid w:val="408A437A"/>
    <w:rsid w:val="408B7F2A"/>
    <w:rsid w:val="408D1DBF"/>
    <w:rsid w:val="4093139F"/>
    <w:rsid w:val="40963652"/>
    <w:rsid w:val="40970E8F"/>
    <w:rsid w:val="409E2788"/>
    <w:rsid w:val="409E3FCC"/>
    <w:rsid w:val="409F5F96"/>
    <w:rsid w:val="40A11D0E"/>
    <w:rsid w:val="40A35A86"/>
    <w:rsid w:val="40A60A9D"/>
    <w:rsid w:val="40A8087E"/>
    <w:rsid w:val="40AD2461"/>
    <w:rsid w:val="40AE5488"/>
    <w:rsid w:val="40AF17F8"/>
    <w:rsid w:val="40B03703"/>
    <w:rsid w:val="40B437EF"/>
    <w:rsid w:val="40B51316"/>
    <w:rsid w:val="40B90E06"/>
    <w:rsid w:val="40B97A5A"/>
    <w:rsid w:val="40BE466E"/>
    <w:rsid w:val="40BF79B6"/>
    <w:rsid w:val="40C246A0"/>
    <w:rsid w:val="40C81049"/>
    <w:rsid w:val="40CA0252"/>
    <w:rsid w:val="40CD2B03"/>
    <w:rsid w:val="40D07EFD"/>
    <w:rsid w:val="40D2164B"/>
    <w:rsid w:val="40E337B9"/>
    <w:rsid w:val="40E77831"/>
    <w:rsid w:val="40EA3C11"/>
    <w:rsid w:val="40EC0E51"/>
    <w:rsid w:val="40F2256A"/>
    <w:rsid w:val="40F24A23"/>
    <w:rsid w:val="40F40601"/>
    <w:rsid w:val="40F40A87"/>
    <w:rsid w:val="40F761A9"/>
    <w:rsid w:val="40F94251"/>
    <w:rsid w:val="40FD12F1"/>
    <w:rsid w:val="40FD2931"/>
    <w:rsid w:val="41006A35"/>
    <w:rsid w:val="410339D7"/>
    <w:rsid w:val="41036525"/>
    <w:rsid w:val="41055061"/>
    <w:rsid w:val="410A78B3"/>
    <w:rsid w:val="410B7187"/>
    <w:rsid w:val="410F55F1"/>
    <w:rsid w:val="4114428E"/>
    <w:rsid w:val="41151DB4"/>
    <w:rsid w:val="4117348F"/>
    <w:rsid w:val="4117482E"/>
    <w:rsid w:val="41175B2C"/>
    <w:rsid w:val="411B6A04"/>
    <w:rsid w:val="411E3201"/>
    <w:rsid w:val="41215476"/>
    <w:rsid w:val="41216F01"/>
    <w:rsid w:val="41240200"/>
    <w:rsid w:val="41241745"/>
    <w:rsid w:val="41246A98"/>
    <w:rsid w:val="4125649B"/>
    <w:rsid w:val="41274096"/>
    <w:rsid w:val="41314E40"/>
    <w:rsid w:val="41322966"/>
    <w:rsid w:val="41326E0A"/>
    <w:rsid w:val="4135001C"/>
    <w:rsid w:val="41356428"/>
    <w:rsid w:val="41367C1A"/>
    <w:rsid w:val="413D05C0"/>
    <w:rsid w:val="413D0DA3"/>
    <w:rsid w:val="413D25A0"/>
    <w:rsid w:val="413F78DB"/>
    <w:rsid w:val="41405083"/>
    <w:rsid w:val="414404A7"/>
    <w:rsid w:val="41463605"/>
    <w:rsid w:val="414746FF"/>
    <w:rsid w:val="414B60ED"/>
    <w:rsid w:val="414F52C6"/>
    <w:rsid w:val="415648A7"/>
    <w:rsid w:val="41576B17"/>
    <w:rsid w:val="415B5669"/>
    <w:rsid w:val="415B6ACA"/>
    <w:rsid w:val="41661A86"/>
    <w:rsid w:val="41682B86"/>
    <w:rsid w:val="416F3BBA"/>
    <w:rsid w:val="41735459"/>
    <w:rsid w:val="41743063"/>
    <w:rsid w:val="417E7959"/>
    <w:rsid w:val="418408ED"/>
    <w:rsid w:val="418E2292"/>
    <w:rsid w:val="41914F2F"/>
    <w:rsid w:val="419176C7"/>
    <w:rsid w:val="41986C6D"/>
    <w:rsid w:val="419F4D1A"/>
    <w:rsid w:val="41A2189A"/>
    <w:rsid w:val="41A66434"/>
    <w:rsid w:val="41AF045B"/>
    <w:rsid w:val="41AF3FB7"/>
    <w:rsid w:val="41B034B4"/>
    <w:rsid w:val="41B11ADD"/>
    <w:rsid w:val="41B16375"/>
    <w:rsid w:val="41BA07A6"/>
    <w:rsid w:val="41BB0C61"/>
    <w:rsid w:val="41BD4926"/>
    <w:rsid w:val="41BD66D4"/>
    <w:rsid w:val="41BF069E"/>
    <w:rsid w:val="41C56CEC"/>
    <w:rsid w:val="41D207AD"/>
    <w:rsid w:val="41D35EF7"/>
    <w:rsid w:val="41D57EC1"/>
    <w:rsid w:val="41D82FF7"/>
    <w:rsid w:val="41DB2D2B"/>
    <w:rsid w:val="41DE00DC"/>
    <w:rsid w:val="41E023C2"/>
    <w:rsid w:val="41E53E7C"/>
    <w:rsid w:val="41E558F3"/>
    <w:rsid w:val="41E55C2A"/>
    <w:rsid w:val="41EC0D67"/>
    <w:rsid w:val="41EF130C"/>
    <w:rsid w:val="41F25983"/>
    <w:rsid w:val="41F560D9"/>
    <w:rsid w:val="41F60AD4"/>
    <w:rsid w:val="41F7651B"/>
    <w:rsid w:val="41F857B7"/>
    <w:rsid w:val="41FB7A7F"/>
    <w:rsid w:val="41FF6CEC"/>
    <w:rsid w:val="4200449D"/>
    <w:rsid w:val="42024A2E"/>
    <w:rsid w:val="420267DC"/>
    <w:rsid w:val="420460B1"/>
    <w:rsid w:val="42084862"/>
    <w:rsid w:val="420C1C66"/>
    <w:rsid w:val="420E4E7C"/>
    <w:rsid w:val="420F4A55"/>
    <w:rsid w:val="42100EF9"/>
    <w:rsid w:val="42152D3B"/>
    <w:rsid w:val="42187DCD"/>
    <w:rsid w:val="421A3B26"/>
    <w:rsid w:val="421F2EEA"/>
    <w:rsid w:val="42200714"/>
    <w:rsid w:val="42204EB5"/>
    <w:rsid w:val="4222096D"/>
    <w:rsid w:val="42260399"/>
    <w:rsid w:val="422624CB"/>
    <w:rsid w:val="42274495"/>
    <w:rsid w:val="422D38F3"/>
    <w:rsid w:val="42334002"/>
    <w:rsid w:val="4235270E"/>
    <w:rsid w:val="42360234"/>
    <w:rsid w:val="423A3BCC"/>
    <w:rsid w:val="423B3A9C"/>
    <w:rsid w:val="42426BD9"/>
    <w:rsid w:val="42470693"/>
    <w:rsid w:val="42497F67"/>
    <w:rsid w:val="424E557E"/>
    <w:rsid w:val="424E57D2"/>
    <w:rsid w:val="425A3F23"/>
    <w:rsid w:val="425D3A13"/>
    <w:rsid w:val="42642FF3"/>
    <w:rsid w:val="426C1BF7"/>
    <w:rsid w:val="426C25C1"/>
    <w:rsid w:val="426E3E72"/>
    <w:rsid w:val="427144CF"/>
    <w:rsid w:val="42733236"/>
    <w:rsid w:val="42742242"/>
    <w:rsid w:val="42756FAE"/>
    <w:rsid w:val="427577F8"/>
    <w:rsid w:val="427C0C6D"/>
    <w:rsid w:val="42821601"/>
    <w:rsid w:val="4283791D"/>
    <w:rsid w:val="428401DF"/>
    <w:rsid w:val="428471F1"/>
    <w:rsid w:val="4286740D"/>
    <w:rsid w:val="4289122D"/>
    <w:rsid w:val="42892A5A"/>
    <w:rsid w:val="42894808"/>
    <w:rsid w:val="428A269C"/>
    <w:rsid w:val="429531AD"/>
    <w:rsid w:val="429733C9"/>
    <w:rsid w:val="42990376"/>
    <w:rsid w:val="429A4C67"/>
    <w:rsid w:val="429C09DF"/>
    <w:rsid w:val="429F227D"/>
    <w:rsid w:val="429F6934"/>
    <w:rsid w:val="42A50DBD"/>
    <w:rsid w:val="42A51E24"/>
    <w:rsid w:val="42A774A0"/>
    <w:rsid w:val="42A94EAA"/>
    <w:rsid w:val="42B15C3A"/>
    <w:rsid w:val="42B25EFA"/>
    <w:rsid w:val="42B26C49"/>
    <w:rsid w:val="42B5384F"/>
    <w:rsid w:val="42B60ED1"/>
    <w:rsid w:val="42B8554C"/>
    <w:rsid w:val="42B86E9B"/>
    <w:rsid w:val="42BE0955"/>
    <w:rsid w:val="42C83582"/>
    <w:rsid w:val="42CA554C"/>
    <w:rsid w:val="42D26717"/>
    <w:rsid w:val="42D44852"/>
    <w:rsid w:val="42D450DE"/>
    <w:rsid w:val="42D50F9A"/>
    <w:rsid w:val="42D77C69"/>
    <w:rsid w:val="42DE2DA6"/>
    <w:rsid w:val="42EE0B0F"/>
    <w:rsid w:val="42F02AD9"/>
    <w:rsid w:val="42F0492C"/>
    <w:rsid w:val="42F26DF6"/>
    <w:rsid w:val="42F8373B"/>
    <w:rsid w:val="42F9198D"/>
    <w:rsid w:val="42F9677B"/>
    <w:rsid w:val="42FA5706"/>
    <w:rsid w:val="42FB7C6F"/>
    <w:rsid w:val="42FE2D71"/>
    <w:rsid w:val="42FF2D1C"/>
    <w:rsid w:val="42FF4A2B"/>
    <w:rsid w:val="42FF4ACA"/>
    <w:rsid w:val="43014038"/>
    <w:rsid w:val="43034A17"/>
    <w:rsid w:val="43045372"/>
    <w:rsid w:val="43063D15"/>
    <w:rsid w:val="43095949"/>
    <w:rsid w:val="43096BA3"/>
    <w:rsid w:val="430B346F"/>
    <w:rsid w:val="430C2999"/>
    <w:rsid w:val="430D6B32"/>
    <w:rsid w:val="43100A85"/>
    <w:rsid w:val="43121AC0"/>
    <w:rsid w:val="431542ED"/>
    <w:rsid w:val="431A1904"/>
    <w:rsid w:val="431C38CE"/>
    <w:rsid w:val="431E3879"/>
    <w:rsid w:val="431F4DFC"/>
    <w:rsid w:val="43284021"/>
    <w:rsid w:val="432D5ADB"/>
    <w:rsid w:val="432D7889"/>
    <w:rsid w:val="432E715D"/>
    <w:rsid w:val="432F3601"/>
    <w:rsid w:val="43302DBC"/>
    <w:rsid w:val="43317379"/>
    <w:rsid w:val="43364990"/>
    <w:rsid w:val="433944F6"/>
    <w:rsid w:val="433A6FE6"/>
    <w:rsid w:val="433C5D1E"/>
    <w:rsid w:val="433E1A96"/>
    <w:rsid w:val="43421586"/>
    <w:rsid w:val="43461685"/>
    <w:rsid w:val="43480868"/>
    <w:rsid w:val="4348746D"/>
    <w:rsid w:val="434E110F"/>
    <w:rsid w:val="4350713C"/>
    <w:rsid w:val="43514AF1"/>
    <w:rsid w:val="4352105E"/>
    <w:rsid w:val="43570B79"/>
    <w:rsid w:val="43572519"/>
    <w:rsid w:val="43581053"/>
    <w:rsid w:val="435B61A4"/>
    <w:rsid w:val="435D5F9B"/>
    <w:rsid w:val="435E3EE6"/>
    <w:rsid w:val="435E504D"/>
    <w:rsid w:val="435E5C94"/>
    <w:rsid w:val="43600487"/>
    <w:rsid w:val="436112E1"/>
    <w:rsid w:val="436406B7"/>
    <w:rsid w:val="436653E0"/>
    <w:rsid w:val="43686B13"/>
    <w:rsid w:val="436B3466"/>
    <w:rsid w:val="436D237B"/>
    <w:rsid w:val="436D4129"/>
    <w:rsid w:val="43707776"/>
    <w:rsid w:val="43740325"/>
    <w:rsid w:val="437454B8"/>
    <w:rsid w:val="4375337A"/>
    <w:rsid w:val="437F5067"/>
    <w:rsid w:val="43830635"/>
    <w:rsid w:val="438374A9"/>
    <w:rsid w:val="438576C5"/>
    <w:rsid w:val="43880F63"/>
    <w:rsid w:val="43896A99"/>
    <w:rsid w:val="438A6A89"/>
    <w:rsid w:val="438D657A"/>
    <w:rsid w:val="438E01C6"/>
    <w:rsid w:val="438F5E4E"/>
    <w:rsid w:val="4396542E"/>
    <w:rsid w:val="439D59B2"/>
    <w:rsid w:val="439F77F0"/>
    <w:rsid w:val="43A02171"/>
    <w:rsid w:val="43A04D63"/>
    <w:rsid w:val="43A739D1"/>
    <w:rsid w:val="43A86F10"/>
    <w:rsid w:val="43AF5FC5"/>
    <w:rsid w:val="43B5701A"/>
    <w:rsid w:val="43B65AD0"/>
    <w:rsid w:val="43B96210"/>
    <w:rsid w:val="43C058D0"/>
    <w:rsid w:val="43C4431A"/>
    <w:rsid w:val="43C53F65"/>
    <w:rsid w:val="43C655F0"/>
    <w:rsid w:val="43C7383A"/>
    <w:rsid w:val="43CA332A"/>
    <w:rsid w:val="43CB4BD1"/>
    <w:rsid w:val="43D014D4"/>
    <w:rsid w:val="43DF35A3"/>
    <w:rsid w:val="43E22422"/>
    <w:rsid w:val="43E51F12"/>
    <w:rsid w:val="43E55981"/>
    <w:rsid w:val="43E62B1D"/>
    <w:rsid w:val="43E7452D"/>
    <w:rsid w:val="43EB4717"/>
    <w:rsid w:val="43EB5476"/>
    <w:rsid w:val="43EF5AA8"/>
    <w:rsid w:val="43F14D5A"/>
    <w:rsid w:val="43F568DE"/>
    <w:rsid w:val="43FE2F9B"/>
    <w:rsid w:val="440033FA"/>
    <w:rsid w:val="4400590E"/>
    <w:rsid w:val="44041E37"/>
    <w:rsid w:val="440700DA"/>
    <w:rsid w:val="440E3217"/>
    <w:rsid w:val="440F51E1"/>
    <w:rsid w:val="441104E4"/>
    <w:rsid w:val="441133CA"/>
    <w:rsid w:val="44191BBB"/>
    <w:rsid w:val="441951C8"/>
    <w:rsid w:val="441E71D2"/>
    <w:rsid w:val="441F6AAF"/>
    <w:rsid w:val="442703E1"/>
    <w:rsid w:val="4427077C"/>
    <w:rsid w:val="442742D8"/>
    <w:rsid w:val="442B04A5"/>
    <w:rsid w:val="442E4C31"/>
    <w:rsid w:val="443174AF"/>
    <w:rsid w:val="44337121"/>
    <w:rsid w:val="44343E1B"/>
    <w:rsid w:val="44352E99"/>
    <w:rsid w:val="44356ED4"/>
    <w:rsid w:val="44383BDD"/>
    <w:rsid w:val="444035EC"/>
    <w:rsid w:val="444111FF"/>
    <w:rsid w:val="44511355"/>
    <w:rsid w:val="445157F9"/>
    <w:rsid w:val="44533D13"/>
    <w:rsid w:val="445553B1"/>
    <w:rsid w:val="445618CB"/>
    <w:rsid w:val="445D3010"/>
    <w:rsid w:val="445F3A72"/>
    <w:rsid w:val="44625F18"/>
    <w:rsid w:val="44670B79"/>
    <w:rsid w:val="446B30A5"/>
    <w:rsid w:val="446B4701"/>
    <w:rsid w:val="44774693"/>
    <w:rsid w:val="447B33B1"/>
    <w:rsid w:val="447D214A"/>
    <w:rsid w:val="447F2366"/>
    <w:rsid w:val="447F42ED"/>
    <w:rsid w:val="44853C5B"/>
    <w:rsid w:val="448636F5"/>
    <w:rsid w:val="448654A3"/>
    <w:rsid w:val="448C05DF"/>
    <w:rsid w:val="448E25A9"/>
    <w:rsid w:val="44901991"/>
    <w:rsid w:val="44913E48"/>
    <w:rsid w:val="44960633"/>
    <w:rsid w:val="44974D76"/>
    <w:rsid w:val="449C108F"/>
    <w:rsid w:val="44A1052F"/>
    <w:rsid w:val="44A1408B"/>
    <w:rsid w:val="44A84615"/>
    <w:rsid w:val="44AC2A30"/>
    <w:rsid w:val="44AE7C22"/>
    <w:rsid w:val="44B276A5"/>
    <w:rsid w:val="44B55D88"/>
    <w:rsid w:val="44B85878"/>
    <w:rsid w:val="44B951CC"/>
    <w:rsid w:val="44BA333B"/>
    <w:rsid w:val="44BA6EFA"/>
    <w:rsid w:val="44C62596"/>
    <w:rsid w:val="44C77869"/>
    <w:rsid w:val="44C935E1"/>
    <w:rsid w:val="44C9538F"/>
    <w:rsid w:val="44CA205D"/>
    <w:rsid w:val="44CB1108"/>
    <w:rsid w:val="44CD14E0"/>
    <w:rsid w:val="44D13CE4"/>
    <w:rsid w:val="44D34755"/>
    <w:rsid w:val="44D35F39"/>
    <w:rsid w:val="44D95ECC"/>
    <w:rsid w:val="44DD0E3B"/>
    <w:rsid w:val="44DF4BB3"/>
    <w:rsid w:val="44E614BD"/>
    <w:rsid w:val="44EA5901"/>
    <w:rsid w:val="44EC70BB"/>
    <w:rsid w:val="44EF1F96"/>
    <w:rsid w:val="44F05012"/>
    <w:rsid w:val="44F20B0B"/>
    <w:rsid w:val="44FA19ED"/>
    <w:rsid w:val="44FB013C"/>
    <w:rsid w:val="44FE772F"/>
    <w:rsid w:val="44FF0DB1"/>
    <w:rsid w:val="45050ABD"/>
    <w:rsid w:val="45056E81"/>
    <w:rsid w:val="45097E82"/>
    <w:rsid w:val="450D7972"/>
    <w:rsid w:val="45101210"/>
    <w:rsid w:val="451505D5"/>
    <w:rsid w:val="45181E73"/>
    <w:rsid w:val="451942C1"/>
    <w:rsid w:val="45196317"/>
    <w:rsid w:val="451B373F"/>
    <w:rsid w:val="4521341D"/>
    <w:rsid w:val="45216F7A"/>
    <w:rsid w:val="45232CF2"/>
    <w:rsid w:val="452A192A"/>
    <w:rsid w:val="452D3B70"/>
    <w:rsid w:val="452E5F4C"/>
    <w:rsid w:val="452F5B3A"/>
    <w:rsid w:val="45322F35"/>
    <w:rsid w:val="453F23E9"/>
    <w:rsid w:val="453F3B0F"/>
    <w:rsid w:val="45401AF6"/>
    <w:rsid w:val="4541586E"/>
    <w:rsid w:val="45417301"/>
    <w:rsid w:val="45476534"/>
    <w:rsid w:val="454F1D39"/>
    <w:rsid w:val="455247B9"/>
    <w:rsid w:val="4554734F"/>
    <w:rsid w:val="455A5E04"/>
    <w:rsid w:val="455B2584"/>
    <w:rsid w:val="45612018"/>
    <w:rsid w:val="4561381A"/>
    <w:rsid w:val="45682DFA"/>
    <w:rsid w:val="456A3C7E"/>
    <w:rsid w:val="45700EE7"/>
    <w:rsid w:val="45785C9C"/>
    <w:rsid w:val="457A0299"/>
    <w:rsid w:val="457E43CC"/>
    <w:rsid w:val="457F4380"/>
    <w:rsid w:val="45824D6D"/>
    <w:rsid w:val="458946E9"/>
    <w:rsid w:val="458F552D"/>
    <w:rsid w:val="45905EAD"/>
    <w:rsid w:val="45912351"/>
    <w:rsid w:val="45927E77"/>
    <w:rsid w:val="45933B3D"/>
    <w:rsid w:val="45967968"/>
    <w:rsid w:val="45977B3E"/>
    <w:rsid w:val="4599319D"/>
    <w:rsid w:val="459A2148"/>
    <w:rsid w:val="459B181C"/>
    <w:rsid w:val="45A47C0E"/>
    <w:rsid w:val="45A71B75"/>
    <w:rsid w:val="45A73923"/>
    <w:rsid w:val="45A831F7"/>
    <w:rsid w:val="45AC0F1D"/>
    <w:rsid w:val="45B03D38"/>
    <w:rsid w:val="45B7168C"/>
    <w:rsid w:val="45BB22F1"/>
    <w:rsid w:val="45BE0C6C"/>
    <w:rsid w:val="45C14A74"/>
    <w:rsid w:val="45C344D5"/>
    <w:rsid w:val="45CA13BF"/>
    <w:rsid w:val="45CA5962"/>
    <w:rsid w:val="45CF4C28"/>
    <w:rsid w:val="45D109A0"/>
    <w:rsid w:val="45D20962"/>
    <w:rsid w:val="45D40490"/>
    <w:rsid w:val="45D514DB"/>
    <w:rsid w:val="45D64208"/>
    <w:rsid w:val="45D95AA6"/>
    <w:rsid w:val="45DB35CC"/>
    <w:rsid w:val="45DD73C1"/>
    <w:rsid w:val="45DE130F"/>
    <w:rsid w:val="45DF7907"/>
    <w:rsid w:val="45E2495B"/>
    <w:rsid w:val="45E43797"/>
    <w:rsid w:val="45E5489B"/>
    <w:rsid w:val="45EC7588"/>
    <w:rsid w:val="45F07517"/>
    <w:rsid w:val="45F12DF0"/>
    <w:rsid w:val="45F30E6D"/>
    <w:rsid w:val="45F96148"/>
    <w:rsid w:val="45F97239"/>
    <w:rsid w:val="45FC791D"/>
    <w:rsid w:val="45FE550D"/>
    <w:rsid w:val="460074D7"/>
    <w:rsid w:val="46026DAB"/>
    <w:rsid w:val="46032B23"/>
    <w:rsid w:val="460436F4"/>
    <w:rsid w:val="46055AAB"/>
    <w:rsid w:val="4606574C"/>
    <w:rsid w:val="460D5750"/>
    <w:rsid w:val="460E39A2"/>
    <w:rsid w:val="460F2BC3"/>
    <w:rsid w:val="461024ED"/>
    <w:rsid w:val="46127861"/>
    <w:rsid w:val="4613600F"/>
    <w:rsid w:val="46162856"/>
    <w:rsid w:val="461940F5"/>
    <w:rsid w:val="461B3652"/>
    <w:rsid w:val="461D1E37"/>
    <w:rsid w:val="461E14CA"/>
    <w:rsid w:val="4626737D"/>
    <w:rsid w:val="462A3027"/>
    <w:rsid w:val="462C5BD6"/>
    <w:rsid w:val="463417EB"/>
    <w:rsid w:val="46364CA7"/>
    <w:rsid w:val="463877B9"/>
    <w:rsid w:val="463902F3"/>
    <w:rsid w:val="464451A6"/>
    <w:rsid w:val="464473C4"/>
    <w:rsid w:val="46490AD0"/>
    <w:rsid w:val="464B2FDE"/>
    <w:rsid w:val="464B69A4"/>
    <w:rsid w:val="464C282D"/>
    <w:rsid w:val="464D3DAC"/>
    <w:rsid w:val="46537607"/>
    <w:rsid w:val="46552F9B"/>
    <w:rsid w:val="46577FD6"/>
    <w:rsid w:val="46584C1D"/>
    <w:rsid w:val="46595B26"/>
    <w:rsid w:val="465A3D7A"/>
    <w:rsid w:val="465C4FCA"/>
    <w:rsid w:val="46625A9C"/>
    <w:rsid w:val="46651908"/>
    <w:rsid w:val="4665371A"/>
    <w:rsid w:val="4665733A"/>
    <w:rsid w:val="46662F90"/>
    <w:rsid w:val="46694F98"/>
    <w:rsid w:val="466D0021"/>
    <w:rsid w:val="466E4440"/>
    <w:rsid w:val="466E5DEB"/>
    <w:rsid w:val="466F553C"/>
    <w:rsid w:val="4670640B"/>
    <w:rsid w:val="46713F31"/>
    <w:rsid w:val="46773257"/>
    <w:rsid w:val="467B538C"/>
    <w:rsid w:val="467C0391"/>
    <w:rsid w:val="4682613E"/>
    <w:rsid w:val="46827EEC"/>
    <w:rsid w:val="46840403"/>
    <w:rsid w:val="468E063F"/>
    <w:rsid w:val="469043B7"/>
    <w:rsid w:val="46932F3D"/>
    <w:rsid w:val="4693479C"/>
    <w:rsid w:val="469551E9"/>
    <w:rsid w:val="469A6AFE"/>
    <w:rsid w:val="469C0CA2"/>
    <w:rsid w:val="469D2F78"/>
    <w:rsid w:val="46A14816"/>
    <w:rsid w:val="46A2058E"/>
    <w:rsid w:val="46A2162C"/>
    <w:rsid w:val="46A240EA"/>
    <w:rsid w:val="46A77952"/>
    <w:rsid w:val="46AC31BB"/>
    <w:rsid w:val="46AF05B5"/>
    <w:rsid w:val="46B01A76"/>
    <w:rsid w:val="46B856BC"/>
    <w:rsid w:val="46BA5D58"/>
    <w:rsid w:val="46BD0F24"/>
    <w:rsid w:val="46BD7E90"/>
    <w:rsid w:val="46C2653A"/>
    <w:rsid w:val="46C308DB"/>
    <w:rsid w:val="46C33724"/>
    <w:rsid w:val="46C45F70"/>
    <w:rsid w:val="46C60C8F"/>
    <w:rsid w:val="46CE4EDF"/>
    <w:rsid w:val="46D1677D"/>
    <w:rsid w:val="46D913EF"/>
    <w:rsid w:val="46D955A7"/>
    <w:rsid w:val="46DD1C51"/>
    <w:rsid w:val="46DF0E9A"/>
    <w:rsid w:val="46E00739"/>
    <w:rsid w:val="46E12E64"/>
    <w:rsid w:val="46E26BDC"/>
    <w:rsid w:val="46E42B1E"/>
    <w:rsid w:val="46E722AB"/>
    <w:rsid w:val="46E72E33"/>
    <w:rsid w:val="46E75FA1"/>
    <w:rsid w:val="46ED7A5B"/>
    <w:rsid w:val="46F030A7"/>
    <w:rsid w:val="46F04E55"/>
    <w:rsid w:val="46F21269"/>
    <w:rsid w:val="46F22218"/>
    <w:rsid w:val="46F26E20"/>
    <w:rsid w:val="46F74436"/>
    <w:rsid w:val="46F96400"/>
    <w:rsid w:val="46FD57C4"/>
    <w:rsid w:val="47013FF5"/>
    <w:rsid w:val="47046B53"/>
    <w:rsid w:val="47094169"/>
    <w:rsid w:val="470D4FF2"/>
    <w:rsid w:val="470D6E20"/>
    <w:rsid w:val="470E352E"/>
    <w:rsid w:val="4712192D"/>
    <w:rsid w:val="471274C2"/>
    <w:rsid w:val="47133957"/>
    <w:rsid w:val="47134122"/>
    <w:rsid w:val="47136D96"/>
    <w:rsid w:val="47154B28"/>
    <w:rsid w:val="47176997"/>
    <w:rsid w:val="471C20EE"/>
    <w:rsid w:val="4723522B"/>
    <w:rsid w:val="47242D51"/>
    <w:rsid w:val="47264D1B"/>
    <w:rsid w:val="472745EF"/>
    <w:rsid w:val="472870E1"/>
    <w:rsid w:val="472962E9"/>
    <w:rsid w:val="472B2331"/>
    <w:rsid w:val="472B738B"/>
    <w:rsid w:val="472D42FC"/>
    <w:rsid w:val="472F6522"/>
    <w:rsid w:val="47376F28"/>
    <w:rsid w:val="47390B3E"/>
    <w:rsid w:val="47394A4E"/>
    <w:rsid w:val="47431429"/>
    <w:rsid w:val="474476B1"/>
    <w:rsid w:val="47462CC7"/>
    <w:rsid w:val="474E0E96"/>
    <w:rsid w:val="47525B10"/>
    <w:rsid w:val="47582E8C"/>
    <w:rsid w:val="475950F1"/>
    <w:rsid w:val="47607747"/>
    <w:rsid w:val="47634DBB"/>
    <w:rsid w:val="47723ABC"/>
    <w:rsid w:val="47760DD2"/>
    <w:rsid w:val="477A6E15"/>
    <w:rsid w:val="477B4524"/>
    <w:rsid w:val="477B452E"/>
    <w:rsid w:val="477E0A07"/>
    <w:rsid w:val="478163F5"/>
    <w:rsid w:val="478657BA"/>
    <w:rsid w:val="478C11CD"/>
    <w:rsid w:val="478F466E"/>
    <w:rsid w:val="4792415F"/>
    <w:rsid w:val="4795111C"/>
    <w:rsid w:val="479637DB"/>
    <w:rsid w:val="47971775"/>
    <w:rsid w:val="47972677"/>
    <w:rsid w:val="4799373F"/>
    <w:rsid w:val="479E754B"/>
    <w:rsid w:val="479F462F"/>
    <w:rsid w:val="47A07E0C"/>
    <w:rsid w:val="47A143A2"/>
    <w:rsid w:val="47A345BE"/>
    <w:rsid w:val="47A53E92"/>
    <w:rsid w:val="47A619B8"/>
    <w:rsid w:val="47A73CBB"/>
    <w:rsid w:val="47AD08A4"/>
    <w:rsid w:val="47B16CDB"/>
    <w:rsid w:val="47B448F0"/>
    <w:rsid w:val="47B8502A"/>
    <w:rsid w:val="47B916EB"/>
    <w:rsid w:val="47B9793D"/>
    <w:rsid w:val="47BA5463"/>
    <w:rsid w:val="47BD24E7"/>
    <w:rsid w:val="47C11514"/>
    <w:rsid w:val="47C47D13"/>
    <w:rsid w:val="47C6636F"/>
    <w:rsid w:val="47CB683C"/>
    <w:rsid w:val="47CC58C3"/>
    <w:rsid w:val="47CD163B"/>
    <w:rsid w:val="47CE6321"/>
    <w:rsid w:val="47D57F3B"/>
    <w:rsid w:val="47E50732"/>
    <w:rsid w:val="47E5723A"/>
    <w:rsid w:val="47EA5D49"/>
    <w:rsid w:val="47EB01EC"/>
    <w:rsid w:val="47EC1AC1"/>
    <w:rsid w:val="47EC7D13"/>
    <w:rsid w:val="47ED5839"/>
    <w:rsid w:val="47F44E19"/>
    <w:rsid w:val="47F7164F"/>
    <w:rsid w:val="47FB6163"/>
    <w:rsid w:val="47FD0BCB"/>
    <w:rsid w:val="48013776"/>
    <w:rsid w:val="48020068"/>
    <w:rsid w:val="480B7183"/>
    <w:rsid w:val="480F57AF"/>
    <w:rsid w:val="48146A62"/>
    <w:rsid w:val="481608EC"/>
    <w:rsid w:val="4819662E"/>
    <w:rsid w:val="481C1A04"/>
    <w:rsid w:val="481C3131"/>
    <w:rsid w:val="481E5DAA"/>
    <w:rsid w:val="481F0596"/>
    <w:rsid w:val="482374AD"/>
    <w:rsid w:val="48254FD3"/>
    <w:rsid w:val="48276F9D"/>
    <w:rsid w:val="482C0705"/>
    <w:rsid w:val="482D4E56"/>
    <w:rsid w:val="482F2FD6"/>
    <w:rsid w:val="482F5DC6"/>
    <w:rsid w:val="48311BC9"/>
    <w:rsid w:val="483416BA"/>
    <w:rsid w:val="483671E0"/>
    <w:rsid w:val="48435459"/>
    <w:rsid w:val="48457423"/>
    <w:rsid w:val="484636CE"/>
    <w:rsid w:val="48497FAC"/>
    <w:rsid w:val="484C255F"/>
    <w:rsid w:val="484F2050"/>
    <w:rsid w:val="484F23A5"/>
    <w:rsid w:val="48517B76"/>
    <w:rsid w:val="48552861"/>
    <w:rsid w:val="48594C7C"/>
    <w:rsid w:val="485A1120"/>
    <w:rsid w:val="485E533F"/>
    <w:rsid w:val="486024AF"/>
    <w:rsid w:val="486204EB"/>
    <w:rsid w:val="48622310"/>
    <w:rsid w:val="486309CF"/>
    <w:rsid w:val="48635917"/>
    <w:rsid w:val="4870272E"/>
    <w:rsid w:val="48715280"/>
    <w:rsid w:val="4871646A"/>
    <w:rsid w:val="48725E56"/>
    <w:rsid w:val="48733D14"/>
    <w:rsid w:val="48733F90"/>
    <w:rsid w:val="487D096B"/>
    <w:rsid w:val="487D6BBD"/>
    <w:rsid w:val="488066AD"/>
    <w:rsid w:val="4881611D"/>
    <w:rsid w:val="48824981"/>
    <w:rsid w:val="48882C6A"/>
    <w:rsid w:val="48896F8C"/>
    <w:rsid w:val="48897310"/>
    <w:rsid w:val="488C47B0"/>
    <w:rsid w:val="488F30C1"/>
    <w:rsid w:val="48904A19"/>
    <w:rsid w:val="489B5295"/>
    <w:rsid w:val="489F24E0"/>
    <w:rsid w:val="489F2ACE"/>
    <w:rsid w:val="48A76BBC"/>
    <w:rsid w:val="48B474B3"/>
    <w:rsid w:val="48B620CF"/>
    <w:rsid w:val="48B900E5"/>
    <w:rsid w:val="48BA4B58"/>
    <w:rsid w:val="48BC0DDD"/>
    <w:rsid w:val="48BD345D"/>
    <w:rsid w:val="48C104F1"/>
    <w:rsid w:val="48C44B7C"/>
    <w:rsid w:val="48C66B22"/>
    <w:rsid w:val="48CA1CF9"/>
    <w:rsid w:val="48CB3E5F"/>
    <w:rsid w:val="48CC36A0"/>
    <w:rsid w:val="48CD17B0"/>
    <w:rsid w:val="48D16F09"/>
    <w:rsid w:val="48D2004E"/>
    <w:rsid w:val="48D52BAA"/>
    <w:rsid w:val="48D567FB"/>
    <w:rsid w:val="48D840E9"/>
    <w:rsid w:val="48DA400F"/>
    <w:rsid w:val="48DD3AFF"/>
    <w:rsid w:val="48DD765B"/>
    <w:rsid w:val="48E11085"/>
    <w:rsid w:val="48E1539E"/>
    <w:rsid w:val="48E16144"/>
    <w:rsid w:val="48E77CA1"/>
    <w:rsid w:val="48E857AF"/>
    <w:rsid w:val="48EC1EC8"/>
    <w:rsid w:val="48EC3D42"/>
    <w:rsid w:val="48F43BDF"/>
    <w:rsid w:val="48F6071D"/>
    <w:rsid w:val="48F77BCC"/>
    <w:rsid w:val="48FA7DB5"/>
    <w:rsid w:val="49050C83"/>
    <w:rsid w:val="49080B7C"/>
    <w:rsid w:val="49090D81"/>
    <w:rsid w:val="490B41C9"/>
    <w:rsid w:val="490B5F77"/>
    <w:rsid w:val="490C7F41"/>
    <w:rsid w:val="491111EA"/>
    <w:rsid w:val="49214148"/>
    <w:rsid w:val="492267C1"/>
    <w:rsid w:val="49296D45"/>
    <w:rsid w:val="492D0210"/>
    <w:rsid w:val="492D1ACF"/>
    <w:rsid w:val="49313C4E"/>
    <w:rsid w:val="493203A6"/>
    <w:rsid w:val="493A4AAE"/>
    <w:rsid w:val="4948541D"/>
    <w:rsid w:val="494D6999"/>
    <w:rsid w:val="49520049"/>
    <w:rsid w:val="49536D89"/>
    <w:rsid w:val="495A08D2"/>
    <w:rsid w:val="495B7301"/>
    <w:rsid w:val="495C2C76"/>
    <w:rsid w:val="495C4A24"/>
    <w:rsid w:val="496277D0"/>
    <w:rsid w:val="49675177"/>
    <w:rsid w:val="49681C10"/>
    <w:rsid w:val="49682F6F"/>
    <w:rsid w:val="4968417A"/>
    <w:rsid w:val="4968786D"/>
    <w:rsid w:val="496C37C9"/>
    <w:rsid w:val="496D4E83"/>
    <w:rsid w:val="496D5598"/>
    <w:rsid w:val="49712F73"/>
    <w:rsid w:val="4972249A"/>
    <w:rsid w:val="49725BF5"/>
    <w:rsid w:val="49753D38"/>
    <w:rsid w:val="49755AE6"/>
    <w:rsid w:val="49757894"/>
    <w:rsid w:val="497D0831"/>
    <w:rsid w:val="497F6965"/>
    <w:rsid w:val="4981092F"/>
    <w:rsid w:val="4981195A"/>
    <w:rsid w:val="49812B82"/>
    <w:rsid w:val="49865F45"/>
    <w:rsid w:val="49926698"/>
    <w:rsid w:val="499441BE"/>
    <w:rsid w:val="49950C2D"/>
    <w:rsid w:val="49957F36"/>
    <w:rsid w:val="49973BDF"/>
    <w:rsid w:val="499A6022"/>
    <w:rsid w:val="499D48F0"/>
    <w:rsid w:val="499E6DEB"/>
    <w:rsid w:val="49A0179B"/>
    <w:rsid w:val="49A50EE5"/>
    <w:rsid w:val="49AA21D7"/>
    <w:rsid w:val="49AA39E1"/>
    <w:rsid w:val="49AB7617"/>
    <w:rsid w:val="49AC659F"/>
    <w:rsid w:val="49B760FE"/>
    <w:rsid w:val="49B900C8"/>
    <w:rsid w:val="49BA174B"/>
    <w:rsid w:val="49C10027"/>
    <w:rsid w:val="49C30CDC"/>
    <w:rsid w:val="49C34AA3"/>
    <w:rsid w:val="49CB3958"/>
    <w:rsid w:val="49CD5922"/>
    <w:rsid w:val="49CD6E49"/>
    <w:rsid w:val="49CF169A"/>
    <w:rsid w:val="49D11F95"/>
    <w:rsid w:val="49D26E97"/>
    <w:rsid w:val="49D341DF"/>
    <w:rsid w:val="49D37AE3"/>
    <w:rsid w:val="49DA5439"/>
    <w:rsid w:val="49DB003F"/>
    <w:rsid w:val="49DC7715"/>
    <w:rsid w:val="49DE2134"/>
    <w:rsid w:val="49DE368B"/>
    <w:rsid w:val="49DF064F"/>
    <w:rsid w:val="49E30CA1"/>
    <w:rsid w:val="49F15A51"/>
    <w:rsid w:val="49F20EE5"/>
    <w:rsid w:val="49F25388"/>
    <w:rsid w:val="49F31A49"/>
    <w:rsid w:val="49FC7FB5"/>
    <w:rsid w:val="4A023139"/>
    <w:rsid w:val="4A02381D"/>
    <w:rsid w:val="4A0330F2"/>
    <w:rsid w:val="4A062D3B"/>
    <w:rsid w:val="4A111CB3"/>
    <w:rsid w:val="4A1672C9"/>
    <w:rsid w:val="4A174D37"/>
    <w:rsid w:val="4A1B519B"/>
    <w:rsid w:val="4A262B50"/>
    <w:rsid w:val="4A2816C1"/>
    <w:rsid w:val="4A286FFC"/>
    <w:rsid w:val="4A2A3423"/>
    <w:rsid w:val="4A3541D0"/>
    <w:rsid w:val="4A382C50"/>
    <w:rsid w:val="4A382D24"/>
    <w:rsid w:val="4A3C3AAF"/>
    <w:rsid w:val="4A3C6604"/>
    <w:rsid w:val="4A3D2AA8"/>
    <w:rsid w:val="4A4066FA"/>
    <w:rsid w:val="4A410842"/>
    <w:rsid w:val="4A421E6C"/>
    <w:rsid w:val="4A4756D4"/>
    <w:rsid w:val="4A4D25BF"/>
    <w:rsid w:val="4A4F5DAE"/>
    <w:rsid w:val="4A510301"/>
    <w:rsid w:val="4A540483"/>
    <w:rsid w:val="4A5D0A54"/>
    <w:rsid w:val="4A5E2A1E"/>
    <w:rsid w:val="4A600544"/>
    <w:rsid w:val="4A622179"/>
    <w:rsid w:val="4A631DE2"/>
    <w:rsid w:val="4A69389D"/>
    <w:rsid w:val="4A722025"/>
    <w:rsid w:val="4A73151A"/>
    <w:rsid w:val="4A7B576F"/>
    <w:rsid w:val="4A7F6DC7"/>
    <w:rsid w:val="4A7F7133"/>
    <w:rsid w:val="4A875AD1"/>
    <w:rsid w:val="4A895CED"/>
    <w:rsid w:val="4A8A3813"/>
    <w:rsid w:val="4A8C1339"/>
    <w:rsid w:val="4A9220C8"/>
    <w:rsid w:val="4A934476"/>
    <w:rsid w:val="4A981A8C"/>
    <w:rsid w:val="4A9F00FA"/>
    <w:rsid w:val="4AA04DE4"/>
    <w:rsid w:val="4AA44424"/>
    <w:rsid w:val="4AA448D5"/>
    <w:rsid w:val="4AA93873"/>
    <w:rsid w:val="4AAA17BF"/>
    <w:rsid w:val="4AAA7A11"/>
    <w:rsid w:val="4AB0579D"/>
    <w:rsid w:val="4AB16FF2"/>
    <w:rsid w:val="4AB253A0"/>
    <w:rsid w:val="4AB32D6A"/>
    <w:rsid w:val="4AB40A96"/>
    <w:rsid w:val="4AB60164"/>
    <w:rsid w:val="4AB77AAC"/>
    <w:rsid w:val="4AB80B86"/>
    <w:rsid w:val="4ABD7744"/>
    <w:rsid w:val="4AC419AB"/>
    <w:rsid w:val="4AC46D25"/>
    <w:rsid w:val="4AC81D2B"/>
    <w:rsid w:val="4AD1049C"/>
    <w:rsid w:val="4AD4683C"/>
    <w:rsid w:val="4AD50E78"/>
    <w:rsid w:val="4AD66A58"/>
    <w:rsid w:val="4AD75C01"/>
    <w:rsid w:val="4AD93E52"/>
    <w:rsid w:val="4ADA59B9"/>
    <w:rsid w:val="4ADB406F"/>
    <w:rsid w:val="4ADB702B"/>
    <w:rsid w:val="4ADF3B5F"/>
    <w:rsid w:val="4AE205AA"/>
    <w:rsid w:val="4AE61FD9"/>
    <w:rsid w:val="4AE64EED"/>
    <w:rsid w:val="4AEF24F5"/>
    <w:rsid w:val="4AF13892"/>
    <w:rsid w:val="4AF173EE"/>
    <w:rsid w:val="4AF2278F"/>
    <w:rsid w:val="4AF51076"/>
    <w:rsid w:val="4AF561A9"/>
    <w:rsid w:val="4AF8077D"/>
    <w:rsid w:val="4AFC7BF7"/>
    <w:rsid w:val="4B007631"/>
    <w:rsid w:val="4B054C48"/>
    <w:rsid w:val="4B0613F2"/>
    <w:rsid w:val="4B0C247A"/>
    <w:rsid w:val="4B125CE2"/>
    <w:rsid w:val="4B127C87"/>
    <w:rsid w:val="4B1702B6"/>
    <w:rsid w:val="4B17371B"/>
    <w:rsid w:val="4B181FCF"/>
    <w:rsid w:val="4B187071"/>
    <w:rsid w:val="4B1B7188"/>
    <w:rsid w:val="4B1F4E7B"/>
    <w:rsid w:val="4B201A81"/>
    <w:rsid w:val="4B206B8E"/>
    <w:rsid w:val="4B224173"/>
    <w:rsid w:val="4B2652EA"/>
    <w:rsid w:val="4B2B6DA4"/>
    <w:rsid w:val="4B2D37A1"/>
    <w:rsid w:val="4B2E23F0"/>
    <w:rsid w:val="4B3425E6"/>
    <w:rsid w:val="4B3519D1"/>
    <w:rsid w:val="4B351D9D"/>
    <w:rsid w:val="4B35552D"/>
    <w:rsid w:val="4B396FAF"/>
    <w:rsid w:val="4B3B54BB"/>
    <w:rsid w:val="4B3D4425"/>
    <w:rsid w:val="4B447124"/>
    <w:rsid w:val="4B475260"/>
    <w:rsid w:val="4B485C87"/>
    <w:rsid w:val="4B4E2A92"/>
    <w:rsid w:val="4B5538D6"/>
    <w:rsid w:val="4B553E21"/>
    <w:rsid w:val="4B555BCF"/>
    <w:rsid w:val="4B5A1437"/>
    <w:rsid w:val="4B5A31E5"/>
    <w:rsid w:val="4B5C6F5D"/>
    <w:rsid w:val="4B5D6832"/>
    <w:rsid w:val="4B5F25AA"/>
    <w:rsid w:val="4B610A73"/>
    <w:rsid w:val="4B63653E"/>
    <w:rsid w:val="4B6577F3"/>
    <w:rsid w:val="4B6E6C91"/>
    <w:rsid w:val="4B702A09"/>
    <w:rsid w:val="4B71513A"/>
    <w:rsid w:val="4B7A5635"/>
    <w:rsid w:val="4B7E362B"/>
    <w:rsid w:val="4B7E5C76"/>
    <w:rsid w:val="4B8464B4"/>
    <w:rsid w:val="4B897627"/>
    <w:rsid w:val="4B8A1B74"/>
    <w:rsid w:val="4B8A2A0D"/>
    <w:rsid w:val="4B8A2BD1"/>
    <w:rsid w:val="4B8D3A4C"/>
    <w:rsid w:val="4B93319E"/>
    <w:rsid w:val="4B9506C1"/>
    <w:rsid w:val="4B9517FA"/>
    <w:rsid w:val="4B9A477E"/>
    <w:rsid w:val="4B9A7A86"/>
    <w:rsid w:val="4B9F2211"/>
    <w:rsid w:val="4BA12BC2"/>
    <w:rsid w:val="4BA71025"/>
    <w:rsid w:val="4BA92116"/>
    <w:rsid w:val="4BAE072C"/>
    <w:rsid w:val="4BB072A9"/>
    <w:rsid w:val="4BB418A9"/>
    <w:rsid w:val="4BBA7A4B"/>
    <w:rsid w:val="4BBB64B3"/>
    <w:rsid w:val="4BCC10A4"/>
    <w:rsid w:val="4BCD451B"/>
    <w:rsid w:val="4BCE14DD"/>
    <w:rsid w:val="4BCE35B9"/>
    <w:rsid w:val="4BD0624C"/>
    <w:rsid w:val="4BD07A45"/>
    <w:rsid w:val="4BD31C72"/>
    <w:rsid w:val="4BD61828"/>
    <w:rsid w:val="4BDA5A90"/>
    <w:rsid w:val="4BDE3E16"/>
    <w:rsid w:val="4BDE4938"/>
    <w:rsid w:val="4BE62CCB"/>
    <w:rsid w:val="4BE76E4E"/>
    <w:rsid w:val="4BE96317"/>
    <w:rsid w:val="4BEB0079"/>
    <w:rsid w:val="4BED4059"/>
    <w:rsid w:val="4BED5E07"/>
    <w:rsid w:val="4BF076A6"/>
    <w:rsid w:val="4BF3029F"/>
    <w:rsid w:val="4BF76C86"/>
    <w:rsid w:val="4BF929FE"/>
    <w:rsid w:val="4BFA0DE1"/>
    <w:rsid w:val="4C001FDF"/>
    <w:rsid w:val="4C040E54"/>
    <w:rsid w:val="4C04492D"/>
    <w:rsid w:val="4C0A75DA"/>
    <w:rsid w:val="4C0F5D7E"/>
    <w:rsid w:val="4C107D48"/>
    <w:rsid w:val="4C1221D3"/>
    <w:rsid w:val="4C1710D6"/>
    <w:rsid w:val="4C194E4E"/>
    <w:rsid w:val="4C1B5024"/>
    <w:rsid w:val="4C1C493F"/>
    <w:rsid w:val="4C1D5AD4"/>
    <w:rsid w:val="4C1E7FD0"/>
    <w:rsid w:val="4C21134E"/>
    <w:rsid w:val="4C213D03"/>
    <w:rsid w:val="4C2741A4"/>
    <w:rsid w:val="4C2757BD"/>
    <w:rsid w:val="4C29271E"/>
    <w:rsid w:val="4C2A5B88"/>
    <w:rsid w:val="4C2C4B82"/>
    <w:rsid w:val="4C336E5A"/>
    <w:rsid w:val="4C3C156B"/>
    <w:rsid w:val="4C3C534E"/>
    <w:rsid w:val="4C40066C"/>
    <w:rsid w:val="4C407CC9"/>
    <w:rsid w:val="4C44188D"/>
    <w:rsid w:val="4C486FFA"/>
    <w:rsid w:val="4C4A0649"/>
    <w:rsid w:val="4C4A14AC"/>
    <w:rsid w:val="4C50700A"/>
    <w:rsid w:val="4C583BC9"/>
    <w:rsid w:val="4C5C5158"/>
    <w:rsid w:val="4C5E5A9A"/>
    <w:rsid w:val="4C6836E0"/>
    <w:rsid w:val="4C7030C4"/>
    <w:rsid w:val="4C72455F"/>
    <w:rsid w:val="4C7327B1"/>
    <w:rsid w:val="4C7379C1"/>
    <w:rsid w:val="4C765DFD"/>
    <w:rsid w:val="4C76619B"/>
    <w:rsid w:val="4C78638A"/>
    <w:rsid w:val="4C7C1BA3"/>
    <w:rsid w:val="4C7D739B"/>
    <w:rsid w:val="4C7D7D0D"/>
    <w:rsid w:val="4C7E5ECA"/>
    <w:rsid w:val="4C8061AE"/>
    <w:rsid w:val="4C806C7C"/>
    <w:rsid w:val="4C8229F4"/>
    <w:rsid w:val="4C83051A"/>
    <w:rsid w:val="4C8449BE"/>
    <w:rsid w:val="4C850472"/>
    <w:rsid w:val="4C85254A"/>
    <w:rsid w:val="4C876AA5"/>
    <w:rsid w:val="4C8A31B1"/>
    <w:rsid w:val="4C8E33A9"/>
    <w:rsid w:val="4C8F5111"/>
    <w:rsid w:val="4C916E35"/>
    <w:rsid w:val="4C985AAA"/>
    <w:rsid w:val="4C9B3AB5"/>
    <w:rsid w:val="4C9E35A6"/>
    <w:rsid w:val="4CA1080D"/>
    <w:rsid w:val="4CA679AF"/>
    <w:rsid w:val="4CAE37E9"/>
    <w:rsid w:val="4CB701C3"/>
    <w:rsid w:val="4CB9218D"/>
    <w:rsid w:val="4CC052CA"/>
    <w:rsid w:val="4CC9018B"/>
    <w:rsid w:val="4CC95639"/>
    <w:rsid w:val="4CCB580D"/>
    <w:rsid w:val="4CD42380"/>
    <w:rsid w:val="4CD44391"/>
    <w:rsid w:val="4CD7310B"/>
    <w:rsid w:val="4CD742AB"/>
    <w:rsid w:val="4CDC2F1E"/>
    <w:rsid w:val="4CDD24A8"/>
    <w:rsid w:val="4CDF2CD7"/>
    <w:rsid w:val="4CE17311"/>
    <w:rsid w:val="4CF3744D"/>
    <w:rsid w:val="4D0C075F"/>
    <w:rsid w:val="4D0E00FB"/>
    <w:rsid w:val="4D0E6A50"/>
    <w:rsid w:val="4D111FCA"/>
    <w:rsid w:val="4D151D59"/>
    <w:rsid w:val="4D176606"/>
    <w:rsid w:val="4D18631B"/>
    <w:rsid w:val="4D186EB4"/>
    <w:rsid w:val="4D1A2C2C"/>
    <w:rsid w:val="4D1B039F"/>
    <w:rsid w:val="4D1C44AF"/>
    <w:rsid w:val="4D1D280B"/>
    <w:rsid w:val="4D213E5D"/>
    <w:rsid w:val="4D227D33"/>
    <w:rsid w:val="4D2C05D7"/>
    <w:rsid w:val="4D31441A"/>
    <w:rsid w:val="4D41465D"/>
    <w:rsid w:val="4D4473A7"/>
    <w:rsid w:val="4D447CA9"/>
    <w:rsid w:val="4D487DCD"/>
    <w:rsid w:val="4D4B7289"/>
    <w:rsid w:val="4D4D6CBC"/>
    <w:rsid w:val="4D502AF2"/>
    <w:rsid w:val="4D5123C6"/>
    <w:rsid w:val="4D56779B"/>
    <w:rsid w:val="4D616AAD"/>
    <w:rsid w:val="4D637B99"/>
    <w:rsid w:val="4D673998"/>
    <w:rsid w:val="4D682880"/>
    <w:rsid w:val="4D687810"/>
    <w:rsid w:val="4D694B42"/>
    <w:rsid w:val="4D706CF0"/>
    <w:rsid w:val="4D710D8B"/>
    <w:rsid w:val="4D7F33D7"/>
    <w:rsid w:val="4D825C2E"/>
    <w:rsid w:val="4D8C1342"/>
    <w:rsid w:val="4D8C451A"/>
    <w:rsid w:val="4D907392"/>
    <w:rsid w:val="4D9421CF"/>
    <w:rsid w:val="4D974DAD"/>
    <w:rsid w:val="4D9A5B1B"/>
    <w:rsid w:val="4DA652B9"/>
    <w:rsid w:val="4DA92202"/>
    <w:rsid w:val="4DAB1AD6"/>
    <w:rsid w:val="4DAE15C6"/>
    <w:rsid w:val="4DB44B0F"/>
    <w:rsid w:val="4DB52955"/>
    <w:rsid w:val="4DBA61BD"/>
    <w:rsid w:val="4DBC0187"/>
    <w:rsid w:val="4DBC2B9E"/>
    <w:rsid w:val="4DBF37C5"/>
    <w:rsid w:val="4DC27752"/>
    <w:rsid w:val="4DC4528E"/>
    <w:rsid w:val="4DCB3509"/>
    <w:rsid w:val="4DCE3A17"/>
    <w:rsid w:val="4DD3102D"/>
    <w:rsid w:val="4DD3727F"/>
    <w:rsid w:val="4DD42139"/>
    <w:rsid w:val="4DD63576"/>
    <w:rsid w:val="4DD86643"/>
    <w:rsid w:val="4DD97D0D"/>
    <w:rsid w:val="4DDA060D"/>
    <w:rsid w:val="4DDC4386"/>
    <w:rsid w:val="4DDD3C5A"/>
    <w:rsid w:val="4DDE00FE"/>
    <w:rsid w:val="4DDF5C24"/>
    <w:rsid w:val="4DE0142B"/>
    <w:rsid w:val="4DE31E8B"/>
    <w:rsid w:val="4DEB2042"/>
    <w:rsid w:val="4DEC4FB0"/>
    <w:rsid w:val="4DF176EF"/>
    <w:rsid w:val="4DF711BF"/>
    <w:rsid w:val="4DF87638"/>
    <w:rsid w:val="4DFC67D6"/>
    <w:rsid w:val="4DFE254E"/>
    <w:rsid w:val="4DFE2DC1"/>
    <w:rsid w:val="4E011EAD"/>
    <w:rsid w:val="4E023D7D"/>
    <w:rsid w:val="4E030D7C"/>
    <w:rsid w:val="4E047438"/>
    <w:rsid w:val="4E075D8A"/>
    <w:rsid w:val="4E092CA1"/>
    <w:rsid w:val="4E10266D"/>
    <w:rsid w:val="4E113084"/>
    <w:rsid w:val="4E121B55"/>
    <w:rsid w:val="4E173610"/>
    <w:rsid w:val="4E1A6C5C"/>
    <w:rsid w:val="4E1F63E2"/>
    <w:rsid w:val="4E223191"/>
    <w:rsid w:val="4E255DC4"/>
    <w:rsid w:val="4E273FA4"/>
    <w:rsid w:val="4E2B0E69"/>
    <w:rsid w:val="4E2D2E33"/>
    <w:rsid w:val="4E2D698F"/>
    <w:rsid w:val="4E2F0959"/>
    <w:rsid w:val="4E30647F"/>
    <w:rsid w:val="4E3B72FE"/>
    <w:rsid w:val="4E481A1B"/>
    <w:rsid w:val="4E4D6AFA"/>
    <w:rsid w:val="4E4D7A21"/>
    <w:rsid w:val="4E504AB6"/>
    <w:rsid w:val="4E5403C0"/>
    <w:rsid w:val="4E546612"/>
    <w:rsid w:val="4E57065E"/>
    <w:rsid w:val="4E572490"/>
    <w:rsid w:val="4E583145"/>
    <w:rsid w:val="4E5D33F6"/>
    <w:rsid w:val="4E6C5D89"/>
    <w:rsid w:val="4E6D3230"/>
    <w:rsid w:val="4E6D76D3"/>
    <w:rsid w:val="4E767275"/>
    <w:rsid w:val="4E775E5C"/>
    <w:rsid w:val="4E782283"/>
    <w:rsid w:val="4E797A6C"/>
    <w:rsid w:val="4E7B05CC"/>
    <w:rsid w:val="4E7B4F69"/>
    <w:rsid w:val="4E7E2098"/>
    <w:rsid w:val="4E820DE6"/>
    <w:rsid w:val="4E8324F5"/>
    <w:rsid w:val="4E834801"/>
    <w:rsid w:val="4E85007A"/>
    <w:rsid w:val="4E854A1D"/>
    <w:rsid w:val="4E875F36"/>
    <w:rsid w:val="4E881E17"/>
    <w:rsid w:val="4E8C3C8D"/>
    <w:rsid w:val="4E8D742E"/>
    <w:rsid w:val="4E8F13F8"/>
    <w:rsid w:val="4E8F764A"/>
    <w:rsid w:val="4EA76741"/>
    <w:rsid w:val="4EA801A6"/>
    <w:rsid w:val="4EA8070C"/>
    <w:rsid w:val="4EA84268"/>
    <w:rsid w:val="4EB04A3C"/>
    <w:rsid w:val="4EB04E9E"/>
    <w:rsid w:val="4EB4110F"/>
    <w:rsid w:val="4EBC339C"/>
    <w:rsid w:val="4EC00FAD"/>
    <w:rsid w:val="4EC05A55"/>
    <w:rsid w:val="4EC45545"/>
    <w:rsid w:val="4EC70356"/>
    <w:rsid w:val="4ECD0343"/>
    <w:rsid w:val="4ED11A10"/>
    <w:rsid w:val="4ED4505D"/>
    <w:rsid w:val="4ED519A8"/>
    <w:rsid w:val="4ED65279"/>
    <w:rsid w:val="4ED74DB7"/>
    <w:rsid w:val="4EDB451A"/>
    <w:rsid w:val="4EE355F9"/>
    <w:rsid w:val="4EE72BC0"/>
    <w:rsid w:val="4EEA6AE9"/>
    <w:rsid w:val="4EEC23CE"/>
    <w:rsid w:val="4EF13E61"/>
    <w:rsid w:val="4EF1459B"/>
    <w:rsid w:val="4EF179BD"/>
    <w:rsid w:val="4EF43951"/>
    <w:rsid w:val="4EFB4CDF"/>
    <w:rsid w:val="4EFF657E"/>
    <w:rsid w:val="4F021BCA"/>
    <w:rsid w:val="4F043148"/>
    <w:rsid w:val="4F097EF7"/>
    <w:rsid w:val="4F0B3174"/>
    <w:rsid w:val="4F0E056F"/>
    <w:rsid w:val="4F0F42E7"/>
    <w:rsid w:val="4F122BF0"/>
    <w:rsid w:val="4F1307BB"/>
    <w:rsid w:val="4F134D76"/>
    <w:rsid w:val="4F183057"/>
    <w:rsid w:val="4F1B1D20"/>
    <w:rsid w:val="4F204746"/>
    <w:rsid w:val="4F22226C"/>
    <w:rsid w:val="4F225C3D"/>
    <w:rsid w:val="4F253B0A"/>
    <w:rsid w:val="4F2C30EB"/>
    <w:rsid w:val="4F2E78B5"/>
    <w:rsid w:val="4F304989"/>
    <w:rsid w:val="4F33695C"/>
    <w:rsid w:val="4F343D4D"/>
    <w:rsid w:val="4F3B1580"/>
    <w:rsid w:val="4F411EB6"/>
    <w:rsid w:val="4F426A87"/>
    <w:rsid w:val="4F44241B"/>
    <w:rsid w:val="4F455F5A"/>
    <w:rsid w:val="4F474C91"/>
    <w:rsid w:val="4F477F24"/>
    <w:rsid w:val="4F49480A"/>
    <w:rsid w:val="4F4B17C3"/>
    <w:rsid w:val="4F4B5D83"/>
    <w:rsid w:val="4F4E47F1"/>
    <w:rsid w:val="4F4E4E0F"/>
    <w:rsid w:val="4F4E5697"/>
    <w:rsid w:val="4F511ABB"/>
    <w:rsid w:val="4F560168"/>
    <w:rsid w:val="4F5C0152"/>
    <w:rsid w:val="4F5F0D3C"/>
    <w:rsid w:val="4F624D5E"/>
    <w:rsid w:val="4F632D46"/>
    <w:rsid w:val="4F675ED1"/>
    <w:rsid w:val="4F6939F7"/>
    <w:rsid w:val="4F6A776F"/>
    <w:rsid w:val="4F6F0BB5"/>
    <w:rsid w:val="4F701229"/>
    <w:rsid w:val="4F7077B7"/>
    <w:rsid w:val="4F734876"/>
    <w:rsid w:val="4F77081E"/>
    <w:rsid w:val="4F7871A4"/>
    <w:rsid w:val="4F7B0E4F"/>
    <w:rsid w:val="4F7E1B48"/>
    <w:rsid w:val="4F85275A"/>
    <w:rsid w:val="4F860A4D"/>
    <w:rsid w:val="4F8735E3"/>
    <w:rsid w:val="4F8D2DF6"/>
    <w:rsid w:val="4F8E7901"/>
    <w:rsid w:val="4F9071D6"/>
    <w:rsid w:val="4F950C90"/>
    <w:rsid w:val="4F960564"/>
    <w:rsid w:val="4F9843DC"/>
    <w:rsid w:val="4F9B0FDE"/>
    <w:rsid w:val="4F9B5B7A"/>
    <w:rsid w:val="4F9D0BF8"/>
    <w:rsid w:val="4F9F566B"/>
    <w:rsid w:val="4FA233AD"/>
    <w:rsid w:val="4FA7313E"/>
    <w:rsid w:val="4FAD2488"/>
    <w:rsid w:val="4FB5434D"/>
    <w:rsid w:val="4FB86A79"/>
    <w:rsid w:val="4FB90B70"/>
    <w:rsid w:val="4FB94474"/>
    <w:rsid w:val="4FBE1DDD"/>
    <w:rsid w:val="4FC275AB"/>
    <w:rsid w:val="4FC62A8C"/>
    <w:rsid w:val="4FCB72A2"/>
    <w:rsid w:val="4FCC21D8"/>
    <w:rsid w:val="4FD277EE"/>
    <w:rsid w:val="4FD712A8"/>
    <w:rsid w:val="4FDB7693"/>
    <w:rsid w:val="4FE15AC3"/>
    <w:rsid w:val="4FE164AF"/>
    <w:rsid w:val="4FE20F0D"/>
    <w:rsid w:val="4FE35D07"/>
    <w:rsid w:val="4FE400A5"/>
    <w:rsid w:val="4FE44606"/>
    <w:rsid w:val="4FE51552"/>
    <w:rsid w:val="4FE6259D"/>
    <w:rsid w:val="4FE85264"/>
    <w:rsid w:val="4FED287A"/>
    <w:rsid w:val="4FEE214E"/>
    <w:rsid w:val="4FEE7F87"/>
    <w:rsid w:val="4FF20C57"/>
    <w:rsid w:val="50010670"/>
    <w:rsid w:val="500C3E41"/>
    <w:rsid w:val="500E53BA"/>
    <w:rsid w:val="50102AE1"/>
    <w:rsid w:val="50106933"/>
    <w:rsid w:val="5019482D"/>
    <w:rsid w:val="501E0EA8"/>
    <w:rsid w:val="501F70B7"/>
    <w:rsid w:val="50231209"/>
    <w:rsid w:val="502350D7"/>
    <w:rsid w:val="50250266"/>
    <w:rsid w:val="502B7A3C"/>
    <w:rsid w:val="50305E13"/>
    <w:rsid w:val="50324731"/>
    <w:rsid w:val="50344C85"/>
    <w:rsid w:val="50385456"/>
    <w:rsid w:val="503A35E5"/>
    <w:rsid w:val="50416722"/>
    <w:rsid w:val="50441182"/>
    <w:rsid w:val="50447FC0"/>
    <w:rsid w:val="50467F78"/>
    <w:rsid w:val="504B57F2"/>
    <w:rsid w:val="504C6460"/>
    <w:rsid w:val="504D3DB0"/>
    <w:rsid w:val="50504C4B"/>
    <w:rsid w:val="50535FA7"/>
    <w:rsid w:val="50590687"/>
    <w:rsid w:val="50595F65"/>
    <w:rsid w:val="505B3C87"/>
    <w:rsid w:val="50601B7A"/>
    <w:rsid w:val="50606FA4"/>
    <w:rsid w:val="50642410"/>
    <w:rsid w:val="506443DD"/>
    <w:rsid w:val="5068340A"/>
    <w:rsid w:val="506C27EE"/>
    <w:rsid w:val="506F7733"/>
    <w:rsid w:val="50724B2D"/>
    <w:rsid w:val="5076286F"/>
    <w:rsid w:val="50772144"/>
    <w:rsid w:val="507C1E50"/>
    <w:rsid w:val="507C3BFE"/>
    <w:rsid w:val="507E07D9"/>
    <w:rsid w:val="507E34D2"/>
    <w:rsid w:val="507E74F1"/>
    <w:rsid w:val="507E7A1A"/>
    <w:rsid w:val="50832EE6"/>
    <w:rsid w:val="508703E0"/>
    <w:rsid w:val="508D1E06"/>
    <w:rsid w:val="50964CC0"/>
    <w:rsid w:val="50974594"/>
    <w:rsid w:val="509B0528"/>
    <w:rsid w:val="509C6E7C"/>
    <w:rsid w:val="509D6459"/>
    <w:rsid w:val="509F5243"/>
    <w:rsid w:val="50A05B3E"/>
    <w:rsid w:val="50A849F3"/>
    <w:rsid w:val="50AD2009"/>
    <w:rsid w:val="50AF5D81"/>
    <w:rsid w:val="50B22743"/>
    <w:rsid w:val="50B25872"/>
    <w:rsid w:val="50B44F3D"/>
    <w:rsid w:val="50B45146"/>
    <w:rsid w:val="50BB2978"/>
    <w:rsid w:val="50C1703A"/>
    <w:rsid w:val="50C23A89"/>
    <w:rsid w:val="50C241B2"/>
    <w:rsid w:val="50C43052"/>
    <w:rsid w:val="50C555A5"/>
    <w:rsid w:val="50C71B37"/>
    <w:rsid w:val="50CA6717"/>
    <w:rsid w:val="50CE6CA3"/>
    <w:rsid w:val="50DA38A7"/>
    <w:rsid w:val="50DB0924"/>
    <w:rsid w:val="50DF155E"/>
    <w:rsid w:val="50E55444"/>
    <w:rsid w:val="50E57140"/>
    <w:rsid w:val="50E91662"/>
    <w:rsid w:val="50ED1E61"/>
    <w:rsid w:val="50F43794"/>
    <w:rsid w:val="50F54708"/>
    <w:rsid w:val="50F81776"/>
    <w:rsid w:val="50FB2D75"/>
    <w:rsid w:val="50FE130B"/>
    <w:rsid w:val="50FE5415"/>
    <w:rsid w:val="51002139"/>
    <w:rsid w:val="51031A0F"/>
    <w:rsid w:val="51053BF3"/>
    <w:rsid w:val="510541BF"/>
    <w:rsid w:val="510A120A"/>
    <w:rsid w:val="510A527D"/>
    <w:rsid w:val="510A745C"/>
    <w:rsid w:val="510B49FC"/>
    <w:rsid w:val="511300BE"/>
    <w:rsid w:val="51152DF3"/>
    <w:rsid w:val="511537EF"/>
    <w:rsid w:val="5119144D"/>
    <w:rsid w:val="511E0727"/>
    <w:rsid w:val="511E4CB5"/>
    <w:rsid w:val="511F2F07"/>
    <w:rsid w:val="51200A2D"/>
    <w:rsid w:val="512129C5"/>
    <w:rsid w:val="51234079"/>
    <w:rsid w:val="51281690"/>
    <w:rsid w:val="51284966"/>
    <w:rsid w:val="512A365A"/>
    <w:rsid w:val="51323F3D"/>
    <w:rsid w:val="51330C53"/>
    <w:rsid w:val="513314DF"/>
    <w:rsid w:val="51363665"/>
    <w:rsid w:val="51396EF1"/>
    <w:rsid w:val="513C5B68"/>
    <w:rsid w:val="51402E7D"/>
    <w:rsid w:val="5144296E"/>
    <w:rsid w:val="51496A57"/>
    <w:rsid w:val="514A5AAA"/>
    <w:rsid w:val="514C5440"/>
    <w:rsid w:val="515301FD"/>
    <w:rsid w:val="51532BB1"/>
    <w:rsid w:val="5153495F"/>
    <w:rsid w:val="5153670D"/>
    <w:rsid w:val="515516D9"/>
    <w:rsid w:val="515661FD"/>
    <w:rsid w:val="51621046"/>
    <w:rsid w:val="5162104E"/>
    <w:rsid w:val="51642065"/>
    <w:rsid w:val="516528E4"/>
    <w:rsid w:val="516600EB"/>
    <w:rsid w:val="51685394"/>
    <w:rsid w:val="516C77CE"/>
    <w:rsid w:val="5173549D"/>
    <w:rsid w:val="51753DA3"/>
    <w:rsid w:val="517843C5"/>
    <w:rsid w:val="5179781B"/>
    <w:rsid w:val="517E20C2"/>
    <w:rsid w:val="518A12B2"/>
    <w:rsid w:val="518A40F8"/>
    <w:rsid w:val="518A6DD5"/>
    <w:rsid w:val="518B66FF"/>
    <w:rsid w:val="51932EE3"/>
    <w:rsid w:val="51975651"/>
    <w:rsid w:val="51986815"/>
    <w:rsid w:val="51991503"/>
    <w:rsid w:val="519979B5"/>
    <w:rsid w:val="51A056CA"/>
    <w:rsid w:val="51A06FE5"/>
    <w:rsid w:val="51A27694"/>
    <w:rsid w:val="51A46F68"/>
    <w:rsid w:val="51A516E8"/>
    <w:rsid w:val="51A60F32"/>
    <w:rsid w:val="51AD2056"/>
    <w:rsid w:val="51AE6039"/>
    <w:rsid w:val="51B04EA4"/>
    <w:rsid w:val="51B65558"/>
    <w:rsid w:val="51B81CD2"/>
    <w:rsid w:val="51BB2504"/>
    <w:rsid w:val="51BC4751"/>
    <w:rsid w:val="51C12843"/>
    <w:rsid w:val="51C15A79"/>
    <w:rsid w:val="51C23892"/>
    <w:rsid w:val="51C25640"/>
    <w:rsid w:val="51C62686"/>
    <w:rsid w:val="51C8534D"/>
    <w:rsid w:val="51C92E73"/>
    <w:rsid w:val="51CC5C50"/>
    <w:rsid w:val="51CC7FFF"/>
    <w:rsid w:val="51D23892"/>
    <w:rsid w:val="51D57A6A"/>
    <w:rsid w:val="51D81308"/>
    <w:rsid w:val="51DD247A"/>
    <w:rsid w:val="51E02744"/>
    <w:rsid w:val="51E23F34"/>
    <w:rsid w:val="51E51DC0"/>
    <w:rsid w:val="51E57E7C"/>
    <w:rsid w:val="51E657D3"/>
    <w:rsid w:val="51E6698C"/>
    <w:rsid w:val="51EF7C55"/>
    <w:rsid w:val="51F31B58"/>
    <w:rsid w:val="51F31C9E"/>
    <w:rsid w:val="51F55A16"/>
    <w:rsid w:val="51FA77A2"/>
    <w:rsid w:val="51FD2B1C"/>
    <w:rsid w:val="51FE0D6E"/>
    <w:rsid w:val="51FE1665"/>
    <w:rsid w:val="51FF3026"/>
    <w:rsid w:val="51FF39AC"/>
    <w:rsid w:val="51FF4AE6"/>
    <w:rsid w:val="5201085F"/>
    <w:rsid w:val="52043EAB"/>
    <w:rsid w:val="520D0FB1"/>
    <w:rsid w:val="520E45D9"/>
    <w:rsid w:val="520F675D"/>
    <w:rsid w:val="521509ED"/>
    <w:rsid w:val="52174C68"/>
    <w:rsid w:val="521977B3"/>
    <w:rsid w:val="521A1920"/>
    <w:rsid w:val="521A2D60"/>
    <w:rsid w:val="521B25EC"/>
    <w:rsid w:val="521C11F4"/>
    <w:rsid w:val="52214A5D"/>
    <w:rsid w:val="52215985"/>
    <w:rsid w:val="52224F02"/>
    <w:rsid w:val="522272D4"/>
    <w:rsid w:val="522400A9"/>
    <w:rsid w:val="522A0590"/>
    <w:rsid w:val="522B55B9"/>
    <w:rsid w:val="522D26C1"/>
    <w:rsid w:val="522E2CD6"/>
    <w:rsid w:val="523302EC"/>
    <w:rsid w:val="523A1735"/>
    <w:rsid w:val="523A6D37"/>
    <w:rsid w:val="523C3645"/>
    <w:rsid w:val="523D71D3"/>
    <w:rsid w:val="523E7576"/>
    <w:rsid w:val="5244074B"/>
    <w:rsid w:val="524A3FB4"/>
    <w:rsid w:val="524D13AE"/>
    <w:rsid w:val="52554706"/>
    <w:rsid w:val="525E0C42"/>
    <w:rsid w:val="525E35BB"/>
    <w:rsid w:val="52657C81"/>
    <w:rsid w:val="526A01B2"/>
    <w:rsid w:val="526D1469"/>
    <w:rsid w:val="526D37FE"/>
    <w:rsid w:val="526F3904"/>
    <w:rsid w:val="52707CF3"/>
    <w:rsid w:val="52732D10"/>
    <w:rsid w:val="52734B8D"/>
    <w:rsid w:val="52754DA9"/>
    <w:rsid w:val="52756B57"/>
    <w:rsid w:val="527A1459"/>
    <w:rsid w:val="527A35A9"/>
    <w:rsid w:val="527B092D"/>
    <w:rsid w:val="527B3C67"/>
    <w:rsid w:val="527C7EE5"/>
    <w:rsid w:val="527E5A0B"/>
    <w:rsid w:val="52846D9A"/>
    <w:rsid w:val="52850300"/>
    <w:rsid w:val="5287044A"/>
    <w:rsid w:val="52884ADC"/>
    <w:rsid w:val="528936A7"/>
    <w:rsid w:val="529059B4"/>
    <w:rsid w:val="529169C4"/>
    <w:rsid w:val="529214B7"/>
    <w:rsid w:val="529365B0"/>
    <w:rsid w:val="529B60BF"/>
    <w:rsid w:val="529E7E5B"/>
    <w:rsid w:val="52A42543"/>
    <w:rsid w:val="52A42F98"/>
    <w:rsid w:val="52A9208C"/>
    <w:rsid w:val="52A95635"/>
    <w:rsid w:val="52AA2CA4"/>
    <w:rsid w:val="52AD5B3E"/>
    <w:rsid w:val="52AF4864"/>
    <w:rsid w:val="52B256B5"/>
    <w:rsid w:val="52B72BAA"/>
    <w:rsid w:val="52B768E9"/>
    <w:rsid w:val="52B96A43"/>
    <w:rsid w:val="52BE04FE"/>
    <w:rsid w:val="52C227D3"/>
    <w:rsid w:val="52C6305F"/>
    <w:rsid w:val="52C648B5"/>
    <w:rsid w:val="52C673B2"/>
    <w:rsid w:val="52C9193E"/>
    <w:rsid w:val="52CC1E87"/>
    <w:rsid w:val="52CC3150"/>
    <w:rsid w:val="52CD24EF"/>
    <w:rsid w:val="52CF270B"/>
    <w:rsid w:val="52D01FDF"/>
    <w:rsid w:val="52D1331E"/>
    <w:rsid w:val="52D226C9"/>
    <w:rsid w:val="52D23FA9"/>
    <w:rsid w:val="52D35079"/>
    <w:rsid w:val="52D45CB9"/>
    <w:rsid w:val="52DB2E5E"/>
    <w:rsid w:val="52DE792F"/>
    <w:rsid w:val="52E02222"/>
    <w:rsid w:val="52E64F13"/>
    <w:rsid w:val="52EA0E89"/>
    <w:rsid w:val="52EA12F3"/>
    <w:rsid w:val="52ED0DE3"/>
    <w:rsid w:val="52FA076C"/>
    <w:rsid w:val="52FA13CB"/>
    <w:rsid w:val="52FE08FA"/>
    <w:rsid w:val="5303259D"/>
    <w:rsid w:val="53035F10"/>
    <w:rsid w:val="53071EA5"/>
    <w:rsid w:val="530A54F1"/>
    <w:rsid w:val="530F0D59"/>
    <w:rsid w:val="530F48B5"/>
    <w:rsid w:val="5311494E"/>
    <w:rsid w:val="531243A6"/>
    <w:rsid w:val="5314011E"/>
    <w:rsid w:val="531445C2"/>
    <w:rsid w:val="53157440"/>
    <w:rsid w:val="53176647"/>
    <w:rsid w:val="53193986"/>
    <w:rsid w:val="531C5D16"/>
    <w:rsid w:val="531C6FD2"/>
    <w:rsid w:val="531F0669"/>
    <w:rsid w:val="53221BB5"/>
    <w:rsid w:val="5325057D"/>
    <w:rsid w:val="53261301"/>
    <w:rsid w:val="53264E60"/>
    <w:rsid w:val="532742F5"/>
    <w:rsid w:val="53277E51"/>
    <w:rsid w:val="53281FE3"/>
    <w:rsid w:val="5329428A"/>
    <w:rsid w:val="532E7431"/>
    <w:rsid w:val="532F4F57"/>
    <w:rsid w:val="533267F6"/>
    <w:rsid w:val="53346859"/>
    <w:rsid w:val="533662E6"/>
    <w:rsid w:val="533A1354"/>
    <w:rsid w:val="533B5700"/>
    <w:rsid w:val="53426A39"/>
    <w:rsid w:val="534327B1"/>
    <w:rsid w:val="5348162D"/>
    <w:rsid w:val="534E3333"/>
    <w:rsid w:val="534E6A44"/>
    <w:rsid w:val="534F27A6"/>
    <w:rsid w:val="534F6AD4"/>
    <w:rsid w:val="53542EF7"/>
    <w:rsid w:val="53582700"/>
    <w:rsid w:val="535B00CA"/>
    <w:rsid w:val="535B15B5"/>
    <w:rsid w:val="535B1DC0"/>
    <w:rsid w:val="535D7DC7"/>
    <w:rsid w:val="5362483F"/>
    <w:rsid w:val="53640A12"/>
    <w:rsid w:val="536A2433"/>
    <w:rsid w:val="536C1BE1"/>
    <w:rsid w:val="537266D0"/>
    <w:rsid w:val="53756B51"/>
    <w:rsid w:val="53760DD8"/>
    <w:rsid w:val="537F037D"/>
    <w:rsid w:val="538916F6"/>
    <w:rsid w:val="538A6632"/>
    <w:rsid w:val="538B3549"/>
    <w:rsid w:val="538C5F06"/>
    <w:rsid w:val="538D6363"/>
    <w:rsid w:val="538F119C"/>
    <w:rsid w:val="53933738"/>
    <w:rsid w:val="53963ED4"/>
    <w:rsid w:val="539B25ED"/>
    <w:rsid w:val="539B691C"/>
    <w:rsid w:val="539E34BC"/>
    <w:rsid w:val="53A039CC"/>
    <w:rsid w:val="53A1505A"/>
    <w:rsid w:val="53A16DA2"/>
    <w:rsid w:val="53A414A2"/>
    <w:rsid w:val="53A476F3"/>
    <w:rsid w:val="53AB4917"/>
    <w:rsid w:val="53AE40CE"/>
    <w:rsid w:val="53B10062"/>
    <w:rsid w:val="53B13BBE"/>
    <w:rsid w:val="53B147D5"/>
    <w:rsid w:val="53B60CFB"/>
    <w:rsid w:val="53B92A73"/>
    <w:rsid w:val="53BC2E44"/>
    <w:rsid w:val="53C042C7"/>
    <w:rsid w:val="53CB62C5"/>
    <w:rsid w:val="53CE4710"/>
    <w:rsid w:val="53CF1170"/>
    <w:rsid w:val="53D2020A"/>
    <w:rsid w:val="53DA1B29"/>
    <w:rsid w:val="53DF56E0"/>
    <w:rsid w:val="53E24813"/>
    <w:rsid w:val="53E36ED5"/>
    <w:rsid w:val="53E43F94"/>
    <w:rsid w:val="53E723A1"/>
    <w:rsid w:val="53E93358"/>
    <w:rsid w:val="53EB70D0"/>
    <w:rsid w:val="53EC5377"/>
    <w:rsid w:val="53F02939"/>
    <w:rsid w:val="53F63D75"/>
    <w:rsid w:val="53F73641"/>
    <w:rsid w:val="53F87A3F"/>
    <w:rsid w:val="53FD1061"/>
    <w:rsid w:val="53FD18ED"/>
    <w:rsid w:val="53FE6713"/>
    <w:rsid w:val="540003C4"/>
    <w:rsid w:val="54063C0A"/>
    <w:rsid w:val="54063E08"/>
    <w:rsid w:val="54092895"/>
    <w:rsid w:val="540D6E22"/>
    <w:rsid w:val="540E7263"/>
    <w:rsid w:val="54120B01"/>
    <w:rsid w:val="541A1764"/>
    <w:rsid w:val="542425E2"/>
    <w:rsid w:val="5425746C"/>
    <w:rsid w:val="542E15BD"/>
    <w:rsid w:val="542E3461"/>
    <w:rsid w:val="5432083C"/>
    <w:rsid w:val="54332825"/>
    <w:rsid w:val="543437E8"/>
    <w:rsid w:val="54387E3C"/>
    <w:rsid w:val="543A0058"/>
    <w:rsid w:val="543D3634"/>
    <w:rsid w:val="543F01E9"/>
    <w:rsid w:val="543F2CCA"/>
    <w:rsid w:val="543F566E"/>
    <w:rsid w:val="54484523"/>
    <w:rsid w:val="544B5DC1"/>
    <w:rsid w:val="544D38E7"/>
    <w:rsid w:val="54505185"/>
    <w:rsid w:val="54534C76"/>
    <w:rsid w:val="545401D7"/>
    <w:rsid w:val="5455279C"/>
    <w:rsid w:val="545A6004"/>
    <w:rsid w:val="546107B2"/>
    <w:rsid w:val="54617806"/>
    <w:rsid w:val="546D5D37"/>
    <w:rsid w:val="546D5E73"/>
    <w:rsid w:val="54717DB0"/>
    <w:rsid w:val="54722357"/>
    <w:rsid w:val="54752E3E"/>
    <w:rsid w:val="5477719C"/>
    <w:rsid w:val="54833C29"/>
    <w:rsid w:val="548F18D8"/>
    <w:rsid w:val="54931516"/>
    <w:rsid w:val="549412E0"/>
    <w:rsid w:val="5495528E"/>
    <w:rsid w:val="549635BC"/>
    <w:rsid w:val="5496538F"/>
    <w:rsid w:val="549A237A"/>
    <w:rsid w:val="549B7BCF"/>
    <w:rsid w:val="549C14A5"/>
    <w:rsid w:val="54A05B30"/>
    <w:rsid w:val="54A15C61"/>
    <w:rsid w:val="54A44DCE"/>
    <w:rsid w:val="54A84FC1"/>
    <w:rsid w:val="54AB6860"/>
    <w:rsid w:val="54AE1781"/>
    <w:rsid w:val="54AF6CE5"/>
    <w:rsid w:val="54B73456"/>
    <w:rsid w:val="54B75204"/>
    <w:rsid w:val="54BC3E63"/>
    <w:rsid w:val="54C06D35"/>
    <w:rsid w:val="54C341E7"/>
    <w:rsid w:val="54C55B73"/>
    <w:rsid w:val="54C57690"/>
    <w:rsid w:val="54CD01F1"/>
    <w:rsid w:val="54CE3AE0"/>
    <w:rsid w:val="54D04518"/>
    <w:rsid w:val="54D42249"/>
    <w:rsid w:val="54D47B64"/>
    <w:rsid w:val="54D55F7F"/>
    <w:rsid w:val="54D6414E"/>
    <w:rsid w:val="54D81E61"/>
    <w:rsid w:val="54DB4AA8"/>
    <w:rsid w:val="54DB5397"/>
    <w:rsid w:val="54E30FE8"/>
    <w:rsid w:val="54E3424B"/>
    <w:rsid w:val="54E67898"/>
    <w:rsid w:val="54F13898"/>
    <w:rsid w:val="54F3007C"/>
    <w:rsid w:val="54F73313"/>
    <w:rsid w:val="54F80955"/>
    <w:rsid w:val="54FD0B14"/>
    <w:rsid w:val="5504431A"/>
    <w:rsid w:val="550F3292"/>
    <w:rsid w:val="55102B67"/>
    <w:rsid w:val="551663CF"/>
    <w:rsid w:val="551C150B"/>
    <w:rsid w:val="551E34D6"/>
    <w:rsid w:val="551E6EF7"/>
    <w:rsid w:val="552521E6"/>
    <w:rsid w:val="552635CF"/>
    <w:rsid w:val="552A00CC"/>
    <w:rsid w:val="552B5EC2"/>
    <w:rsid w:val="55304730"/>
    <w:rsid w:val="5531145B"/>
    <w:rsid w:val="55314FB7"/>
    <w:rsid w:val="553920BD"/>
    <w:rsid w:val="553C395C"/>
    <w:rsid w:val="55405E9D"/>
    <w:rsid w:val="554747DA"/>
    <w:rsid w:val="55480552"/>
    <w:rsid w:val="554A7153"/>
    <w:rsid w:val="554F0976"/>
    <w:rsid w:val="55501939"/>
    <w:rsid w:val="55502CC8"/>
    <w:rsid w:val="555170A7"/>
    <w:rsid w:val="55522C78"/>
    <w:rsid w:val="5552317F"/>
    <w:rsid w:val="5552621F"/>
    <w:rsid w:val="555775BD"/>
    <w:rsid w:val="555962BC"/>
    <w:rsid w:val="55597041"/>
    <w:rsid w:val="555A35CD"/>
    <w:rsid w:val="555B0286"/>
    <w:rsid w:val="55620F4E"/>
    <w:rsid w:val="55625AAF"/>
    <w:rsid w:val="55625E72"/>
    <w:rsid w:val="55626334"/>
    <w:rsid w:val="556757E9"/>
    <w:rsid w:val="55693B2F"/>
    <w:rsid w:val="556C5FEF"/>
    <w:rsid w:val="556D0389"/>
    <w:rsid w:val="556F5ADF"/>
    <w:rsid w:val="55704AE4"/>
    <w:rsid w:val="55745232"/>
    <w:rsid w:val="55747599"/>
    <w:rsid w:val="557578F0"/>
    <w:rsid w:val="55794FCC"/>
    <w:rsid w:val="5579695E"/>
    <w:rsid w:val="557B0928"/>
    <w:rsid w:val="557E4179"/>
    <w:rsid w:val="557E7519"/>
    <w:rsid w:val="55821CB6"/>
    <w:rsid w:val="55825812"/>
    <w:rsid w:val="5587536D"/>
    <w:rsid w:val="558A2919"/>
    <w:rsid w:val="558C5F61"/>
    <w:rsid w:val="558F51D8"/>
    <w:rsid w:val="559317CE"/>
    <w:rsid w:val="55983288"/>
    <w:rsid w:val="559B0682"/>
    <w:rsid w:val="559B174B"/>
    <w:rsid w:val="559D36D0"/>
    <w:rsid w:val="559E6F69"/>
    <w:rsid w:val="55A734CB"/>
    <w:rsid w:val="55A82D9F"/>
    <w:rsid w:val="55A82F7C"/>
    <w:rsid w:val="55A832F9"/>
    <w:rsid w:val="55B35998"/>
    <w:rsid w:val="55B55E76"/>
    <w:rsid w:val="55BB6F76"/>
    <w:rsid w:val="55BD684B"/>
    <w:rsid w:val="55C24782"/>
    <w:rsid w:val="55C73B98"/>
    <w:rsid w:val="55CC2F32"/>
    <w:rsid w:val="55CE0CF4"/>
    <w:rsid w:val="55CE6B45"/>
    <w:rsid w:val="55D0304D"/>
    <w:rsid w:val="55D36AF2"/>
    <w:rsid w:val="55E05B5F"/>
    <w:rsid w:val="55ED6F99"/>
    <w:rsid w:val="55F3226C"/>
    <w:rsid w:val="55F34962"/>
    <w:rsid w:val="55F52488"/>
    <w:rsid w:val="55FD5717"/>
    <w:rsid w:val="55FF651E"/>
    <w:rsid w:val="56004989"/>
    <w:rsid w:val="56051FA0"/>
    <w:rsid w:val="560652D9"/>
    <w:rsid w:val="560C09B4"/>
    <w:rsid w:val="560E65EB"/>
    <w:rsid w:val="560F068E"/>
    <w:rsid w:val="56104591"/>
    <w:rsid w:val="561072C2"/>
    <w:rsid w:val="56116034"/>
    <w:rsid w:val="5612303A"/>
    <w:rsid w:val="561346BC"/>
    <w:rsid w:val="56170651"/>
    <w:rsid w:val="561A1EEF"/>
    <w:rsid w:val="561D3076"/>
    <w:rsid w:val="56204D1B"/>
    <w:rsid w:val="562118B8"/>
    <w:rsid w:val="56290384"/>
    <w:rsid w:val="562C1C22"/>
    <w:rsid w:val="562C577E"/>
    <w:rsid w:val="562E599A"/>
    <w:rsid w:val="56304ED7"/>
    <w:rsid w:val="56332FB1"/>
    <w:rsid w:val="56334758"/>
    <w:rsid w:val="56336B0D"/>
    <w:rsid w:val="563652C7"/>
    <w:rsid w:val="56385F3D"/>
    <w:rsid w:val="563C1E65"/>
    <w:rsid w:val="56446F6C"/>
    <w:rsid w:val="564623E3"/>
    <w:rsid w:val="564725D1"/>
    <w:rsid w:val="564E1B99"/>
    <w:rsid w:val="565511F0"/>
    <w:rsid w:val="56574EF1"/>
    <w:rsid w:val="56574F8F"/>
    <w:rsid w:val="565C42B5"/>
    <w:rsid w:val="565D1DDC"/>
    <w:rsid w:val="56606C96"/>
    <w:rsid w:val="566118CC"/>
    <w:rsid w:val="566E6F36"/>
    <w:rsid w:val="56725D1F"/>
    <w:rsid w:val="567D7EB1"/>
    <w:rsid w:val="56815ACA"/>
    <w:rsid w:val="568455BA"/>
    <w:rsid w:val="5684570E"/>
    <w:rsid w:val="568630E0"/>
    <w:rsid w:val="568832FC"/>
    <w:rsid w:val="56893E7C"/>
    <w:rsid w:val="568A7075"/>
    <w:rsid w:val="568C0006"/>
    <w:rsid w:val="5692527D"/>
    <w:rsid w:val="569362AA"/>
    <w:rsid w:val="56981066"/>
    <w:rsid w:val="569918A5"/>
    <w:rsid w:val="569F23F4"/>
    <w:rsid w:val="56A60E36"/>
    <w:rsid w:val="56A82357"/>
    <w:rsid w:val="56A92F83"/>
    <w:rsid w:val="56AB750C"/>
    <w:rsid w:val="56B04601"/>
    <w:rsid w:val="56B22A9C"/>
    <w:rsid w:val="56B5345E"/>
    <w:rsid w:val="56BA2B9C"/>
    <w:rsid w:val="56BC4D54"/>
    <w:rsid w:val="56BD287A"/>
    <w:rsid w:val="56BD6EC2"/>
    <w:rsid w:val="56C3571A"/>
    <w:rsid w:val="56C447B8"/>
    <w:rsid w:val="56C46BA9"/>
    <w:rsid w:val="56C65BD3"/>
    <w:rsid w:val="56CD51B3"/>
    <w:rsid w:val="56D007FF"/>
    <w:rsid w:val="56D3300B"/>
    <w:rsid w:val="56D402F0"/>
    <w:rsid w:val="56D71B8E"/>
    <w:rsid w:val="56D7393C"/>
    <w:rsid w:val="56D74141"/>
    <w:rsid w:val="56E1129E"/>
    <w:rsid w:val="56E524FD"/>
    <w:rsid w:val="56E542AB"/>
    <w:rsid w:val="56E66275"/>
    <w:rsid w:val="56E77C13"/>
    <w:rsid w:val="56E801F8"/>
    <w:rsid w:val="56EA18C1"/>
    <w:rsid w:val="56EA51DF"/>
    <w:rsid w:val="56F253A6"/>
    <w:rsid w:val="56F91B04"/>
    <w:rsid w:val="56FD4E50"/>
    <w:rsid w:val="56FE536D"/>
    <w:rsid w:val="570034B8"/>
    <w:rsid w:val="57032983"/>
    <w:rsid w:val="5705494D"/>
    <w:rsid w:val="57055C0C"/>
    <w:rsid w:val="57056A69"/>
    <w:rsid w:val="57087F99"/>
    <w:rsid w:val="570A1F63"/>
    <w:rsid w:val="570C797E"/>
    <w:rsid w:val="570D7DF1"/>
    <w:rsid w:val="57122BC6"/>
    <w:rsid w:val="57147D3A"/>
    <w:rsid w:val="57160908"/>
    <w:rsid w:val="571B458E"/>
    <w:rsid w:val="571B5F1F"/>
    <w:rsid w:val="571D203E"/>
    <w:rsid w:val="5722071C"/>
    <w:rsid w:val="572A6162"/>
    <w:rsid w:val="572B1EDA"/>
    <w:rsid w:val="572D0081"/>
    <w:rsid w:val="572E39BC"/>
    <w:rsid w:val="572E44F8"/>
    <w:rsid w:val="572F7119"/>
    <w:rsid w:val="573649E8"/>
    <w:rsid w:val="5737262D"/>
    <w:rsid w:val="573A6470"/>
    <w:rsid w:val="573E7E5F"/>
    <w:rsid w:val="57401AE5"/>
    <w:rsid w:val="574134AB"/>
    <w:rsid w:val="57437223"/>
    <w:rsid w:val="57491B08"/>
    <w:rsid w:val="57551D38"/>
    <w:rsid w:val="575651A9"/>
    <w:rsid w:val="575907F5"/>
    <w:rsid w:val="575D2CAA"/>
    <w:rsid w:val="57680A38"/>
    <w:rsid w:val="57686C8A"/>
    <w:rsid w:val="576B029A"/>
    <w:rsid w:val="576F457F"/>
    <w:rsid w:val="57713D91"/>
    <w:rsid w:val="577218B7"/>
    <w:rsid w:val="57727B09"/>
    <w:rsid w:val="57743881"/>
    <w:rsid w:val="5774783B"/>
    <w:rsid w:val="577C4928"/>
    <w:rsid w:val="57835EA0"/>
    <w:rsid w:val="57842AAA"/>
    <w:rsid w:val="57882E88"/>
    <w:rsid w:val="57895EA2"/>
    <w:rsid w:val="578A4E52"/>
    <w:rsid w:val="578A5552"/>
    <w:rsid w:val="578C0BCA"/>
    <w:rsid w:val="578F2C5B"/>
    <w:rsid w:val="57911D3D"/>
    <w:rsid w:val="57A001D2"/>
    <w:rsid w:val="57A37CC2"/>
    <w:rsid w:val="57A43BA4"/>
    <w:rsid w:val="57A9177C"/>
    <w:rsid w:val="57AB7FB2"/>
    <w:rsid w:val="57AE6D93"/>
    <w:rsid w:val="57B06764"/>
    <w:rsid w:val="57B36157"/>
    <w:rsid w:val="57B43C7D"/>
    <w:rsid w:val="57B63E99"/>
    <w:rsid w:val="57B72A76"/>
    <w:rsid w:val="57B7680D"/>
    <w:rsid w:val="57B819BF"/>
    <w:rsid w:val="57B974E6"/>
    <w:rsid w:val="57BB14B0"/>
    <w:rsid w:val="57C02622"/>
    <w:rsid w:val="57C3426C"/>
    <w:rsid w:val="57C36C71"/>
    <w:rsid w:val="57CC4D78"/>
    <w:rsid w:val="57CE1F93"/>
    <w:rsid w:val="57D23E73"/>
    <w:rsid w:val="57D461E9"/>
    <w:rsid w:val="57D56698"/>
    <w:rsid w:val="57D936E4"/>
    <w:rsid w:val="57DB2BDC"/>
    <w:rsid w:val="57DF16EA"/>
    <w:rsid w:val="57E068EB"/>
    <w:rsid w:val="57E207EA"/>
    <w:rsid w:val="57E24933"/>
    <w:rsid w:val="57E40F1C"/>
    <w:rsid w:val="57E64479"/>
    <w:rsid w:val="57E91B79"/>
    <w:rsid w:val="57E9601D"/>
    <w:rsid w:val="57EA3B43"/>
    <w:rsid w:val="57EE10A0"/>
    <w:rsid w:val="57EE371D"/>
    <w:rsid w:val="57EF6734"/>
    <w:rsid w:val="57F549C2"/>
    <w:rsid w:val="57F71A4D"/>
    <w:rsid w:val="57FA613D"/>
    <w:rsid w:val="57FF139C"/>
    <w:rsid w:val="58014D75"/>
    <w:rsid w:val="580249E9"/>
    <w:rsid w:val="58047FBA"/>
    <w:rsid w:val="58093FC9"/>
    <w:rsid w:val="580C3AB9"/>
    <w:rsid w:val="58131BA0"/>
    <w:rsid w:val="581A6562"/>
    <w:rsid w:val="5829466B"/>
    <w:rsid w:val="582E3A30"/>
    <w:rsid w:val="582F2617"/>
    <w:rsid w:val="583152CE"/>
    <w:rsid w:val="58344811"/>
    <w:rsid w:val="584347F3"/>
    <w:rsid w:val="58444517"/>
    <w:rsid w:val="58492617"/>
    <w:rsid w:val="58494CB8"/>
    <w:rsid w:val="584B2834"/>
    <w:rsid w:val="584E700C"/>
    <w:rsid w:val="584F41FB"/>
    <w:rsid w:val="584F7FD5"/>
    <w:rsid w:val="58532F19"/>
    <w:rsid w:val="58536781"/>
    <w:rsid w:val="585B64A7"/>
    <w:rsid w:val="58670A27"/>
    <w:rsid w:val="58684FDF"/>
    <w:rsid w:val="586B2F29"/>
    <w:rsid w:val="586C27AA"/>
    <w:rsid w:val="586C4558"/>
    <w:rsid w:val="586F57B2"/>
    <w:rsid w:val="5873077E"/>
    <w:rsid w:val="587C29ED"/>
    <w:rsid w:val="587D0513"/>
    <w:rsid w:val="587E15D2"/>
    <w:rsid w:val="58803ECD"/>
    <w:rsid w:val="58831FCD"/>
    <w:rsid w:val="588418A2"/>
    <w:rsid w:val="58845CAD"/>
    <w:rsid w:val="588562D9"/>
    <w:rsid w:val="588743D1"/>
    <w:rsid w:val="588754C2"/>
    <w:rsid w:val="5887701A"/>
    <w:rsid w:val="588A29CF"/>
    <w:rsid w:val="588E1176"/>
    <w:rsid w:val="588F6C5E"/>
    <w:rsid w:val="589A5BD3"/>
    <w:rsid w:val="589A7317"/>
    <w:rsid w:val="589F492D"/>
    <w:rsid w:val="58A40196"/>
    <w:rsid w:val="58A43CF2"/>
    <w:rsid w:val="58A55FF9"/>
    <w:rsid w:val="58A7646A"/>
    <w:rsid w:val="58B242BD"/>
    <w:rsid w:val="58BA250B"/>
    <w:rsid w:val="58BA3515"/>
    <w:rsid w:val="58BC54DF"/>
    <w:rsid w:val="58BC728D"/>
    <w:rsid w:val="58BD036A"/>
    <w:rsid w:val="58BD2EA3"/>
    <w:rsid w:val="58C22DDC"/>
    <w:rsid w:val="58C44394"/>
    <w:rsid w:val="58CF1278"/>
    <w:rsid w:val="58CF6EE0"/>
    <w:rsid w:val="58D2260D"/>
    <w:rsid w:val="58D25E50"/>
    <w:rsid w:val="58D520FD"/>
    <w:rsid w:val="58D5317F"/>
    <w:rsid w:val="58D93F53"/>
    <w:rsid w:val="58DD2BB5"/>
    <w:rsid w:val="58DF11CE"/>
    <w:rsid w:val="58E6430A"/>
    <w:rsid w:val="58E93DFA"/>
    <w:rsid w:val="58EE299B"/>
    <w:rsid w:val="58EF6556"/>
    <w:rsid w:val="58F44D03"/>
    <w:rsid w:val="58F53F29"/>
    <w:rsid w:val="58F6590D"/>
    <w:rsid w:val="58F73B11"/>
    <w:rsid w:val="58F92290"/>
    <w:rsid w:val="58FE78A6"/>
    <w:rsid w:val="590020C0"/>
    <w:rsid w:val="59034EBC"/>
    <w:rsid w:val="590B1FC3"/>
    <w:rsid w:val="590D7AE9"/>
    <w:rsid w:val="590F51D9"/>
    <w:rsid w:val="59105CBF"/>
    <w:rsid w:val="59123351"/>
    <w:rsid w:val="59140E77"/>
    <w:rsid w:val="591B0458"/>
    <w:rsid w:val="591C5F7E"/>
    <w:rsid w:val="591F4074"/>
    <w:rsid w:val="59215342"/>
    <w:rsid w:val="592317A7"/>
    <w:rsid w:val="59263C80"/>
    <w:rsid w:val="59265482"/>
    <w:rsid w:val="59275DC1"/>
    <w:rsid w:val="59330810"/>
    <w:rsid w:val="59347A42"/>
    <w:rsid w:val="593527AD"/>
    <w:rsid w:val="593545D7"/>
    <w:rsid w:val="593802BC"/>
    <w:rsid w:val="593F3A1A"/>
    <w:rsid w:val="59410A5C"/>
    <w:rsid w:val="59446A2B"/>
    <w:rsid w:val="594571DD"/>
    <w:rsid w:val="5946158C"/>
    <w:rsid w:val="594949CA"/>
    <w:rsid w:val="594A613B"/>
    <w:rsid w:val="594C6FBE"/>
    <w:rsid w:val="59513E7A"/>
    <w:rsid w:val="5952374E"/>
    <w:rsid w:val="595B5339"/>
    <w:rsid w:val="595C281E"/>
    <w:rsid w:val="595C637A"/>
    <w:rsid w:val="59617B7F"/>
    <w:rsid w:val="5963595B"/>
    <w:rsid w:val="5966366C"/>
    <w:rsid w:val="5968486A"/>
    <w:rsid w:val="596A4F3B"/>
    <w:rsid w:val="596A6CE9"/>
    <w:rsid w:val="596B480F"/>
    <w:rsid w:val="597013FA"/>
    <w:rsid w:val="59801327"/>
    <w:rsid w:val="59873766"/>
    <w:rsid w:val="59883613"/>
    <w:rsid w:val="5988758C"/>
    <w:rsid w:val="598C2171"/>
    <w:rsid w:val="598F4BC6"/>
    <w:rsid w:val="59931639"/>
    <w:rsid w:val="59995821"/>
    <w:rsid w:val="59995F2C"/>
    <w:rsid w:val="599975CF"/>
    <w:rsid w:val="599B6EA3"/>
    <w:rsid w:val="59A46516"/>
    <w:rsid w:val="59A753F0"/>
    <w:rsid w:val="59A85A64"/>
    <w:rsid w:val="59AC7302"/>
    <w:rsid w:val="59B166C6"/>
    <w:rsid w:val="59B213F1"/>
    <w:rsid w:val="59B2243E"/>
    <w:rsid w:val="59B46BC3"/>
    <w:rsid w:val="59B47F65"/>
    <w:rsid w:val="59B5219E"/>
    <w:rsid w:val="59B60656"/>
    <w:rsid w:val="59B937CD"/>
    <w:rsid w:val="59BA0AD2"/>
    <w:rsid w:val="59BD5D28"/>
    <w:rsid w:val="59BF4640"/>
    <w:rsid w:val="59C0439F"/>
    <w:rsid w:val="59C161D3"/>
    <w:rsid w:val="59C339B2"/>
    <w:rsid w:val="59C3464B"/>
    <w:rsid w:val="59C42670"/>
    <w:rsid w:val="59CB0E53"/>
    <w:rsid w:val="59CC52AE"/>
    <w:rsid w:val="59CF1242"/>
    <w:rsid w:val="59D34263"/>
    <w:rsid w:val="59D3729F"/>
    <w:rsid w:val="59D46859"/>
    <w:rsid w:val="59D6612D"/>
    <w:rsid w:val="59D93E6F"/>
    <w:rsid w:val="59DB524A"/>
    <w:rsid w:val="59DD395F"/>
    <w:rsid w:val="59DF2ACE"/>
    <w:rsid w:val="59DF35B8"/>
    <w:rsid w:val="59E0386E"/>
    <w:rsid w:val="59E21AF1"/>
    <w:rsid w:val="59E44536"/>
    <w:rsid w:val="59E44E97"/>
    <w:rsid w:val="59E66D7E"/>
    <w:rsid w:val="59E85E60"/>
    <w:rsid w:val="59EC76FE"/>
    <w:rsid w:val="59EF7413"/>
    <w:rsid w:val="59F0143D"/>
    <w:rsid w:val="59F326D6"/>
    <w:rsid w:val="59F44805"/>
    <w:rsid w:val="59F45DB1"/>
    <w:rsid w:val="59F52996"/>
    <w:rsid w:val="59F53D75"/>
    <w:rsid w:val="59F91E1B"/>
    <w:rsid w:val="5A025174"/>
    <w:rsid w:val="5A05147C"/>
    <w:rsid w:val="5A094754"/>
    <w:rsid w:val="5A0B2C4A"/>
    <w:rsid w:val="5A14201D"/>
    <w:rsid w:val="5A1671C8"/>
    <w:rsid w:val="5A184997"/>
    <w:rsid w:val="5A1E5DD4"/>
    <w:rsid w:val="5A1E7E54"/>
    <w:rsid w:val="5A1F5D26"/>
    <w:rsid w:val="5A225816"/>
    <w:rsid w:val="5A280BE4"/>
    <w:rsid w:val="5A2C05A6"/>
    <w:rsid w:val="5A2C3F9F"/>
    <w:rsid w:val="5A2F4F1B"/>
    <w:rsid w:val="5A3115B5"/>
    <w:rsid w:val="5A336A72"/>
    <w:rsid w:val="5A37717F"/>
    <w:rsid w:val="5A3D4EB0"/>
    <w:rsid w:val="5A402DA1"/>
    <w:rsid w:val="5A425B58"/>
    <w:rsid w:val="5A430BF4"/>
    <w:rsid w:val="5A494B51"/>
    <w:rsid w:val="5A511C57"/>
    <w:rsid w:val="5A521067"/>
    <w:rsid w:val="5A5534F6"/>
    <w:rsid w:val="5A5A147A"/>
    <w:rsid w:val="5A5A4FB0"/>
    <w:rsid w:val="5A5A6B0D"/>
    <w:rsid w:val="5A5B4884"/>
    <w:rsid w:val="5A5D05FC"/>
    <w:rsid w:val="5A6202C7"/>
    <w:rsid w:val="5A6B26EF"/>
    <w:rsid w:val="5A6E2809"/>
    <w:rsid w:val="5A6F6D69"/>
    <w:rsid w:val="5A707B20"/>
    <w:rsid w:val="5A7476F4"/>
    <w:rsid w:val="5A7C4229"/>
    <w:rsid w:val="5A7D47FA"/>
    <w:rsid w:val="5A820063"/>
    <w:rsid w:val="5A834340"/>
    <w:rsid w:val="5A8557D0"/>
    <w:rsid w:val="5A897643"/>
    <w:rsid w:val="5A8A3F4F"/>
    <w:rsid w:val="5A8C2C8F"/>
    <w:rsid w:val="5A90452E"/>
    <w:rsid w:val="5A925D1E"/>
    <w:rsid w:val="5A946C3E"/>
    <w:rsid w:val="5A987886"/>
    <w:rsid w:val="5A9B1124"/>
    <w:rsid w:val="5A9D30EE"/>
    <w:rsid w:val="5AA1673B"/>
    <w:rsid w:val="5AA224B3"/>
    <w:rsid w:val="5AA25F8B"/>
    <w:rsid w:val="5AA35846"/>
    <w:rsid w:val="5AA4447D"/>
    <w:rsid w:val="5AA4622B"/>
    <w:rsid w:val="5AAC50E0"/>
    <w:rsid w:val="5AAD1584"/>
    <w:rsid w:val="5AB04C3D"/>
    <w:rsid w:val="5AB1199F"/>
    <w:rsid w:val="5AB37C75"/>
    <w:rsid w:val="5ABE2233"/>
    <w:rsid w:val="5AC57E95"/>
    <w:rsid w:val="5AC643F3"/>
    <w:rsid w:val="5ACC28C2"/>
    <w:rsid w:val="5ACC6125"/>
    <w:rsid w:val="5ACD10FB"/>
    <w:rsid w:val="5AD84127"/>
    <w:rsid w:val="5ADF3707"/>
    <w:rsid w:val="5ADF7263"/>
    <w:rsid w:val="5AE002BF"/>
    <w:rsid w:val="5AE852A2"/>
    <w:rsid w:val="5AEA294D"/>
    <w:rsid w:val="5AEB6814"/>
    <w:rsid w:val="5AEB7F90"/>
    <w:rsid w:val="5AED1980"/>
    <w:rsid w:val="5AED7BD2"/>
    <w:rsid w:val="5AEE394A"/>
    <w:rsid w:val="5AF531CA"/>
    <w:rsid w:val="5AF812E0"/>
    <w:rsid w:val="5B01367D"/>
    <w:rsid w:val="5B0538E4"/>
    <w:rsid w:val="5B0841A7"/>
    <w:rsid w:val="5B0B1E06"/>
    <w:rsid w:val="5B0D5B7E"/>
    <w:rsid w:val="5B0D7A97"/>
    <w:rsid w:val="5B0E5771"/>
    <w:rsid w:val="5B152C85"/>
    <w:rsid w:val="5B153172"/>
    <w:rsid w:val="5B174C4F"/>
    <w:rsid w:val="5B1A281A"/>
    <w:rsid w:val="5B1D5AB0"/>
    <w:rsid w:val="5B1F670B"/>
    <w:rsid w:val="5B21162A"/>
    <w:rsid w:val="5B222824"/>
    <w:rsid w:val="5B262DEE"/>
    <w:rsid w:val="5B2630E4"/>
    <w:rsid w:val="5B2D08EC"/>
    <w:rsid w:val="5B2D6220"/>
    <w:rsid w:val="5B2F1D51"/>
    <w:rsid w:val="5B2F1F99"/>
    <w:rsid w:val="5B2F6DB0"/>
    <w:rsid w:val="5B321A89"/>
    <w:rsid w:val="5B341957"/>
    <w:rsid w:val="5B3C2907"/>
    <w:rsid w:val="5B411CCC"/>
    <w:rsid w:val="5B413B37"/>
    <w:rsid w:val="5B436C0A"/>
    <w:rsid w:val="5B491C80"/>
    <w:rsid w:val="5B4B2B4A"/>
    <w:rsid w:val="5B4E7E5B"/>
    <w:rsid w:val="5B527A35"/>
    <w:rsid w:val="5B5F03A4"/>
    <w:rsid w:val="5B6065F6"/>
    <w:rsid w:val="5B6B0AF7"/>
    <w:rsid w:val="5B6B4F9B"/>
    <w:rsid w:val="5B6D6AB9"/>
    <w:rsid w:val="5B6D6F97"/>
    <w:rsid w:val="5B750EEC"/>
    <w:rsid w:val="5B751975"/>
    <w:rsid w:val="5B7B5478"/>
    <w:rsid w:val="5B7C6858"/>
    <w:rsid w:val="5B834092"/>
    <w:rsid w:val="5B8665EB"/>
    <w:rsid w:val="5B89775C"/>
    <w:rsid w:val="5B8A5421"/>
    <w:rsid w:val="5B8B41DA"/>
    <w:rsid w:val="5B8F0C89"/>
    <w:rsid w:val="5B90055D"/>
    <w:rsid w:val="5B9372B8"/>
    <w:rsid w:val="5B9D14CD"/>
    <w:rsid w:val="5BA80476"/>
    <w:rsid w:val="5BAC183B"/>
    <w:rsid w:val="5BB029AE"/>
    <w:rsid w:val="5BB16968"/>
    <w:rsid w:val="5BB4249E"/>
    <w:rsid w:val="5BB46942"/>
    <w:rsid w:val="5BB54096"/>
    <w:rsid w:val="5BB75A49"/>
    <w:rsid w:val="5BB950FA"/>
    <w:rsid w:val="5BBB44EB"/>
    <w:rsid w:val="5BBE50CA"/>
    <w:rsid w:val="5BC22E0D"/>
    <w:rsid w:val="5BC61029"/>
    <w:rsid w:val="5BC95B6B"/>
    <w:rsid w:val="5BCB77E7"/>
    <w:rsid w:val="5BCC50CC"/>
    <w:rsid w:val="5BD0447D"/>
    <w:rsid w:val="5BD112A2"/>
    <w:rsid w:val="5BD25782"/>
    <w:rsid w:val="5BD26A10"/>
    <w:rsid w:val="5BD3501A"/>
    <w:rsid w:val="5BD43145"/>
    <w:rsid w:val="5BD668B8"/>
    <w:rsid w:val="5BDF5D95"/>
    <w:rsid w:val="5BE12497"/>
    <w:rsid w:val="5BE158B6"/>
    <w:rsid w:val="5BE531F4"/>
    <w:rsid w:val="5BE74621"/>
    <w:rsid w:val="5BEC7E8A"/>
    <w:rsid w:val="5BF07808"/>
    <w:rsid w:val="5BF154A0"/>
    <w:rsid w:val="5BF31379"/>
    <w:rsid w:val="5BF925A6"/>
    <w:rsid w:val="5BFD3E45"/>
    <w:rsid w:val="5BFE7528"/>
    <w:rsid w:val="5C003935"/>
    <w:rsid w:val="5C0466BA"/>
    <w:rsid w:val="5C0B3787"/>
    <w:rsid w:val="5C0D7E00"/>
    <w:rsid w:val="5C0E5725"/>
    <w:rsid w:val="5C115B42"/>
    <w:rsid w:val="5C1B076F"/>
    <w:rsid w:val="5C1D6DB7"/>
    <w:rsid w:val="5C1F54B9"/>
    <w:rsid w:val="5C2506CD"/>
    <w:rsid w:val="5C2515ED"/>
    <w:rsid w:val="5C25514A"/>
    <w:rsid w:val="5C2636D0"/>
    <w:rsid w:val="5C295FAD"/>
    <w:rsid w:val="5C2E7D3B"/>
    <w:rsid w:val="5C2F7BAA"/>
    <w:rsid w:val="5C326512"/>
    <w:rsid w:val="5C367357"/>
    <w:rsid w:val="5C3E3098"/>
    <w:rsid w:val="5C3F26AF"/>
    <w:rsid w:val="5C3F445D"/>
    <w:rsid w:val="5C48784C"/>
    <w:rsid w:val="5C4A0111"/>
    <w:rsid w:val="5C522492"/>
    <w:rsid w:val="5C531CB7"/>
    <w:rsid w:val="5C5678DA"/>
    <w:rsid w:val="5C5679F9"/>
    <w:rsid w:val="5C587DEE"/>
    <w:rsid w:val="5C5B500F"/>
    <w:rsid w:val="5C5E240A"/>
    <w:rsid w:val="5C605441"/>
    <w:rsid w:val="5C605C82"/>
    <w:rsid w:val="5C64411C"/>
    <w:rsid w:val="5C6927EC"/>
    <w:rsid w:val="5C6B0EF8"/>
    <w:rsid w:val="5C6E6AF1"/>
    <w:rsid w:val="5C71038F"/>
    <w:rsid w:val="5C7A7A7A"/>
    <w:rsid w:val="5C7D31D8"/>
    <w:rsid w:val="5C8400C2"/>
    <w:rsid w:val="5C844566"/>
    <w:rsid w:val="5C875B3C"/>
    <w:rsid w:val="5C8C6F77"/>
    <w:rsid w:val="5C8E7193"/>
    <w:rsid w:val="5C9127DF"/>
    <w:rsid w:val="5C936557"/>
    <w:rsid w:val="5CA00684"/>
    <w:rsid w:val="5CA11D61"/>
    <w:rsid w:val="5CA249EC"/>
    <w:rsid w:val="5CA442C0"/>
    <w:rsid w:val="5CA97B29"/>
    <w:rsid w:val="5CAB38A1"/>
    <w:rsid w:val="5CAD6132"/>
    <w:rsid w:val="5CB07109"/>
    <w:rsid w:val="5CB07B52"/>
    <w:rsid w:val="5CB21CBC"/>
    <w:rsid w:val="5CB31174"/>
    <w:rsid w:val="5CB67D43"/>
    <w:rsid w:val="5CBC1098"/>
    <w:rsid w:val="5CBF10FA"/>
    <w:rsid w:val="5CBF316A"/>
    <w:rsid w:val="5CC2508E"/>
    <w:rsid w:val="5CC6692D"/>
    <w:rsid w:val="5CC91F79"/>
    <w:rsid w:val="5CC93515"/>
    <w:rsid w:val="5CD01559"/>
    <w:rsid w:val="5CD1707F"/>
    <w:rsid w:val="5CD22236"/>
    <w:rsid w:val="5CD56B70"/>
    <w:rsid w:val="5CD728E8"/>
    <w:rsid w:val="5CD8555F"/>
    <w:rsid w:val="5CD86660"/>
    <w:rsid w:val="5CDB057C"/>
    <w:rsid w:val="5CDC30C9"/>
    <w:rsid w:val="5CDC6150"/>
    <w:rsid w:val="5CDD77D2"/>
    <w:rsid w:val="5CE45005"/>
    <w:rsid w:val="5CE47CC8"/>
    <w:rsid w:val="5CE6658D"/>
    <w:rsid w:val="5CF35248"/>
    <w:rsid w:val="5CF663F8"/>
    <w:rsid w:val="5CF728FB"/>
    <w:rsid w:val="5CF938D1"/>
    <w:rsid w:val="5CFC234E"/>
    <w:rsid w:val="5CFE666C"/>
    <w:rsid w:val="5D005D02"/>
    <w:rsid w:val="5D011713"/>
    <w:rsid w:val="5D0134C1"/>
    <w:rsid w:val="5D027239"/>
    <w:rsid w:val="5D0775D5"/>
    <w:rsid w:val="5D1771FC"/>
    <w:rsid w:val="5D181620"/>
    <w:rsid w:val="5D211242"/>
    <w:rsid w:val="5D211424"/>
    <w:rsid w:val="5D2B275D"/>
    <w:rsid w:val="5D2D69AC"/>
    <w:rsid w:val="5D2D760B"/>
    <w:rsid w:val="5D2E44D2"/>
    <w:rsid w:val="5D2E6280"/>
    <w:rsid w:val="5D305D50"/>
    <w:rsid w:val="5D325D70"/>
    <w:rsid w:val="5D3650EA"/>
    <w:rsid w:val="5D370BDD"/>
    <w:rsid w:val="5D383B2F"/>
    <w:rsid w:val="5D3C274B"/>
    <w:rsid w:val="5D3F4A3A"/>
    <w:rsid w:val="5D485594"/>
    <w:rsid w:val="5D4B6E32"/>
    <w:rsid w:val="5D4F60A9"/>
    <w:rsid w:val="5D526412"/>
    <w:rsid w:val="5D573A29"/>
    <w:rsid w:val="5D5E4DB7"/>
    <w:rsid w:val="5D610EDA"/>
    <w:rsid w:val="5D686C2B"/>
    <w:rsid w:val="5D6B3030"/>
    <w:rsid w:val="5D6B3425"/>
    <w:rsid w:val="5D700646"/>
    <w:rsid w:val="5D7739CD"/>
    <w:rsid w:val="5D7A7A26"/>
    <w:rsid w:val="5D81181A"/>
    <w:rsid w:val="5D814602"/>
    <w:rsid w:val="5D8D11F8"/>
    <w:rsid w:val="5D8D744A"/>
    <w:rsid w:val="5D8E1702"/>
    <w:rsid w:val="5D8F6D1E"/>
    <w:rsid w:val="5D9500AD"/>
    <w:rsid w:val="5D972DE6"/>
    <w:rsid w:val="5D9B70D9"/>
    <w:rsid w:val="5D9C58DF"/>
    <w:rsid w:val="5DA0717E"/>
    <w:rsid w:val="5DA36667"/>
    <w:rsid w:val="5DA402F0"/>
    <w:rsid w:val="5DAB167E"/>
    <w:rsid w:val="5DAF07B5"/>
    <w:rsid w:val="5DB04EE7"/>
    <w:rsid w:val="5DB124A6"/>
    <w:rsid w:val="5DB36FA4"/>
    <w:rsid w:val="5DB66224"/>
    <w:rsid w:val="5DB70023"/>
    <w:rsid w:val="5DBF4FB9"/>
    <w:rsid w:val="5DC340FA"/>
    <w:rsid w:val="5DC42740"/>
    <w:rsid w:val="5DC664B8"/>
    <w:rsid w:val="5DC7527B"/>
    <w:rsid w:val="5DC76838"/>
    <w:rsid w:val="5DCA244C"/>
    <w:rsid w:val="5DCD16F4"/>
    <w:rsid w:val="5DCD5A99"/>
    <w:rsid w:val="5DCF7A63"/>
    <w:rsid w:val="5DD21301"/>
    <w:rsid w:val="5DD46E27"/>
    <w:rsid w:val="5DD6174B"/>
    <w:rsid w:val="5DD83ABA"/>
    <w:rsid w:val="5DDE5C6D"/>
    <w:rsid w:val="5DE0757A"/>
    <w:rsid w:val="5DE132F2"/>
    <w:rsid w:val="5DE3706A"/>
    <w:rsid w:val="5DE50E0B"/>
    <w:rsid w:val="5DE554DF"/>
    <w:rsid w:val="5DE762FC"/>
    <w:rsid w:val="5DEC4171"/>
    <w:rsid w:val="5DF03535"/>
    <w:rsid w:val="5DF03C13"/>
    <w:rsid w:val="5DF43025"/>
    <w:rsid w:val="5DF55E69"/>
    <w:rsid w:val="5E015742"/>
    <w:rsid w:val="5E023994"/>
    <w:rsid w:val="5E046F65"/>
    <w:rsid w:val="5E0771FD"/>
    <w:rsid w:val="5E086AD1"/>
    <w:rsid w:val="5E0B7894"/>
    <w:rsid w:val="5E111E29"/>
    <w:rsid w:val="5E113BD7"/>
    <w:rsid w:val="5E1229F9"/>
    <w:rsid w:val="5E1436C8"/>
    <w:rsid w:val="5E193359"/>
    <w:rsid w:val="5E1B2CA8"/>
    <w:rsid w:val="5E1B7FC6"/>
    <w:rsid w:val="5E1E00A2"/>
    <w:rsid w:val="5E234651"/>
    <w:rsid w:val="5E2356B9"/>
    <w:rsid w:val="5E2467F1"/>
    <w:rsid w:val="5E2558D5"/>
    <w:rsid w:val="5E27164D"/>
    <w:rsid w:val="5E276402"/>
    <w:rsid w:val="5E2C7286"/>
    <w:rsid w:val="5E333B7F"/>
    <w:rsid w:val="5E364377"/>
    <w:rsid w:val="5E3A3003"/>
    <w:rsid w:val="5E3E6996"/>
    <w:rsid w:val="5E413D91"/>
    <w:rsid w:val="5E421185"/>
    <w:rsid w:val="5E4426FE"/>
    <w:rsid w:val="5E465BF2"/>
    <w:rsid w:val="5E4A0E97"/>
    <w:rsid w:val="5E4A422F"/>
    <w:rsid w:val="5E4C4C10"/>
    <w:rsid w:val="5E5177AD"/>
    <w:rsid w:val="5E5225FF"/>
    <w:rsid w:val="5E5A78D5"/>
    <w:rsid w:val="5E5D10B1"/>
    <w:rsid w:val="5E5D6E1D"/>
    <w:rsid w:val="5E602469"/>
    <w:rsid w:val="5E653F23"/>
    <w:rsid w:val="5E65763E"/>
    <w:rsid w:val="5E713FC3"/>
    <w:rsid w:val="5E732686"/>
    <w:rsid w:val="5E763B21"/>
    <w:rsid w:val="5E7E0913"/>
    <w:rsid w:val="5E820631"/>
    <w:rsid w:val="5E833AAD"/>
    <w:rsid w:val="5E8E1597"/>
    <w:rsid w:val="5E930A90"/>
    <w:rsid w:val="5E9465B6"/>
    <w:rsid w:val="5E966EBF"/>
    <w:rsid w:val="5E985843"/>
    <w:rsid w:val="5E9F5687"/>
    <w:rsid w:val="5EA13AD6"/>
    <w:rsid w:val="5EA77BAC"/>
    <w:rsid w:val="5EB01642"/>
    <w:rsid w:val="5EB02500"/>
    <w:rsid w:val="5EB222AF"/>
    <w:rsid w:val="5EB302B5"/>
    <w:rsid w:val="5EB32EE1"/>
    <w:rsid w:val="5EB427B5"/>
    <w:rsid w:val="5EB86749"/>
    <w:rsid w:val="5EB97DCB"/>
    <w:rsid w:val="5EBB3B43"/>
    <w:rsid w:val="5EBC2507"/>
    <w:rsid w:val="5EC17E09"/>
    <w:rsid w:val="5EC2630F"/>
    <w:rsid w:val="5EC45B01"/>
    <w:rsid w:val="5EC6498E"/>
    <w:rsid w:val="5EC64CF9"/>
    <w:rsid w:val="5ECB022A"/>
    <w:rsid w:val="5ECB647C"/>
    <w:rsid w:val="5ECE4438"/>
    <w:rsid w:val="5ED30E8D"/>
    <w:rsid w:val="5ED33C42"/>
    <w:rsid w:val="5ED35331"/>
    <w:rsid w:val="5ED55715"/>
    <w:rsid w:val="5ED66803"/>
    <w:rsid w:val="5EDA046D"/>
    <w:rsid w:val="5EDF5A84"/>
    <w:rsid w:val="5EE035AA"/>
    <w:rsid w:val="5EE54BE1"/>
    <w:rsid w:val="5EEA61D6"/>
    <w:rsid w:val="5EEB267A"/>
    <w:rsid w:val="5EEB4428"/>
    <w:rsid w:val="5EED2DC8"/>
    <w:rsid w:val="5EF3152F"/>
    <w:rsid w:val="5EF446BC"/>
    <w:rsid w:val="5EF534F9"/>
    <w:rsid w:val="5EF57055"/>
    <w:rsid w:val="5EF71274"/>
    <w:rsid w:val="5EF812AB"/>
    <w:rsid w:val="5EFD23AE"/>
    <w:rsid w:val="5EFD7202"/>
    <w:rsid w:val="5F047B0F"/>
    <w:rsid w:val="5F071397"/>
    <w:rsid w:val="5F087C62"/>
    <w:rsid w:val="5F0908EA"/>
    <w:rsid w:val="5F092986"/>
    <w:rsid w:val="5F0C53C6"/>
    <w:rsid w:val="5F1073D0"/>
    <w:rsid w:val="5F13397F"/>
    <w:rsid w:val="5F147725"/>
    <w:rsid w:val="5F182D44"/>
    <w:rsid w:val="5F1A2B43"/>
    <w:rsid w:val="5F1B5C08"/>
    <w:rsid w:val="5F1C0162"/>
    <w:rsid w:val="5F1C0EB8"/>
    <w:rsid w:val="5F1E4355"/>
    <w:rsid w:val="5F1F2324"/>
    <w:rsid w:val="5F1F40D2"/>
    <w:rsid w:val="5F2330D0"/>
    <w:rsid w:val="5F296CFF"/>
    <w:rsid w:val="5F2F43D3"/>
    <w:rsid w:val="5F30008D"/>
    <w:rsid w:val="5F3237E8"/>
    <w:rsid w:val="5F351B48"/>
    <w:rsid w:val="5F37452B"/>
    <w:rsid w:val="5F374E01"/>
    <w:rsid w:val="5F3A0F0C"/>
    <w:rsid w:val="5F3C2BC4"/>
    <w:rsid w:val="5F3C79F2"/>
    <w:rsid w:val="5F3E6C4E"/>
    <w:rsid w:val="5F407643"/>
    <w:rsid w:val="5F43058B"/>
    <w:rsid w:val="5F453E0A"/>
    <w:rsid w:val="5F465B03"/>
    <w:rsid w:val="5F474E9C"/>
    <w:rsid w:val="5F4964F1"/>
    <w:rsid w:val="5F4A4D3E"/>
    <w:rsid w:val="5F521788"/>
    <w:rsid w:val="5F5521EA"/>
    <w:rsid w:val="5F59269F"/>
    <w:rsid w:val="5F5B0AD8"/>
    <w:rsid w:val="5F5C4D0F"/>
    <w:rsid w:val="5F5C5326"/>
    <w:rsid w:val="5F5D1481"/>
    <w:rsid w:val="5F6664B4"/>
    <w:rsid w:val="5F667F53"/>
    <w:rsid w:val="5F6940CF"/>
    <w:rsid w:val="5F6F5187"/>
    <w:rsid w:val="5F710167"/>
    <w:rsid w:val="5F71401C"/>
    <w:rsid w:val="5F7408C2"/>
    <w:rsid w:val="5F785DF8"/>
    <w:rsid w:val="5F7D5B25"/>
    <w:rsid w:val="5F830B05"/>
    <w:rsid w:val="5F836AC6"/>
    <w:rsid w:val="5F872992"/>
    <w:rsid w:val="5F8959EF"/>
    <w:rsid w:val="5F8B1768"/>
    <w:rsid w:val="5F8B5C0B"/>
    <w:rsid w:val="5F923C80"/>
    <w:rsid w:val="5F962C3A"/>
    <w:rsid w:val="5F984D27"/>
    <w:rsid w:val="5F994A7E"/>
    <w:rsid w:val="5FA37481"/>
    <w:rsid w:val="5FA55E0F"/>
    <w:rsid w:val="5FAE4A45"/>
    <w:rsid w:val="5FAF18FA"/>
    <w:rsid w:val="5FB316D7"/>
    <w:rsid w:val="5FB34F10"/>
    <w:rsid w:val="5FB46F10"/>
    <w:rsid w:val="5FB837BB"/>
    <w:rsid w:val="5FBA6BA5"/>
    <w:rsid w:val="5FC02251"/>
    <w:rsid w:val="5FC11B25"/>
    <w:rsid w:val="5FCB6733"/>
    <w:rsid w:val="5FCC71A0"/>
    <w:rsid w:val="5FCD2763"/>
    <w:rsid w:val="5FD1150A"/>
    <w:rsid w:val="5FD41360"/>
    <w:rsid w:val="5FD62BCC"/>
    <w:rsid w:val="5FD749AD"/>
    <w:rsid w:val="5FD924D3"/>
    <w:rsid w:val="5FD96977"/>
    <w:rsid w:val="5FDA0F1A"/>
    <w:rsid w:val="5FDE5D3B"/>
    <w:rsid w:val="5FDF3861"/>
    <w:rsid w:val="5FE01AB3"/>
    <w:rsid w:val="5FE10357"/>
    <w:rsid w:val="5FE12A31"/>
    <w:rsid w:val="5FE17BB8"/>
    <w:rsid w:val="5FE405F8"/>
    <w:rsid w:val="5FE570CA"/>
    <w:rsid w:val="5FE84E0C"/>
    <w:rsid w:val="5FE86059"/>
    <w:rsid w:val="5FEA25DF"/>
    <w:rsid w:val="5FEF619A"/>
    <w:rsid w:val="5FF13CC0"/>
    <w:rsid w:val="5FF16EEB"/>
    <w:rsid w:val="5FF20509"/>
    <w:rsid w:val="5FF217E7"/>
    <w:rsid w:val="5FF4555F"/>
    <w:rsid w:val="5FF74631"/>
    <w:rsid w:val="5FF94A51"/>
    <w:rsid w:val="5FFE63DD"/>
    <w:rsid w:val="60011A2A"/>
    <w:rsid w:val="60017C7C"/>
    <w:rsid w:val="6002380F"/>
    <w:rsid w:val="6003687A"/>
    <w:rsid w:val="600734E4"/>
    <w:rsid w:val="60082DB8"/>
    <w:rsid w:val="60121E89"/>
    <w:rsid w:val="60145C01"/>
    <w:rsid w:val="60160F31"/>
    <w:rsid w:val="6017749F"/>
    <w:rsid w:val="60180D14"/>
    <w:rsid w:val="601B6F8F"/>
    <w:rsid w:val="601C4AB5"/>
    <w:rsid w:val="60243AEA"/>
    <w:rsid w:val="60295975"/>
    <w:rsid w:val="60302586"/>
    <w:rsid w:val="60326087"/>
    <w:rsid w:val="603269C5"/>
    <w:rsid w:val="603604E1"/>
    <w:rsid w:val="603911C4"/>
    <w:rsid w:val="60396A2E"/>
    <w:rsid w:val="604007A4"/>
    <w:rsid w:val="60412B92"/>
    <w:rsid w:val="6042451C"/>
    <w:rsid w:val="60427ED5"/>
    <w:rsid w:val="60430294"/>
    <w:rsid w:val="60477D84"/>
    <w:rsid w:val="60485FB1"/>
    <w:rsid w:val="60492A86"/>
    <w:rsid w:val="6049691C"/>
    <w:rsid w:val="60560457"/>
    <w:rsid w:val="60575C79"/>
    <w:rsid w:val="605C1CAD"/>
    <w:rsid w:val="605E6E7C"/>
    <w:rsid w:val="60604CF3"/>
    <w:rsid w:val="60673F83"/>
    <w:rsid w:val="606F1089"/>
    <w:rsid w:val="606F72DB"/>
    <w:rsid w:val="60715A8E"/>
    <w:rsid w:val="607246D5"/>
    <w:rsid w:val="60791F08"/>
    <w:rsid w:val="60793600"/>
    <w:rsid w:val="607C18FE"/>
    <w:rsid w:val="60820DBC"/>
    <w:rsid w:val="60820FA5"/>
    <w:rsid w:val="60870181"/>
    <w:rsid w:val="60872C12"/>
    <w:rsid w:val="60877AD2"/>
    <w:rsid w:val="608D09A3"/>
    <w:rsid w:val="60912DAE"/>
    <w:rsid w:val="60917251"/>
    <w:rsid w:val="60934D78"/>
    <w:rsid w:val="609355AC"/>
    <w:rsid w:val="6093585B"/>
    <w:rsid w:val="60936406"/>
    <w:rsid w:val="6098413C"/>
    <w:rsid w:val="609C2908"/>
    <w:rsid w:val="60A056E7"/>
    <w:rsid w:val="60A346E0"/>
    <w:rsid w:val="60B42F40"/>
    <w:rsid w:val="60B66CB8"/>
    <w:rsid w:val="60B9333A"/>
    <w:rsid w:val="60BF5B37"/>
    <w:rsid w:val="60C45117"/>
    <w:rsid w:val="60C90799"/>
    <w:rsid w:val="60CC3338"/>
    <w:rsid w:val="60CC405A"/>
    <w:rsid w:val="60CF2DA6"/>
    <w:rsid w:val="60D046AA"/>
    <w:rsid w:val="60D3786A"/>
    <w:rsid w:val="60D4713E"/>
    <w:rsid w:val="60D809DC"/>
    <w:rsid w:val="60D95A5A"/>
    <w:rsid w:val="60DB34E7"/>
    <w:rsid w:val="60DF5175"/>
    <w:rsid w:val="60E23609"/>
    <w:rsid w:val="60E43825"/>
    <w:rsid w:val="60E70C20"/>
    <w:rsid w:val="60E74423"/>
    <w:rsid w:val="60E94998"/>
    <w:rsid w:val="60E96BD3"/>
    <w:rsid w:val="60EC4488"/>
    <w:rsid w:val="60F1342B"/>
    <w:rsid w:val="60F42C93"/>
    <w:rsid w:val="60FF240D"/>
    <w:rsid w:val="61007F33"/>
    <w:rsid w:val="61021EFD"/>
    <w:rsid w:val="61023CAB"/>
    <w:rsid w:val="61033A7E"/>
    <w:rsid w:val="61047A23"/>
    <w:rsid w:val="61066EF1"/>
    <w:rsid w:val="610B3629"/>
    <w:rsid w:val="610D76A8"/>
    <w:rsid w:val="611019FF"/>
    <w:rsid w:val="611044C3"/>
    <w:rsid w:val="6110461A"/>
    <w:rsid w:val="61112140"/>
    <w:rsid w:val="61114ABA"/>
    <w:rsid w:val="61115BD8"/>
    <w:rsid w:val="611C2FBF"/>
    <w:rsid w:val="611D18F5"/>
    <w:rsid w:val="61212899"/>
    <w:rsid w:val="6122434D"/>
    <w:rsid w:val="612B3202"/>
    <w:rsid w:val="613A3445"/>
    <w:rsid w:val="613B3DCF"/>
    <w:rsid w:val="613C540F"/>
    <w:rsid w:val="613D1187"/>
    <w:rsid w:val="613F6E93"/>
    <w:rsid w:val="61447E20"/>
    <w:rsid w:val="614550DE"/>
    <w:rsid w:val="61474CB9"/>
    <w:rsid w:val="61475B62"/>
    <w:rsid w:val="614B7400"/>
    <w:rsid w:val="614C4F26"/>
    <w:rsid w:val="614E65AA"/>
    <w:rsid w:val="614F3B1C"/>
    <w:rsid w:val="61504A17"/>
    <w:rsid w:val="61512CEC"/>
    <w:rsid w:val="61515E75"/>
    <w:rsid w:val="615269E1"/>
    <w:rsid w:val="61550DBD"/>
    <w:rsid w:val="6156331E"/>
    <w:rsid w:val="61573FF7"/>
    <w:rsid w:val="615B2E7E"/>
    <w:rsid w:val="615E35D8"/>
    <w:rsid w:val="6162299C"/>
    <w:rsid w:val="6162474A"/>
    <w:rsid w:val="61626B0B"/>
    <w:rsid w:val="61665FE8"/>
    <w:rsid w:val="616C4999"/>
    <w:rsid w:val="616C7377"/>
    <w:rsid w:val="616E2957"/>
    <w:rsid w:val="6170330B"/>
    <w:rsid w:val="61714784"/>
    <w:rsid w:val="61774699"/>
    <w:rsid w:val="617A5F38"/>
    <w:rsid w:val="617F2D1C"/>
    <w:rsid w:val="61840F53"/>
    <w:rsid w:val="618B7BA2"/>
    <w:rsid w:val="618F0631"/>
    <w:rsid w:val="6194783C"/>
    <w:rsid w:val="619830D1"/>
    <w:rsid w:val="619863BE"/>
    <w:rsid w:val="61997BE3"/>
    <w:rsid w:val="619A0388"/>
    <w:rsid w:val="61A37DB7"/>
    <w:rsid w:val="61A93055"/>
    <w:rsid w:val="61B256E5"/>
    <w:rsid w:val="61B34FA6"/>
    <w:rsid w:val="61B37CD9"/>
    <w:rsid w:val="61B606C7"/>
    <w:rsid w:val="61B668E9"/>
    <w:rsid w:val="61B73243"/>
    <w:rsid w:val="61B73521"/>
    <w:rsid w:val="61B76844"/>
    <w:rsid w:val="61BA6246"/>
    <w:rsid w:val="61C176C2"/>
    <w:rsid w:val="61C20659"/>
    <w:rsid w:val="61C62F2B"/>
    <w:rsid w:val="61C96577"/>
    <w:rsid w:val="61CD250B"/>
    <w:rsid w:val="61D05B58"/>
    <w:rsid w:val="61D4389A"/>
    <w:rsid w:val="61DB42F2"/>
    <w:rsid w:val="61DC2B4E"/>
    <w:rsid w:val="61DC6F8A"/>
    <w:rsid w:val="61DE5866"/>
    <w:rsid w:val="61E215D8"/>
    <w:rsid w:val="61E35675"/>
    <w:rsid w:val="61E57855"/>
    <w:rsid w:val="61E635CD"/>
    <w:rsid w:val="61E70AEC"/>
    <w:rsid w:val="61E82BB3"/>
    <w:rsid w:val="61EB65BD"/>
    <w:rsid w:val="61ED495B"/>
    <w:rsid w:val="61FA2BD4"/>
    <w:rsid w:val="61FB0E26"/>
    <w:rsid w:val="620500A2"/>
    <w:rsid w:val="62075DCB"/>
    <w:rsid w:val="620B6B90"/>
    <w:rsid w:val="620F495A"/>
    <w:rsid w:val="621A5025"/>
    <w:rsid w:val="621B3775"/>
    <w:rsid w:val="621B423A"/>
    <w:rsid w:val="621B73F8"/>
    <w:rsid w:val="62224451"/>
    <w:rsid w:val="622540F5"/>
    <w:rsid w:val="62297B44"/>
    <w:rsid w:val="623054B0"/>
    <w:rsid w:val="62312A9A"/>
    <w:rsid w:val="623274B4"/>
    <w:rsid w:val="62364782"/>
    <w:rsid w:val="623757F2"/>
    <w:rsid w:val="62375BD7"/>
    <w:rsid w:val="62392419"/>
    <w:rsid w:val="623E0D13"/>
    <w:rsid w:val="623F6EC8"/>
    <w:rsid w:val="6245446B"/>
    <w:rsid w:val="62487DE4"/>
    <w:rsid w:val="624B787B"/>
    <w:rsid w:val="624C0E9F"/>
    <w:rsid w:val="62510FFF"/>
    <w:rsid w:val="625305DA"/>
    <w:rsid w:val="62540537"/>
    <w:rsid w:val="625978FB"/>
    <w:rsid w:val="625E7607"/>
    <w:rsid w:val="6267026A"/>
    <w:rsid w:val="626764BC"/>
    <w:rsid w:val="626F06A0"/>
    <w:rsid w:val="627051F9"/>
    <w:rsid w:val="62712E97"/>
    <w:rsid w:val="62721C34"/>
    <w:rsid w:val="627263AA"/>
    <w:rsid w:val="627604AD"/>
    <w:rsid w:val="6276661E"/>
    <w:rsid w:val="627707E5"/>
    <w:rsid w:val="62774225"/>
    <w:rsid w:val="627E32D8"/>
    <w:rsid w:val="627F6925"/>
    <w:rsid w:val="628250A4"/>
    <w:rsid w:val="628647C6"/>
    <w:rsid w:val="628658F7"/>
    <w:rsid w:val="62881C46"/>
    <w:rsid w:val="62894684"/>
    <w:rsid w:val="628C1A7E"/>
    <w:rsid w:val="628E434B"/>
    <w:rsid w:val="628F406C"/>
    <w:rsid w:val="628F5A13"/>
    <w:rsid w:val="62973CDD"/>
    <w:rsid w:val="629947CB"/>
    <w:rsid w:val="629D1EDE"/>
    <w:rsid w:val="629F3923"/>
    <w:rsid w:val="62A04C73"/>
    <w:rsid w:val="62A32D04"/>
    <w:rsid w:val="62A74B0A"/>
    <w:rsid w:val="62AD3E18"/>
    <w:rsid w:val="62AF1C11"/>
    <w:rsid w:val="62AF3F92"/>
    <w:rsid w:val="62AF7E63"/>
    <w:rsid w:val="62B154A9"/>
    <w:rsid w:val="62B86D17"/>
    <w:rsid w:val="62C7261D"/>
    <w:rsid w:val="62CA25A7"/>
    <w:rsid w:val="62CF134B"/>
    <w:rsid w:val="62D160BE"/>
    <w:rsid w:val="62D653F0"/>
    <w:rsid w:val="62D9237F"/>
    <w:rsid w:val="62DB7C1F"/>
    <w:rsid w:val="62DD677E"/>
    <w:rsid w:val="62DE6052"/>
    <w:rsid w:val="62E25B42"/>
    <w:rsid w:val="62E46D8B"/>
    <w:rsid w:val="62E573E1"/>
    <w:rsid w:val="62E95123"/>
    <w:rsid w:val="62EB24E4"/>
    <w:rsid w:val="62ED5A7A"/>
    <w:rsid w:val="62F55E9B"/>
    <w:rsid w:val="62F6339C"/>
    <w:rsid w:val="62F63F61"/>
    <w:rsid w:val="62FA7330"/>
    <w:rsid w:val="62FB4E56"/>
    <w:rsid w:val="62FB7E47"/>
    <w:rsid w:val="62FB7F3D"/>
    <w:rsid w:val="62FD0F35"/>
    <w:rsid w:val="630006BE"/>
    <w:rsid w:val="6300421A"/>
    <w:rsid w:val="63017EF8"/>
    <w:rsid w:val="630248CD"/>
    <w:rsid w:val="630979CA"/>
    <w:rsid w:val="630C7BC2"/>
    <w:rsid w:val="63166BB6"/>
    <w:rsid w:val="63194464"/>
    <w:rsid w:val="631D6B7A"/>
    <w:rsid w:val="63255659"/>
    <w:rsid w:val="632901A7"/>
    <w:rsid w:val="63293A81"/>
    <w:rsid w:val="633112A0"/>
    <w:rsid w:val="633D546F"/>
    <w:rsid w:val="63442359"/>
    <w:rsid w:val="63514A76"/>
    <w:rsid w:val="63586960"/>
    <w:rsid w:val="635924F6"/>
    <w:rsid w:val="635A7DCF"/>
    <w:rsid w:val="635B76A3"/>
    <w:rsid w:val="63666493"/>
    <w:rsid w:val="636B121B"/>
    <w:rsid w:val="636B5B38"/>
    <w:rsid w:val="636B76CF"/>
    <w:rsid w:val="6370314E"/>
    <w:rsid w:val="63710C62"/>
    <w:rsid w:val="63776102"/>
    <w:rsid w:val="63792C90"/>
    <w:rsid w:val="637F36E5"/>
    <w:rsid w:val="637F5A87"/>
    <w:rsid w:val="63822E81"/>
    <w:rsid w:val="638718CD"/>
    <w:rsid w:val="638D61EF"/>
    <w:rsid w:val="639037F0"/>
    <w:rsid w:val="63916EED"/>
    <w:rsid w:val="63930B67"/>
    <w:rsid w:val="6394356A"/>
    <w:rsid w:val="6394742A"/>
    <w:rsid w:val="63953DDD"/>
    <w:rsid w:val="639566AF"/>
    <w:rsid w:val="639A414E"/>
    <w:rsid w:val="639B1BC7"/>
    <w:rsid w:val="639C5F67"/>
    <w:rsid w:val="63A46EF2"/>
    <w:rsid w:val="63A8207D"/>
    <w:rsid w:val="63AC5DDB"/>
    <w:rsid w:val="63B10E97"/>
    <w:rsid w:val="63B429E0"/>
    <w:rsid w:val="63B4442F"/>
    <w:rsid w:val="63B75221"/>
    <w:rsid w:val="63B84AF5"/>
    <w:rsid w:val="63BA6C0F"/>
    <w:rsid w:val="63BC7E20"/>
    <w:rsid w:val="63C22A01"/>
    <w:rsid w:val="63C22F6F"/>
    <w:rsid w:val="63C60C88"/>
    <w:rsid w:val="63C61B2C"/>
    <w:rsid w:val="63C70BC6"/>
    <w:rsid w:val="63C7514C"/>
    <w:rsid w:val="63CA68B4"/>
    <w:rsid w:val="63CC234F"/>
    <w:rsid w:val="63CF654F"/>
    <w:rsid w:val="63D062E3"/>
    <w:rsid w:val="63D23E09"/>
    <w:rsid w:val="63D27965"/>
    <w:rsid w:val="63D31610"/>
    <w:rsid w:val="63D40BE9"/>
    <w:rsid w:val="63D52BD9"/>
    <w:rsid w:val="63D96D36"/>
    <w:rsid w:val="63DD630A"/>
    <w:rsid w:val="63DE255A"/>
    <w:rsid w:val="63E10EDB"/>
    <w:rsid w:val="63E15DFA"/>
    <w:rsid w:val="63E71BF9"/>
    <w:rsid w:val="63E916E0"/>
    <w:rsid w:val="63ED479F"/>
    <w:rsid w:val="63EF5962"/>
    <w:rsid w:val="63F046DD"/>
    <w:rsid w:val="63F109D0"/>
    <w:rsid w:val="63F43D7F"/>
    <w:rsid w:val="63F50609"/>
    <w:rsid w:val="63F648F8"/>
    <w:rsid w:val="63F773CC"/>
    <w:rsid w:val="63FA31C3"/>
    <w:rsid w:val="63FC1517"/>
    <w:rsid w:val="63FE0704"/>
    <w:rsid w:val="63FF2724"/>
    <w:rsid w:val="64061D04"/>
    <w:rsid w:val="640B2E77"/>
    <w:rsid w:val="640E4E4A"/>
    <w:rsid w:val="64102431"/>
    <w:rsid w:val="641066D8"/>
    <w:rsid w:val="64112768"/>
    <w:rsid w:val="64162ACB"/>
    <w:rsid w:val="64191A38"/>
    <w:rsid w:val="641937E6"/>
    <w:rsid w:val="641E0DFC"/>
    <w:rsid w:val="64207A48"/>
    <w:rsid w:val="64277E74"/>
    <w:rsid w:val="64281F22"/>
    <w:rsid w:val="64290EE7"/>
    <w:rsid w:val="642A0B61"/>
    <w:rsid w:val="642F4733"/>
    <w:rsid w:val="643568F5"/>
    <w:rsid w:val="64367C08"/>
    <w:rsid w:val="64451A5A"/>
    <w:rsid w:val="644677AA"/>
    <w:rsid w:val="644814EC"/>
    <w:rsid w:val="64487C27"/>
    <w:rsid w:val="6449399F"/>
    <w:rsid w:val="644A1BF1"/>
    <w:rsid w:val="64505121"/>
    <w:rsid w:val="64550F8A"/>
    <w:rsid w:val="64590086"/>
    <w:rsid w:val="645E744B"/>
    <w:rsid w:val="6461518D"/>
    <w:rsid w:val="64630F05"/>
    <w:rsid w:val="646507D9"/>
    <w:rsid w:val="646566EE"/>
    <w:rsid w:val="6466598A"/>
    <w:rsid w:val="646B48B3"/>
    <w:rsid w:val="646B7DB9"/>
    <w:rsid w:val="646F3406"/>
    <w:rsid w:val="64763432"/>
    <w:rsid w:val="64783F14"/>
    <w:rsid w:val="647B3779"/>
    <w:rsid w:val="647D4422"/>
    <w:rsid w:val="64825C2D"/>
    <w:rsid w:val="6484702F"/>
    <w:rsid w:val="648A0240"/>
    <w:rsid w:val="648A456C"/>
    <w:rsid w:val="649015CE"/>
    <w:rsid w:val="64904827"/>
    <w:rsid w:val="649843E3"/>
    <w:rsid w:val="649F3585"/>
    <w:rsid w:val="64A5243A"/>
    <w:rsid w:val="64A62D61"/>
    <w:rsid w:val="64AA08E2"/>
    <w:rsid w:val="64AA19BA"/>
    <w:rsid w:val="64AD3F2E"/>
    <w:rsid w:val="64B92936"/>
    <w:rsid w:val="64C00BBA"/>
    <w:rsid w:val="64C43CF7"/>
    <w:rsid w:val="64C45E41"/>
    <w:rsid w:val="64C9520C"/>
    <w:rsid w:val="64CA4AE0"/>
    <w:rsid w:val="64CB16D0"/>
    <w:rsid w:val="64CB5C25"/>
    <w:rsid w:val="64CC6AAA"/>
    <w:rsid w:val="64D6467B"/>
    <w:rsid w:val="64D771FD"/>
    <w:rsid w:val="64DD694E"/>
    <w:rsid w:val="64DE058B"/>
    <w:rsid w:val="64DE2339"/>
    <w:rsid w:val="64E076E5"/>
    <w:rsid w:val="64EA33D4"/>
    <w:rsid w:val="64EE4C72"/>
    <w:rsid w:val="64F0304B"/>
    <w:rsid w:val="64F531DE"/>
    <w:rsid w:val="64FD4BAB"/>
    <w:rsid w:val="65010400"/>
    <w:rsid w:val="65014F24"/>
    <w:rsid w:val="650243BB"/>
    <w:rsid w:val="65053D6A"/>
    <w:rsid w:val="65077AE2"/>
    <w:rsid w:val="65137E2A"/>
    <w:rsid w:val="65164BED"/>
    <w:rsid w:val="65167D05"/>
    <w:rsid w:val="651D1138"/>
    <w:rsid w:val="651D7306"/>
    <w:rsid w:val="65217654"/>
    <w:rsid w:val="652A557F"/>
    <w:rsid w:val="653039C7"/>
    <w:rsid w:val="65314B5F"/>
    <w:rsid w:val="6532537D"/>
    <w:rsid w:val="6533183C"/>
    <w:rsid w:val="65355A22"/>
    <w:rsid w:val="65361DDD"/>
    <w:rsid w:val="65373578"/>
    <w:rsid w:val="653B3C30"/>
    <w:rsid w:val="653C6A80"/>
    <w:rsid w:val="65406B82"/>
    <w:rsid w:val="65491EA9"/>
    <w:rsid w:val="654C0645"/>
    <w:rsid w:val="654F3237"/>
    <w:rsid w:val="65502E78"/>
    <w:rsid w:val="65544838"/>
    <w:rsid w:val="65587EC8"/>
    <w:rsid w:val="656408BA"/>
    <w:rsid w:val="65660CAD"/>
    <w:rsid w:val="65661077"/>
    <w:rsid w:val="65670581"/>
    <w:rsid w:val="65674A25"/>
    <w:rsid w:val="656767D3"/>
    <w:rsid w:val="65690854"/>
    <w:rsid w:val="656B0071"/>
    <w:rsid w:val="656B62C3"/>
    <w:rsid w:val="656C3DE9"/>
    <w:rsid w:val="65711400"/>
    <w:rsid w:val="65774FEC"/>
    <w:rsid w:val="65785BCE"/>
    <w:rsid w:val="658630FD"/>
    <w:rsid w:val="65864EAB"/>
    <w:rsid w:val="65876E75"/>
    <w:rsid w:val="65895087"/>
    <w:rsid w:val="658B1468"/>
    <w:rsid w:val="658D65D9"/>
    <w:rsid w:val="65907AD8"/>
    <w:rsid w:val="659375C8"/>
    <w:rsid w:val="6594449A"/>
    <w:rsid w:val="6598698C"/>
    <w:rsid w:val="65A25A5D"/>
    <w:rsid w:val="65A267B6"/>
    <w:rsid w:val="65A2780B"/>
    <w:rsid w:val="65A72E4C"/>
    <w:rsid w:val="65A74E21"/>
    <w:rsid w:val="65A82494"/>
    <w:rsid w:val="65AB2B63"/>
    <w:rsid w:val="65B337C6"/>
    <w:rsid w:val="65B40423"/>
    <w:rsid w:val="65B4487E"/>
    <w:rsid w:val="65C32895"/>
    <w:rsid w:val="65C349EE"/>
    <w:rsid w:val="65C6174B"/>
    <w:rsid w:val="65C854C3"/>
    <w:rsid w:val="65CD0D2C"/>
    <w:rsid w:val="65CE4EFC"/>
    <w:rsid w:val="65CE4FEA"/>
    <w:rsid w:val="65D200F0"/>
    <w:rsid w:val="65D26342"/>
    <w:rsid w:val="65D57BE0"/>
    <w:rsid w:val="65D84624"/>
    <w:rsid w:val="65D976D1"/>
    <w:rsid w:val="65DF45BB"/>
    <w:rsid w:val="65DF7BC9"/>
    <w:rsid w:val="65E01E80"/>
    <w:rsid w:val="65E252B4"/>
    <w:rsid w:val="65E6594A"/>
    <w:rsid w:val="65E87914"/>
    <w:rsid w:val="65E9368C"/>
    <w:rsid w:val="65EB7F1F"/>
    <w:rsid w:val="65EC7453"/>
    <w:rsid w:val="65F31E15"/>
    <w:rsid w:val="65F63CF3"/>
    <w:rsid w:val="65F71905"/>
    <w:rsid w:val="65F75DA9"/>
    <w:rsid w:val="65F83E57"/>
    <w:rsid w:val="65F938CF"/>
    <w:rsid w:val="65FB298F"/>
    <w:rsid w:val="65FB2BF6"/>
    <w:rsid w:val="65FC2DCA"/>
    <w:rsid w:val="65FC516D"/>
    <w:rsid w:val="65FE0EE5"/>
    <w:rsid w:val="66024CEF"/>
    <w:rsid w:val="66061B48"/>
    <w:rsid w:val="66161F8C"/>
    <w:rsid w:val="6618187B"/>
    <w:rsid w:val="661A6089"/>
    <w:rsid w:val="661B5358"/>
    <w:rsid w:val="661C136B"/>
    <w:rsid w:val="661C580F"/>
    <w:rsid w:val="661C699C"/>
    <w:rsid w:val="661F70AE"/>
    <w:rsid w:val="662009FC"/>
    <w:rsid w:val="66287D10"/>
    <w:rsid w:val="66292B1D"/>
    <w:rsid w:val="662B03CC"/>
    <w:rsid w:val="662B15AE"/>
    <w:rsid w:val="662B7800"/>
    <w:rsid w:val="663761A5"/>
    <w:rsid w:val="663865B1"/>
    <w:rsid w:val="663D1082"/>
    <w:rsid w:val="663D12E2"/>
    <w:rsid w:val="66404FDA"/>
    <w:rsid w:val="66432115"/>
    <w:rsid w:val="66513498"/>
    <w:rsid w:val="66603EB9"/>
    <w:rsid w:val="666176C6"/>
    <w:rsid w:val="66623861"/>
    <w:rsid w:val="66642BCD"/>
    <w:rsid w:val="666473C9"/>
    <w:rsid w:val="666618FF"/>
    <w:rsid w:val="66680A54"/>
    <w:rsid w:val="66693F13"/>
    <w:rsid w:val="66707909"/>
    <w:rsid w:val="66730773"/>
    <w:rsid w:val="6673555F"/>
    <w:rsid w:val="667831F6"/>
    <w:rsid w:val="667B07B0"/>
    <w:rsid w:val="667E5B82"/>
    <w:rsid w:val="66811B16"/>
    <w:rsid w:val="668138C4"/>
    <w:rsid w:val="66815672"/>
    <w:rsid w:val="668256BC"/>
    <w:rsid w:val="66833198"/>
    <w:rsid w:val="66886A01"/>
    <w:rsid w:val="668A0B8E"/>
    <w:rsid w:val="669730E8"/>
    <w:rsid w:val="66996E60"/>
    <w:rsid w:val="669C24AC"/>
    <w:rsid w:val="66A13E2A"/>
    <w:rsid w:val="66A4436F"/>
    <w:rsid w:val="66A7428E"/>
    <w:rsid w:val="66A82BFF"/>
    <w:rsid w:val="66AE2B5D"/>
    <w:rsid w:val="66B71500"/>
    <w:rsid w:val="66BC66AA"/>
    <w:rsid w:val="66BD5262"/>
    <w:rsid w:val="66BD78CB"/>
    <w:rsid w:val="66C02C27"/>
    <w:rsid w:val="66C27E52"/>
    <w:rsid w:val="66C34001"/>
    <w:rsid w:val="66C8504F"/>
    <w:rsid w:val="66CA6D0B"/>
    <w:rsid w:val="66CD7ECC"/>
    <w:rsid w:val="66CF5EDD"/>
    <w:rsid w:val="66D22887"/>
    <w:rsid w:val="66D2606B"/>
    <w:rsid w:val="66D734E4"/>
    <w:rsid w:val="66D874B2"/>
    <w:rsid w:val="66DC6107"/>
    <w:rsid w:val="66DC6D4D"/>
    <w:rsid w:val="66E3632D"/>
    <w:rsid w:val="66E53440"/>
    <w:rsid w:val="66E55C01"/>
    <w:rsid w:val="66EF68AF"/>
    <w:rsid w:val="66F83B86"/>
    <w:rsid w:val="66F95B50"/>
    <w:rsid w:val="67035656"/>
    <w:rsid w:val="67084EFB"/>
    <w:rsid w:val="670C5884"/>
    <w:rsid w:val="670D6F06"/>
    <w:rsid w:val="671604B0"/>
    <w:rsid w:val="67191E9B"/>
    <w:rsid w:val="671B5AC7"/>
    <w:rsid w:val="671F124A"/>
    <w:rsid w:val="6723497B"/>
    <w:rsid w:val="6727016E"/>
    <w:rsid w:val="67312A07"/>
    <w:rsid w:val="67322FC2"/>
    <w:rsid w:val="6732696D"/>
    <w:rsid w:val="6733521C"/>
    <w:rsid w:val="67346B89"/>
    <w:rsid w:val="673B1CC5"/>
    <w:rsid w:val="6744501E"/>
    <w:rsid w:val="67446DCC"/>
    <w:rsid w:val="674A015A"/>
    <w:rsid w:val="674D37A6"/>
    <w:rsid w:val="674F1E49"/>
    <w:rsid w:val="674F5E4E"/>
    <w:rsid w:val="67564D51"/>
    <w:rsid w:val="67620151"/>
    <w:rsid w:val="676905E0"/>
    <w:rsid w:val="676D0078"/>
    <w:rsid w:val="67753429"/>
    <w:rsid w:val="677879E5"/>
    <w:rsid w:val="677943D7"/>
    <w:rsid w:val="677A33C6"/>
    <w:rsid w:val="677B6565"/>
    <w:rsid w:val="677E783A"/>
    <w:rsid w:val="678002BE"/>
    <w:rsid w:val="67851192"/>
    <w:rsid w:val="67893390"/>
    <w:rsid w:val="678C6E29"/>
    <w:rsid w:val="678D64A0"/>
    <w:rsid w:val="6790263E"/>
    <w:rsid w:val="67947D38"/>
    <w:rsid w:val="6796489D"/>
    <w:rsid w:val="67A449AF"/>
    <w:rsid w:val="67A755AC"/>
    <w:rsid w:val="67A7735B"/>
    <w:rsid w:val="67A80A39"/>
    <w:rsid w:val="67AA0F65"/>
    <w:rsid w:val="67AA4CCD"/>
    <w:rsid w:val="67B11F87"/>
    <w:rsid w:val="67B37AAD"/>
    <w:rsid w:val="67B61D02"/>
    <w:rsid w:val="67BF28F6"/>
    <w:rsid w:val="67C21409"/>
    <w:rsid w:val="67C31D26"/>
    <w:rsid w:val="67C41CBB"/>
    <w:rsid w:val="67C972D1"/>
    <w:rsid w:val="67CB3049"/>
    <w:rsid w:val="67CE1634"/>
    <w:rsid w:val="67D338A4"/>
    <w:rsid w:val="67D57A24"/>
    <w:rsid w:val="67DD4B2A"/>
    <w:rsid w:val="67E03447"/>
    <w:rsid w:val="67E1461B"/>
    <w:rsid w:val="67E265E5"/>
    <w:rsid w:val="67E561A8"/>
    <w:rsid w:val="67E773BE"/>
    <w:rsid w:val="67E81E4D"/>
    <w:rsid w:val="67E91F08"/>
    <w:rsid w:val="67EA2859"/>
    <w:rsid w:val="67EE4F89"/>
    <w:rsid w:val="67F63BE1"/>
    <w:rsid w:val="67FA2CEF"/>
    <w:rsid w:val="67FB07A7"/>
    <w:rsid w:val="67FB209D"/>
    <w:rsid w:val="67FC1454"/>
    <w:rsid w:val="67FD51CC"/>
    <w:rsid w:val="680447AD"/>
    <w:rsid w:val="68064BD6"/>
    <w:rsid w:val="68071BA7"/>
    <w:rsid w:val="68097925"/>
    <w:rsid w:val="680E1188"/>
    <w:rsid w:val="68120C78"/>
    <w:rsid w:val="68143F80"/>
    <w:rsid w:val="68152516"/>
    <w:rsid w:val="68171D97"/>
    <w:rsid w:val="681A7B2C"/>
    <w:rsid w:val="681D13CB"/>
    <w:rsid w:val="681F6961"/>
    <w:rsid w:val="68201B86"/>
    <w:rsid w:val="68233D62"/>
    <w:rsid w:val="682664D1"/>
    <w:rsid w:val="682C160E"/>
    <w:rsid w:val="682D26EC"/>
    <w:rsid w:val="682D3A08"/>
    <w:rsid w:val="682E35D8"/>
    <w:rsid w:val="682F6360"/>
    <w:rsid w:val="68307350"/>
    <w:rsid w:val="68353276"/>
    <w:rsid w:val="683A01CF"/>
    <w:rsid w:val="683F57E5"/>
    <w:rsid w:val="683F7292"/>
    <w:rsid w:val="684352D5"/>
    <w:rsid w:val="68447EF6"/>
    <w:rsid w:val="68456552"/>
    <w:rsid w:val="68492160"/>
    <w:rsid w:val="684A6664"/>
    <w:rsid w:val="684C50B5"/>
    <w:rsid w:val="684E1DE8"/>
    <w:rsid w:val="68502387"/>
    <w:rsid w:val="685079F2"/>
    <w:rsid w:val="6853303E"/>
    <w:rsid w:val="68542E44"/>
    <w:rsid w:val="68582403"/>
    <w:rsid w:val="685A5E28"/>
    <w:rsid w:val="685C72C7"/>
    <w:rsid w:val="685E5C6B"/>
    <w:rsid w:val="685F3791"/>
    <w:rsid w:val="68602095"/>
    <w:rsid w:val="68610A2F"/>
    <w:rsid w:val="6861368C"/>
    <w:rsid w:val="6864524C"/>
    <w:rsid w:val="686455DF"/>
    <w:rsid w:val="68673B98"/>
    <w:rsid w:val="68680898"/>
    <w:rsid w:val="68686AEA"/>
    <w:rsid w:val="686B482C"/>
    <w:rsid w:val="686B6516"/>
    <w:rsid w:val="686D4031"/>
    <w:rsid w:val="686D4300"/>
    <w:rsid w:val="686F60CA"/>
    <w:rsid w:val="68700722"/>
    <w:rsid w:val="687436E1"/>
    <w:rsid w:val="68755EAC"/>
    <w:rsid w:val="68774F7F"/>
    <w:rsid w:val="68792AA5"/>
    <w:rsid w:val="687F3E33"/>
    <w:rsid w:val="687F5BE1"/>
    <w:rsid w:val="68805514"/>
    <w:rsid w:val="688471B6"/>
    <w:rsid w:val="688537F3"/>
    <w:rsid w:val="688625CD"/>
    <w:rsid w:val="68863414"/>
    <w:rsid w:val="688666D8"/>
    <w:rsid w:val="688D2CA3"/>
    <w:rsid w:val="688F051A"/>
    <w:rsid w:val="688F22C8"/>
    <w:rsid w:val="68934FFC"/>
    <w:rsid w:val="68961CEF"/>
    <w:rsid w:val="68996CA3"/>
    <w:rsid w:val="689A4E2A"/>
    <w:rsid w:val="689B622D"/>
    <w:rsid w:val="689B6EBF"/>
    <w:rsid w:val="689D149E"/>
    <w:rsid w:val="689E075E"/>
    <w:rsid w:val="68A000CC"/>
    <w:rsid w:val="68A044D6"/>
    <w:rsid w:val="68AF64C7"/>
    <w:rsid w:val="68B735CD"/>
    <w:rsid w:val="68B827A5"/>
    <w:rsid w:val="68B92D79"/>
    <w:rsid w:val="68BB5E7C"/>
    <w:rsid w:val="68BC0BE4"/>
    <w:rsid w:val="68CA155E"/>
    <w:rsid w:val="68CA2750"/>
    <w:rsid w:val="68CB18F9"/>
    <w:rsid w:val="68CB3841"/>
    <w:rsid w:val="68CF0917"/>
    <w:rsid w:val="68CF6B69"/>
    <w:rsid w:val="68CF7AED"/>
    <w:rsid w:val="68D17D7F"/>
    <w:rsid w:val="68D47038"/>
    <w:rsid w:val="68D57C80"/>
    <w:rsid w:val="68D7589B"/>
    <w:rsid w:val="68D75A1D"/>
    <w:rsid w:val="68D9087C"/>
    <w:rsid w:val="68DC3034"/>
    <w:rsid w:val="68DE0B5A"/>
    <w:rsid w:val="68DF1421"/>
    <w:rsid w:val="68E01DB6"/>
    <w:rsid w:val="68E32614"/>
    <w:rsid w:val="68EA1347"/>
    <w:rsid w:val="68ED228A"/>
    <w:rsid w:val="68ED571E"/>
    <w:rsid w:val="68ED7DC4"/>
    <w:rsid w:val="68EE278F"/>
    <w:rsid w:val="68F0088D"/>
    <w:rsid w:val="68F14D31"/>
    <w:rsid w:val="68F35EB3"/>
    <w:rsid w:val="68F44821"/>
    <w:rsid w:val="68F655AC"/>
    <w:rsid w:val="68F84A45"/>
    <w:rsid w:val="690507DD"/>
    <w:rsid w:val="69055D48"/>
    <w:rsid w:val="69076303"/>
    <w:rsid w:val="690D143F"/>
    <w:rsid w:val="69100406"/>
    <w:rsid w:val="69132EFA"/>
    <w:rsid w:val="69192872"/>
    <w:rsid w:val="69212CB2"/>
    <w:rsid w:val="69236EB5"/>
    <w:rsid w:val="692C3FBB"/>
    <w:rsid w:val="69313380"/>
    <w:rsid w:val="69316E2F"/>
    <w:rsid w:val="6932223E"/>
    <w:rsid w:val="693370F8"/>
    <w:rsid w:val="693D1D24"/>
    <w:rsid w:val="693D507A"/>
    <w:rsid w:val="694035C3"/>
    <w:rsid w:val="6942558D"/>
    <w:rsid w:val="6942733B"/>
    <w:rsid w:val="69456E2B"/>
    <w:rsid w:val="69482477"/>
    <w:rsid w:val="694A1418"/>
    <w:rsid w:val="694A61EF"/>
    <w:rsid w:val="694D0207"/>
    <w:rsid w:val="694E2071"/>
    <w:rsid w:val="695312C2"/>
    <w:rsid w:val="69531548"/>
    <w:rsid w:val="69561413"/>
    <w:rsid w:val="6958090C"/>
    <w:rsid w:val="69597818"/>
    <w:rsid w:val="695D581F"/>
    <w:rsid w:val="695E1C9B"/>
    <w:rsid w:val="695F613F"/>
    <w:rsid w:val="69605006"/>
    <w:rsid w:val="6962178B"/>
    <w:rsid w:val="696279DD"/>
    <w:rsid w:val="696324F7"/>
    <w:rsid w:val="696A0C89"/>
    <w:rsid w:val="69710DB3"/>
    <w:rsid w:val="697175FF"/>
    <w:rsid w:val="69735746"/>
    <w:rsid w:val="69736062"/>
    <w:rsid w:val="697616FC"/>
    <w:rsid w:val="69766163"/>
    <w:rsid w:val="69770338"/>
    <w:rsid w:val="697A3B33"/>
    <w:rsid w:val="697D4560"/>
    <w:rsid w:val="69851E23"/>
    <w:rsid w:val="69861312"/>
    <w:rsid w:val="6989238E"/>
    <w:rsid w:val="698A0CE2"/>
    <w:rsid w:val="698B4303"/>
    <w:rsid w:val="698B62FA"/>
    <w:rsid w:val="698E1994"/>
    <w:rsid w:val="699236ED"/>
    <w:rsid w:val="69933032"/>
    <w:rsid w:val="69951B60"/>
    <w:rsid w:val="699633EF"/>
    <w:rsid w:val="69983D07"/>
    <w:rsid w:val="699B5CE4"/>
    <w:rsid w:val="699D27C3"/>
    <w:rsid w:val="699E02E9"/>
    <w:rsid w:val="69A022B3"/>
    <w:rsid w:val="69A22FE6"/>
    <w:rsid w:val="69A35DAC"/>
    <w:rsid w:val="69A57678"/>
    <w:rsid w:val="69A74C44"/>
    <w:rsid w:val="69A80424"/>
    <w:rsid w:val="69A84119"/>
    <w:rsid w:val="69AC7C4F"/>
    <w:rsid w:val="69B0699A"/>
    <w:rsid w:val="69B13F9E"/>
    <w:rsid w:val="69B53998"/>
    <w:rsid w:val="69B53FB1"/>
    <w:rsid w:val="69B55D5F"/>
    <w:rsid w:val="69B5697D"/>
    <w:rsid w:val="69B95123"/>
    <w:rsid w:val="69BF37A7"/>
    <w:rsid w:val="69BF6BDD"/>
    <w:rsid w:val="69C064B2"/>
    <w:rsid w:val="69C2248D"/>
    <w:rsid w:val="69C50153"/>
    <w:rsid w:val="69CC3DDF"/>
    <w:rsid w:val="69CE5072"/>
    <w:rsid w:val="69D00DEB"/>
    <w:rsid w:val="69D44760"/>
    <w:rsid w:val="69D56401"/>
    <w:rsid w:val="69D65C6C"/>
    <w:rsid w:val="69D87C9F"/>
    <w:rsid w:val="69DD3507"/>
    <w:rsid w:val="69E00902"/>
    <w:rsid w:val="69E72135"/>
    <w:rsid w:val="69E93C5A"/>
    <w:rsid w:val="69EB79D2"/>
    <w:rsid w:val="69ED4B4A"/>
    <w:rsid w:val="69EE74C3"/>
    <w:rsid w:val="69F34AD9"/>
    <w:rsid w:val="69F61ED3"/>
    <w:rsid w:val="69F85C4B"/>
    <w:rsid w:val="69FE1A9E"/>
    <w:rsid w:val="69FF522C"/>
    <w:rsid w:val="6A0171F6"/>
    <w:rsid w:val="6A040A94"/>
    <w:rsid w:val="6A072332"/>
    <w:rsid w:val="6A0E36C1"/>
    <w:rsid w:val="6A1011E7"/>
    <w:rsid w:val="6A117B3B"/>
    <w:rsid w:val="6A1273E1"/>
    <w:rsid w:val="6A132A85"/>
    <w:rsid w:val="6A156997"/>
    <w:rsid w:val="6A1862EE"/>
    <w:rsid w:val="6A1865B5"/>
    <w:rsid w:val="6A1A02B8"/>
    <w:rsid w:val="6A1B06CD"/>
    <w:rsid w:val="6A226B98"/>
    <w:rsid w:val="6A2276DF"/>
    <w:rsid w:val="6A266C5C"/>
    <w:rsid w:val="6A32430B"/>
    <w:rsid w:val="6A334ED5"/>
    <w:rsid w:val="6A366774"/>
    <w:rsid w:val="6A3A7CAA"/>
    <w:rsid w:val="6A3D7B02"/>
    <w:rsid w:val="6A3F666F"/>
    <w:rsid w:val="6A445335"/>
    <w:rsid w:val="6A4465F0"/>
    <w:rsid w:val="6A4B71E9"/>
    <w:rsid w:val="6A4E1F2A"/>
    <w:rsid w:val="6A4E31B2"/>
    <w:rsid w:val="6A520EC7"/>
    <w:rsid w:val="6A57669C"/>
    <w:rsid w:val="6A5B0CF3"/>
    <w:rsid w:val="6A5C63A1"/>
    <w:rsid w:val="6A6432E1"/>
    <w:rsid w:val="6A694D9B"/>
    <w:rsid w:val="6A6C0858"/>
    <w:rsid w:val="6A6C45FA"/>
    <w:rsid w:val="6A6C63A9"/>
    <w:rsid w:val="6A6D758A"/>
    <w:rsid w:val="6A6D769F"/>
    <w:rsid w:val="6A6E6628"/>
    <w:rsid w:val="6A6F6040"/>
    <w:rsid w:val="6A745C1A"/>
    <w:rsid w:val="6A763050"/>
    <w:rsid w:val="6A793D48"/>
    <w:rsid w:val="6A7D0E05"/>
    <w:rsid w:val="6A8000FB"/>
    <w:rsid w:val="6A890F99"/>
    <w:rsid w:val="6A8A0023"/>
    <w:rsid w:val="6A8A4544"/>
    <w:rsid w:val="6A923F3B"/>
    <w:rsid w:val="6A930EAF"/>
    <w:rsid w:val="6A946571"/>
    <w:rsid w:val="6A9E67F3"/>
    <w:rsid w:val="6AA236F1"/>
    <w:rsid w:val="6AA33E09"/>
    <w:rsid w:val="6AA54025"/>
    <w:rsid w:val="6AA67D9D"/>
    <w:rsid w:val="6AA872B1"/>
    <w:rsid w:val="6AA91A68"/>
    <w:rsid w:val="6AAB0F10"/>
    <w:rsid w:val="6AB57FE0"/>
    <w:rsid w:val="6AB630E4"/>
    <w:rsid w:val="6AB63143"/>
    <w:rsid w:val="6AB73D58"/>
    <w:rsid w:val="6AC25A34"/>
    <w:rsid w:val="6AC36259"/>
    <w:rsid w:val="6ACB04D9"/>
    <w:rsid w:val="6ACB15B2"/>
    <w:rsid w:val="6ACD0E86"/>
    <w:rsid w:val="6ACD6702"/>
    <w:rsid w:val="6ADC556D"/>
    <w:rsid w:val="6ADF127C"/>
    <w:rsid w:val="6AE267F1"/>
    <w:rsid w:val="6AE306AA"/>
    <w:rsid w:val="6AE61F48"/>
    <w:rsid w:val="6AE83F12"/>
    <w:rsid w:val="6AE97F9D"/>
    <w:rsid w:val="6AEA7C8A"/>
    <w:rsid w:val="6AEB755E"/>
    <w:rsid w:val="6AED1528"/>
    <w:rsid w:val="6AEF44EE"/>
    <w:rsid w:val="6AEF7DCE"/>
    <w:rsid w:val="6AF162E4"/>
    <w:rsid w:val="6AF24D91"/>
    <w:rsid w:val="6AF5734A"/>
    <w:rsid w:val="6AF768AB"/>
    <w:rsid w:val="6AF87E20"/>
    <w:rsid w:val="6AFA5B2F"/>
    <w:rsid w:val="6AFB1E97"/>
    <w:rsid w:val="6AFD6B9F"/>
    <w:rsid w:val="6B001234"/>
    <w:rsid w:val="6B012A20"/>
    <w:rsid w:val="6B0C5E52"/>
    <w:rsid w:val="6B102506"/>
    <w:rsid w:val="6B1029CC"/>
    <w:rsid w:val="6B166CD1"/>
    <w:rsid w:val="6B174F6F"/>
    <w:rsid w:val="6B18104E"/>
    <w:rsid w:val="6B1E16E2"/>
    <w:rsid w:val="6B2036AC"/>
    <w:rsid w:val="6B20545A"/>
    <w:rsid w:val="6B217424"/>
    <w:rsid w:val="6B225676"/>
    <w:rsid w:val="6B250CC2"/>
    <w:rsid w:val="6B255FDA"/>
    <w:rsid w:val="6B272C8C"/>
    <w:rsid w:val="6B2A452A"/>
    <w:rsid w:val="6B2F1B41"/>
    <w:rsid w:val="6B31301C"/>
    <w:rsid w:val="6B322639"/>
    <w:rsid w:val="6B331BD8"/>
    <w:rsid w:val="6B347157"/>
    <w:rsid w:val="6B364C7D"/>
    <w:rsid w:val="6B3B5513"/>
    <w:rsid w:val="6B3D24B0"/>
    <w:rsid w:val="6B43739A"/>
    <w:rsid w:val="6B472278"/>
    <w:rsid w:val="6B474770"/>
    <w:rsid w:val="6B4751B5"/>
    <w:rsid w:val="6B480E55"/>
    <w:rsid w:val="6B4A24D7"/>
    <w:rsid w:val="6B4D0219"/>
    <w:rsid w:val="6B4F5D3F"/>
    <w:rsid w:val="6B51488E"/>
    <w:rsid w:val="6B550548"/>
    <w:rsid w:val="6B581098"/>
    <w:rsid w:val="6B594E10"/>
    <w:rsid w:val="6B5B2936"/>
    <w:rsid w:val="6B610780"/>
    <w:rsid w:val="6B630195"/>
    <w:rsid w:val="6B651953"/>
    <w:rsid w:val="6B657311"/>
    <w:rsid w:val="6B6F7463"/>
    <w:rsid w:val="6B710C4F"/>
    <w:rsid w:val="6B795DFA"/>
    <w:rsid w:val="6B7D28AC"/>
    <w:rsid w:val="6B7F6AB4"/>
    <w:rsid w:val="6B803714"/>
    <w:rsid w:val="6B8059CF"/>
    <w:rsid w:val="6B827EC3"/>
    <w:rsid w:val="6B833C3B"/>
    <w:rsid w:val="6B87197D"/>
    <w:rsid w:val="6B881251"/>
    <w:rsid w:val="6B884640"/>
    <w:rsid w:val="6B8A1DDC"/>
    <w:rsid w:val="6B8D175F"/>
    <w:rsid w:val="6B8F6EEA"/>
    <w:rsid w:val="6B910069"/>
    <w:rsid w:val="6B945E48"/>
    <w:rsid w:val="6B976DEB"/>
    <w:rsid w:val="6B9A5E05"/>
    <w:rsid w:val="6B9B2D32"/>
    <w:rsid w:val="6B9C4332"/>
    <w:rsid w:val="6B9D4848"/>
    <w:rsid w:val="6B9E2823"/>
    <w:rsid w:val="6BA20565"/>
    <w:rsid w:val="6BAA566B"/>
    <w:rsid w:val="6BAA7419"/>
    <w:rsid w:val="6BB0162A"/>
    <w:rsid w:val="6BB12556"/>
    <w:rsid w:val="6BB415CA"/>
    <w:rsid w:val="6BB4368B"/>
    <w:rsid w:val="6BB65DBE"/>
    <w:rsid w:val="6BC04E8F"/>
    <w:rsid w:val="6BC27CCC"/>
    <w:rsid w:val="6BCC7390"/>
    <w:rsid w:val="6BD43696"/>
    <w:rsid w:val="6BD4580C"/>
    <w:rsid w:val="6BDA0815"/>
    <w:rsid w:val="6BDF5315"/>
    <w:rsid w:val="6BE013B1"/>
    <w:rsid w:val="6BE41585"/>
    <w:rsid w:val="6BE74475"/>
    <w:rsid w:val="6BE91CF0"/>
    <w:rsid w:val="6BEC6062"/>
    <w:rsid w:val="6BF27367"/>
    <w:rsid w:val="6BF407AD"/>
    <w:rsid w:val="6BF87B65"/>
    <w:rsid w:val="6BFF1513"/>
    <w:rsid w:val="6C007039"/>
    <w:rsid w:val="6C042FCD"/>
    <w:rsid w:val="6C091BE8"/>
    <w:rsid w:val="6C094140"/>
    <w:rsid w:val="6C0B610A"/>
    <w:rsid w:val="6C0C471F"/>
    <w:rsid w:val="6C1825D5"/>
    <w:rsid w:val="6C1B03AB"/>
    <w:rsid w:val="6C1B3E73"/>
    <w:rsid w:val="6C1C0317"/>
    <w:rsid w:val="6C213786"/>
    <w:rsid w:val="6C272818"/>
    <w:rsid w:val="6C2747CF"/>
    <w:rsid w:val="6C2B055A"/>
    <w:rsid w:val="6C2F15A9"/>
    <w:rsid w:val="6C335178"/>
    <w:rsid w:val="6C346984"/>
    <w:rsid w:val="6C375151"/>
    <w:rsid w:val="6C3804F7"/>
    <w:rsid w:val="6C423AF6"/>
    <w:rsid w:val="6C4433CA"/>
    <w:rsid w:val="6C4512BE"/>
    <w:rsid w:val="6C4B29AA"/>
    <w:rsid w:val="6C4B683D"/>
    <w:rsid w:val="6C4C04D0"/>
    <w:rsid w:val="6C4D3B89"/>
    <w:rsid w:val="6C5C5A57"/>
    <w:rsid w:val="6C5F63CA"/>
    <w:rsid w:val="6C5F6456"/>
    <w:rsid w:val="6C636C38"/>
    <w:rsid w:val="6C64581A"/>
    <w:rsid w:val="6C6815AE"/>
    <w:rsid w:val="6C7041BF"/>
    <w:rsid w:val="6C733CAF"/>
    <w:rsid w:val="6C75636F"/>
    <w:rsid w:val="6C7C2B64"/>
    <w:rsid w:val="6C7D63B4"/>
    <w:rsid w:val="6C7F08A6"/>
    <w:rsid w:val="6C81770F"/>
    <w:rsid w:val="6C8263EB"/>
    <w:rsid w:val="6C830396"/>
    <w:rsid w:val="6C87570F"/>
    <w:rsid w:val="6C8A6C41"/>
    <w:rsid w:val="6C8D5262"/>
    <w:rsid w:val="6C942417"/>
    <w:rsid w:val="6C951E77"/>
    <w:rsid w:val="6C9A45DE"/>
    <w:rsid w:val="6C9C075E"/>
    <w:rsid w:val="6C9F4AA4"/>
    <w:rsid w:val="6CA34594"/>
    <w:rsid w:val="6CA67BE1"/>
    <w:rsid w:val="6CA976D1"/>
    <w:rsid w:val="6CAB25F3"/>
    <w:rsid w:val="6CAD554A"/>
    <w:rsid w:val="6CAE4CE7"/>
    <w:rsid w:val="6CB31385"/>
    <w:rsid w:val="6CBA0FE1"/>
    <w:rsid w:val="6CBC5656"/>
    <w:rsid w:val="6CBD4359"/>
    <w:rsid w:val="6CC30793"/>
    <w:rsid w:val="6CC938CF"/>
    <w:rsid w:val="6CCA12D7"/>
    <w:rsid w:val="6CCA4273"/>
    <w:rsid w:val="6CCB3AEB"/>
    <w:rsid w:val="6CCB4FE3"/>
    <w:rsid w:val="6CCD7D78"/>
    <w:rsid w:val="6CD04C5E"/>
    <w:rsid w:val="6CD56718"/>
    <w:rsid w:val="6CD6672A"/>
    <w:rsid w:val="6CDF2AE4"/>
    <w:rsid w:val="6CE10B06"/>
    <w:rsid w:val="6CE147A5"/>
    <w:rsid w:val="6CE16E6B"/>
    <w:rsid w:val="6CE33F0D"/>
    <w:rsid w:val="6CE34991"/>
    <w:rsid w:val="6CE66303"/>
    <w:rsid w:val="6CEB0015"/>
    <w:rsid w:val="6CEF6BB8"/>
    <w:rsid w:val="6CF06436"/>
    <w:rsid w:val="6CF3094C"/>
    <w:rsid w:val="6CFE4272"/>
    <w:rsid w:val="6CFE7A1D"/>
    <w:rsid w:val="6CFF109D"/>
    <w:rsid w:val="6CFF5543"/>
    <w:rsid w:val="6D00146C"/>
    <w:rsid w:val="6D003795"/>
    <w:rsid w:val="6D05257B"/>
    <w:rsid w:val="6D0A4C32"/>
    <w:rsid w:val="6D0E5786"/>
    <w:rsid w:val="6D106A4D"/>
    <w:rsid w:val="6D1159A2"/>
    <w:rsid w:val="6D125092"/>
    <w:rsid w:val="6D1A3A46"/>
    <w:rsid w:val="6D1C7EA3"/>
    <w:rsid w:val="6D2031F1"/>
    <w:rsid w:val="6D237483"/>
    <w:rsid w:val="6D272548"/>
    <w:rsid w:val="6D2773EB"/>
    <w:rsid w:val="6D2A0A99"/>
    <w:rsid w:val="6D30394E"/>
    <w:rsid w:val="6D321474"/>
    <w:rsid w:val="6D3A4C1C"/>
    <w:rsid w:val="6D3F5E09"/>
    <w:rsid w:val="6D433529"/>
    <w:rsid w:val="6D464F20"/>
    <w:rsid w:val="6D4C4C2C"/>
    <w:rsid w:val="6D4D2B68"/>
    <w:rsid w:val="6D4E4542"/>
    <w:rsid w:val="6D4F0278"/>
    <w:rsid w:val="6D505D9E"/>
    <w:rsid w:val="6D521B17"/>
    <w:rsid w:val="6D5238C5"/>
    <w:rsid w:val="6D535F8B"/>
    <w:rsid w:val="6D577BC2"/>
    <w:rsid w:val="6D5910F7"/>
    <w:rsid w:val="6D5C2135"/>
    <w:rsid w:val="6D5E2269"/>
    <w:rsid w:val="6D5E670D"/>
    <w:rsid w:val="6D632886"/>
    <w:rsid w:val="6D63353E"/>
    <w:rsid w:val="6D652E70"/>
    <w:rsid w:val="6D675D52"/>
    <w:rsid w:val="6D6B38D7"/>
    <w:rsid w:val="6D6C02AA"/>
    <w:rsid w:val="6D73031E"/>
    <w:rsid w:val="6D741A8D"/>
    <w:rsid w:val="6D787A3F"/>
    <w:rsid w:val="6D792E30"/>
    <w:rsid w:val="6D796598"/>
    <w:rsid w:val="6D7970A3"/>
    <w:rsid w:val="6D7A4112"/>
    <w:rsid w:val="6D8343C6"/>
    <w:rsid w:val="6D874A1C"/>
    <w:rsid w:val="6D8877FC"/>
    <w:rsid w:val="6D8A305E"/>
    <w:rsid w:val="6D9631CE"/>
    <w:rsid w:val="6D9917E5"/>
    <w:rsid w:val="6D9B526C"/>
    <w:rsid w:val="6D9E4D5C"/>
    <w:rsid w:val="6DA21BF5"/>
    <w:rsid w:val="6DA22A9E"/>
    <w:rsid w:val="6DA560EA"/>
    <w:rsid w:val="6DA93E2C"/>
    <w:rsid w:val="6DAB4C32"/>
    <w:rsid w:val="6DAD3421"/>
    <w:rsid w:val="6DB34098"/>
    <w:rsid w:val="6DB36FA7"/>
    <w:rsid w:val="6DB545B6"/>
    <w:rsid w:val="6DB9234E"/>
    <w:rsid w:val="6DBD1686"/>
    <w:rsid w:val="6DBF3963"/>
    <w:rsid w:val="6DBF6BF2"/>
    <w:rsid w:val="6DC347C2"/>
    <w:rsid w:val="6DC63B88"/>
    <w:rsid w:val="6DC81DD9"/>
    <w:rsid w:val="6DC82666"/>
    <w:rsid w:val="6DCA78FF"/>
    <w:rsid w:val="6DCC18C9"/>
    <w:rsid w:val="6DCE3893"/>
    <w:rsid w:val="6DCF55CC"/>
    <w:rsid w:val="6DD0537D"/>
    <w:rsid w:val="6DD15131"/>
    <w:rsid w:val="6DD24183"/>
    <w:rsid w:val="6DD30318"/>
    <w:rsid w:val="6DD54C21"/>
    <w:rsid w:val="6DD6347A"/>
    <w:rsid w:val="6DD93FE6"/>
    <w:rsid w:val="6DDE5E28"/>
    <w:rsid w:val="6DE02FB4"/>
    <w:rsid w:val="6DE04B94"/>
    <w:rsid w:val="6DE07122"/>
    <w:rsid w:val="6DE203FF"/>
    <w:rsid w:val="6DE5298B"/>
    <w:rsid w:val="6DED0C6F"/>
    <w:rsid w:val="6DED3E63"/>
    <w:rsid w:val="6DF15D5E"/>
    <w:rsid w:val="6DF2140B"/>
    <w:rsid w:val="6DF42BCE"/>
    <w:rsid w:val="6DF5610C"/>
    <w:rsid w:val="6DF57072"/>
    <w:rsid w:val="6DFA5118"/>
    <w:rsid w:val="6E041063"/>
    <w:rsid w:val="6E0472B5"/>
    <w:rsid w:val="6E0761C6"/>
    <w:rsid w:val="6E0830F2"/>
    <w:rsid w:val="6E096679"/>
    <w:rsid w:val="6E0A419F"/>
    <w:rsid w:val="6E0B40DE"/>
    <w:rsid w:val="6E0B625F"/>
    <w:rsid w:val="6E0C315A"/>
    <w:rsid w:val="6E113780"/>
    <w:rsid w:val="6E155044"/>
    <w:rsid w:val="6E1A0886"/>
    <w:rsid w:val="6E1F4CD1"/>
    <w:rsid w:val="6E25722B"/>
    <w:rsid w:val="6E2C2368"/>
    <w:rsid w:val="6E2C24ED"/>
    <w:rsid w:val="6E2C680B"/>
    <w:rsid w:val="6E31797E"/>
    <w:rsid w:val="6E3463AF"/>
    <w:rsid w:val="6E35746E"/>
    <w:rsid w:val="6E3851B0"/>
    <w:rsid w:val="6E3C30EB"/>
    <w:rsid w:val="6E406A38"/>
    <w:rsid w:val="6E421B8B"/>
    <w:rsid w:val="6E494409"/>
    <w:rsid w:val="6E5022A3"/>
    <w:rsid w:val="6E514CED"/>
    <w:rsid w:val="6E530188"/>
    <w:rsid w:val="6E5378F4"/>
    <w:rsid w:val="6E565636"/>
    <w:rsid w:val="6E58147C"/>
    <w:rsid w:val="6E5D4C17"/>
    <w:rsid w:val="6E5E7598"/>
    <w:rsid w:val="6E6164B5"/>
    <w:rsid w:val="6E650F3D"/>
    <w:rsid w:val="6E657628"/>
    <w:rsid w:val="6E6C6C08"/>
    <w:rsid w:val="6E6D577C"/>
    <w:rsid w:val="6E782F78"/>
    <w:rsid w:val="6E7837FF"/>
    <w:rsid w:val="6E7F6627"/>
    <w:rsid w:val="6E804A7C"/>
    <w:rsid w:val="6E810905"/>
    <w:rsid w:val="6E851A78"/>
    <w:rsid w:val="6E8842D7"/>
    <w:rsid w:val="6E8B3532"/>
    <w:rsid w:val="6E8B6FAE"/>
    <w:rsid w:val="6E902A3A"/>
    <w:rsid w:val="6E906D9A"/>
    <w:rsid w:val="6E91666F"/>
    <w:rsid w:val="6E925FF2"/>
    <w:rsid w:val="6E930639"/>
    <w:rsid w:val="6E973381"/>
    <w:rsid w:val="6E9879FD"/>
    <w:rsid w:val="6EA463A2"/>
    <w:rsid w:val="6EA6036C"/>
    <w:rsid w:val="6EA63EC8"/>
    <w:rsid w:val="6EA840E4"/>
    <w:rsid w:val="6EA92203"/>
    <w:rsid w:val="6EB02F99"/>
    <w:rsid w:val="6EB211C6"/>
    <w:rsid w:val="6EB365E5"/>
    <w:rsid w:val="6EB563D5"/>
    <w:rsid w:val="6EBA6E02"/>
    <w:rsid w:val="6EBF78EC"/>
    <w:rsid w:val="6EC11436"/>
    <w:rsid w:val="6EC56570"/>
    <w:rsid w:val="6EC627BC"/>
    <w:rsid w:val="6EC72F64"/>
    <w:rsid w:val="6ECA28F1"/>
    <w:rsid w:val="6ECB392F"/>
    <w:rsid w:val="6ECB7DD2"/>
    <w:rsid w:val="6ECC4053"/>
    <w:rsid w:val="6ECC76A7"/>
    <w:rsid w:val="6ED0363B"/>
    <w:rsid w:val="6ED32AF1"/>
    <w:rsid w:val="6ED40EA6"/>
    <w:rsid w:val="6ED70242"/>
    <w:rsid w:val="6ED73575"/>
    <w:rsid w:val="6ED80B9E"/>
    <w:rsid w:val="6ED8604B"/>
    <w:rsid w:val="6ED92677"/>
    <w:rsid w:val="6EDD3662"/>
    <w:rsid w:val="6EDE7B06"/>
    <w:rsid w:val="6EDF387E"/>
    <w:rsid w:val="6EDF562C"/>
    <w:rsid w:val="6EDF73DA"/>
    <w:rsid w:val="6EE37AB3"/>
    <w:rsid w:val="6EE47338"/>
    <w:rsid w:val="6EE844E0"/>
    <w:rsid w:val="6EEC3222"/>
    <w:rsid w:val="6EEF1A91"/>
    <w:rsid w:val="6EF015E7"/>
    <w:rsid w:val="6EF32E85"/>
    <w:rsid w:val="6EF74444"/>
    <w:rsid w:val="6EF914F5"/>
    <w:rsid w:val="6EFE3D04"/>
    <w:rsid w:val="6F062BB9"/>
    <w:rsid w:val="6F0D2199"/>
    <w:rsid w:val="6F1403AD"/>
    <w:rsid w:val="6F156D3B"/>
    <w:rsid w:val="6F1928EC"/>
    <w:rsid w:val="6F1C23DC"/>
    <w:rsid w:val="6F1C4086"/>
    <w:rsid w:val="6F207DEE"/>
    <w:rsid w:val="6F225983"/>
    <w:rsid w:val="6F237E99"/>
    <w:rsid w:val="6F240AD7"/>
    <w:rsid w:val="6F270DBA"/>
    <w:rsid w:val="6F2A4AF9"/>
    <w:rsid w:val="6F2F54CD"/>
    <w:rsid w:val="6F321C00"/>
    <w:rsid w:val="6F3239AE"/>
    <w:rsid w:val="6F35524C"/>
    <w:rsid w:val="6F3941EE"/>
    <w:rsid w:val="6F394D3C"/>
    <w:rsid w:val="6F3B6BD4"/>
    <w:rsid w:val="6F411E43"/>
    <w:rsid w:val="6F41316E"/>
    <w:rsid w:val="6F414CE4"/>
    <w:rsid w:val="6F437969"/>
    <w:rsid w:val="6F470F0C"/>
    <w:rsid w:val="6F4F05D9"/>
    <w:rsid w:val="6F4F4560"/>
    <w:rsid w:val="6F567512"/>
    <w:rsid w:val="6F5A2F04"/>
    <w:rsid w:val="6F62647B"/>
    <w:rsid w:val="6F651FD5"/>
    <w:rsid w:val="6F6560B7"/>
    <w:rsid w:val="6F6618A9"/>
    <w:rsid w:val="6F685621"/>
    <w:rsid w:val="6F6B6EC0"/>
    <w:rsid w:val="6F6C3363"/>
    <w:rsid w:val="6F6D49E6"/>
    <w:rsid w:val="6F6F518C"/>
    <w:rsid w:val="6F773AB6"/>
    <w:rsid w:val="6F795A80"/>
    <w:rsid w:val="6F7C2E7B"/>
    <w:rsid w:val="6F7E4E45"/>
    <w:rsid w:val="6F806F25"/>
    <w:rsid w:val="6F8166E3"/>
    <w:rsid w:val="6F854D75"/>
    <w:rsid w:val="6F871F4B"/>
    <w:rsid w:val="6F8C4EB3"/>
    <w:rsid w:val="6F9B53AE"/>
    <w:rsid w:val="6F9C52CB"/>
    <w:rsid w:val="6F9D176F"/>
    <w:rsid w:val="6F9D65B5"/>
    <w:rsid w:val="6FA64AAB"/>
    <w:rsid w:val="6FAA342C"/>
    <w:rsid w:val="6FB0128E"/>
    <w:rsid w:val="6FB16FC8"/>
    <w:rsid w:val="6FB410EE"/>
    <w:rsid w:val="6FB877CA"/>
    <w:rsid w:val="6FB97D78"/>
    <w:rsid w:val="6FBE2D32"/>
    <w:rsid w:val="6FC106B6"/>
    <w:rsid w:val="6FC211D5"/>
    <w:rsid w:val="6FC31206"/>
    <w:rsid w:val="6FC3739D"/>
    <w:rsid w:val="6FC52A74"/>
    <w:rsid w:val="6FC8316E"/>
    <w:rsid w:val="6FD41F9F"/>
    <w:rsid w:val="6FD63EEF"/>
    <w:rsid w:val="6FD66A2F"/>
    <w:rsid w:val="6FD902CD"/>
    <w:rsid w:val="6FDC4D5E"/>
    <w:rsid w:val="6FDD600F"/>
    <w:rsid w:val="6FDE23E9"/>
    <w:rsid w:val="6FE264A0"/>
    <w:rsid w:val="6FE4739E"/>
    <w:rsid w:val="6FED512C"/>
    <w:rsid w:val="6FEF47F1"/>
    <w:rsid w:val="6FF0075C"/>
    <w:rsid w:val="6FF24BF2"/>
    <w:rsid w:val="6FFB0243"/>
    <w:rsid w:val="6FFC14C6"/>
    <w:rsid w:val="6FFC5590"/>
    <w:rsid w:val="6FFD4D9E"/>
    <w:rsid w:val="6FFE345A"/>
    <w:rsid w:val="6FFF26AD"/>
    <w:rsid w:val="7004359C"/>
    <w:rsid w:val="70043CD5"/>
    <w:rsid w:val="70082909"/>
    <w:rsid w:val="700F5A14"/>
    <w:rsid w:val="70117912"/>
    <w:rsid w:val="701337DF"/>
    <w:rsid w:val="70156034"/>
    <w:rsid w:val="7016338C"/>
    <w:rsid w:val="70194B6E"/>
    <w:rsid w:val="701A6335"/>
    <w:rsid w:val="701B7206"/>
    <w:rsid w:val="701C4722"/>
    <w:rsid w:val="701F58F4"/>
    <w:rsid w:val="702B68F1"/>
    <w:rsid w:val="70311EB7"/>
    <w:rsid w:val="70345356"/>
    <w:rsid w:val="70352E65"/>
    <w:rsid w:val="7039043A"/>
    <w:rsid w:val="703A5210"/>
    <w:rsid w:val="703B2D36"/>
    <w:rsid w:val="703B3B29"/>
    <w:rsid w:val="703B4AE4"/>
    <w:rsid w:val="703B4E74"/>
    <w:rsid w:val="703D1676"/>
    <w:rsid w:val="704240C4"/>
    <w:rsid w:val="704630CB"/>
    <w:rsid w:val="7046768A"/>
    <w:rsid w:val="704B11CB"/>
    <w:rsid w:val="704C6CF1"/>
    <w:rsid w:val="7053582A"/>
    <w:rsid w:val="70574571"/>
    <w:rsid w:val="70597AEB"/>
    <w:rsid w:val="705A000D"/>
    <w:rsid w:val="705A5F53"/>
    <w:rsid w:val="705F6A24"/>
    <w:rsid w:val="70626515"/>
    <w:rsid w:val="70645F6C"/>
    <w:rsid w:val="70666005"/>
    <w:rsid w:val="706A2C5E"/>
    <w:rsid w:val="706C1141"/>
    <w:rsid w:val="706D1DD0"/>
    <w:rsid w:val="70784C0A"/>
    <w:rsid w:val="70812B99"/>
    <w:rsid w:val="70856B87"/>
    <w:rsid w:val="7089584F"/>
    <w:rsid w:val="70906068"/>
    <w:rsid w:val="70926DFA"/>
    <w:rsid w:val="70952156"/>
    <w:rsid w:val="70981F36"/>
    <w:rsid w:val="70985FB7"/>
    <w:rsid w:val="7099764F"/>
    <w:rsid w:val="709A41CE"/>
    <w:rsid w:val="709D05FA"/>
    <w:rsid w:val="709D754D"/>
    <w:rsid w:val="70A22DB5"/>
    <w:rsid w:val="70A54963"/>
    <w:rsid w:val="70A6680F"/>
    <w:rsid w:val="70AB1C6A"/>
    <w:rsid w:val="70B54896"/>
    <w:rsid w:val="70B56AE4"/>
    <w:rsid w:val="70B701C2"/>
    <w:rsid w:val="70B96CCA"/>
    <w:rsid w:val="70BA00FF"/>
    <w:rsid w:val="70C150ED"/>
    <w:rsid w:val="70C42D2B"/>
    <w:rsid w:val="70C96594"/>
    <w:rsid w:val="70CB230C"/>
    <w:rsid w:val="70D50A94"/>
    <w:rsid w:val="70D527EE"/>
    <w:rsid w:val="70DC0CFB"/>
    <w:rsid w:val="70E138DD"/>
    <w:rsid w:val="70E433CD"/>
    <w:rsid w:val="70E46F2A"/>
    <w:rsid w:val="70E70ADA"/>
    <w:rsid w:val="70ED6AF7"/>
    <w:rsid w:val="70EF3E1D"/>
    <w:rsid w:val="70F058CE"/>
    <w:rsid w:val="70F37525"/>
    <w:rsid w:val="70F6250B"/>
    <w:rsid w:val="70F73101"/>
    <w:rsid w:val="70FA04FB"/>
    <w:rsid w:val="70FA674D"/>
    <w:rsid w:val="70FB1535"/>
    <w:rsid w:val="70FF5B11"/>
    <w:rsid w:val="7104709E"/>
    <w:rsid w:val="71094844"/>
    <w:rsid w:val="710A268A"/>
    <w:rsid w:val="710B095A"/>
    <w:rsid w:val="710D0C74"/>
    <w:rsid w:val="710E4AA4"/>
    <w:rsid w:val="710F4C54"/>
    <w:rsid w:val="71106F93"/>
    <w:rsid w:val="711525B3"/>
    <w:rsid w:val="71160895"/>
    <w:rsid w:val="71197455"/>
    <w:rsid w:val="711E068D"/>
    <w:rsid w:val="711E7B3E"/>
    <w:rsid w:val="71213150"/>
    <w:rsid w:val="71241A1C"/>
    <w:rsid w:val="712437CA"/>
    <w:rsid w:val="71267542"/>
    <w:rsid w:val="712E63F7"/>
    <w:rsid w:val="7130059F"/>
    <w:rsid w:val="71425B49"/>
    <w:rsid w:val="71444FD4"/>
    <w:rsid w:val="71463740"/>
    <w:rsid w:val="714F6012"/>
    <w:rsid w:val="715367D4"/>
    <w:rsid w:val="715416A2"/>
    <w:rsid w:val="71597917"/>
    <w:rsid w:val="715B5300"/>
    <w:rsid w:val="715E4F2E"/>
    <w:rsid w:val="715F2D1C"/>
    <w:rsid w:val="715F4802"/>
    <w:rsid w:val="7161057A"/>
    <w:rsid w:val="71611EFA"/>
    <w:rsid w:val="716167CC"/>
    <w:rsid w:val="71663BE2"/>
    <w:rsid w:val="716779C3"/>
    <w:rsid w:val="716B764B"/>
    <w:rsid w:val="716E19B6"/>
    <w:rsid w:val="716F4E6E"/>
    <w:rsid w:val="716F713B"/>
    <w:rsid w:val="71721D2E"/>
    <w:rsid w:val="71744751"/>
    <w:rsid w:val="717A61ED"/>
    <w:rsid w:val="717E2EDA"/>
    <w:rsid w:val="718D5813"/>
    <w:rsid w:val="71963B10"/>
    <w:rsid w:val="719646C8"/>
    <w:rsid w:val="71970440"/>
    <w:rsid w:val="719A09DE"/>
    <w:rsid w:val="719E17CE"/>
    <w:rsid w:val="719E357C"/>
    <w:rsid w:val="719F7D27"/>
    <w:rsid w:val="71A16BC9"/>
    <w:rsid w:val="71A41562"/>
    <w:rsid w:val="71A52C90"/>
    <w:rsid w:val="71A65ADA"/>
    <w:rsid w:val="71A66D7B"/>
    <w:rsid w:val="71AF5789"/>
    <w:rsid w:val="71B05608"/>
    <w:rsid w:val="71B077D0"/>
    <w:rsid w:val="71B1539A"/>
    <w:rsid w:val="71B30116"/>
    <w:rsid w:val="71B64249"/>
    <w:rsid w:val="71BA094E"/>
    <w:rsid w:val="71BC3A02"/>
    <w:rsid w:val="71C11BF7"/>
    <w:rsid w:val="71C1397E"/>
    <w:rsid w:val="71C54FAD"/>
    <w:rsid w:val="71C662C9"/>
    <w:rsid w:val="71CA4371"/>
    <w:rsid w:val="71CA611F"/>
    <w:rsid w:val="71D13771"/>
    <w:rsid w:val="71D27F8A"/>
    <w:rsid w:val="71D71B90"/>
    <w:rsid w:val="71D92806"/>
    <w:rsid w:val="71D977B2"/>
    <w:rsid w:val="71DE3951"/>
    <w:rsid w:val="71DF0FEF"/>
    <w:rsid w:val="71DF78C7"/>
    <w:rsid w:val="71EA405A"/>
    <w:rsid w:val="71F633B8"/>
    <w:rsid w:val="71F86FCA"/>
    <w:rsid w:val="71F94632"/>
    <w:rsid w:val="71FC4BC8"/>
    <w:rsid w:val="71FD4747"/>
    <w:rsid w:val="72096764"/>
    <w:rsid w:val="720C2BDC"/>
    <w:rsid w:val="720D15DB"/>
    <w:rsid w:val="720D425E"/>
    <w:rsid w:val="7211588F"/>
    <w:rsid w:val="72141A90"/>
    <w:rsid w:val="72161688"/>
    <w:rsid w:val="72190E55"/>
    <w:rsid w:val="721A015C"/>
    <w:rsid w:val="721E646B"/>
    <w:rsid w:val="72227D09"/>
    <w:rsid w:val="72230D56"/>
    <w:rsid w:val="7225116A"/>
    <w:rsid w:val="722649B3"/>
    <w:rsid w:val="722D066E"/>
    <w:rsid w:val="722D66AE"/>
    <w:rsid w:val="722E3A38"/>
    <w:rsid w:val="7239253B"/>
    <w:rsid w:val="723D2D95"/>
    <w:rsid w:val="723F0E59"/>
    <w:rsid w:val="723F1A46"/>
    <w:rsid w:val="7243089E"/>
    <w:rsid w:val="724759C2"/>
    <w:rsid w:val="724834E8"/>
    <w:rsid w:val="724A514C"/>
    <w:rsid w:val="724D24A9"/>
    <w:rsid w:val="724D4387"/>
    <w:rsid w:val="7252703E"/>
    <w:rsid w:val="72553024"/>
    <w:rsid w:val="72610AF7"/>
    <w:rsid w:val="72646574"/>
    <w:rsid w:val="72662C59"/>
    <w:rsid w:val="726A345E"/>
    <w:rsid w:val="726C063A"/>
    <w:rsid w:val="726C5D1C"/>
    <w:rsid w:val="726E73F3"/>
    <w:rsid w:val="727138AF"/>
    <w:rsid w:val="72757BBD"/>
    <w:rsid w:val="72776303"/>
    <w:rsid w:val="727920C5"/>
    <w:rsid w:val="727D0145"/>
    <w:rsid w:val="727D22A9"/>
    <w:rsid w:val="728409C4"/>
    <w:rsid w:val="72883BAA"/>
    <w:rsid w:val="72891D6C"/>
    <w:rsid w:val="728C1627"/>
    <w:rsid w:val="728E091D"/>
    <w:rsid w:val="728E35F1"/>
    <w:rsid w:val="729130E1"/>
    <w:rsid w:val="729606E3"/>
    <w:rsid w:val="729632D1"/>
    <w:rsid w:val="72980E63"/>
    <w:rsid w:val="72983100"/>
    <w:rsid w:val="72983706"/>
    <w:rsid w:val="72996FB8"/>
    <w:rsid w:val="729A3D44"/>
    <w:rsid w:val="72A20E4A"/>
    <w:rsid w:val="72A51AD8"/>
    <w:rsid w:val="72A577D6"/>
    <w:rsid w:val="72B666A4"/>
    <w:rsid w:val="72B931CE"/>
    <w:rsid w:val="72BD0A06"/>
    <w:rsid w:val="72BD3ED6"/>
    <w:rsid w:val="72BD5C84"/>
    <w:rsid w:val="72BF4A5A"/>
    <w:rsid w:val="72C04D9D"/>
    <w:rsid w:val="72C830E4"/>
    <w:rsid w:val="72C963D7"/>
    <w:rsid w:val="72CA79C6"/>
    <w:rsid w:val="72D36E8C"/>
    <w:rsid w:val="72D47949"/>
    <w:rsid w:val="72D76045"/>
    <w:rsid w:val="72D82ABE"/>
    <w:rsid w:val="72DD1700"/>
    <w:rsid w:val="72DD51E1"/>
    <w:rsid w:val="72DD6326"/>
    <w:rsid w:val="72E256F2"/>
    <w:rsid w:val="72E33ECA"/>
    <w:rsid w:val="72E639A7"/>
    <w:rsid w:val="72EB459F"/>
    <w:rsid w:val="72EC4871"/>
    <w:rsid w:val="72F65E1E"/>
    <w:rsid w:val="72F84FAC"/>
    <w:rsid w:val="72FC3F43"/>
    <w:rsid w:val="72FD0776"/>
    <w:rsid w:val="72FF629D"/>
    <w:rsid w:val="73017D4B"/>
    <w:rsid w:val="73090EC9"/>
    <w:rsid w:val="730B69EF"/>
    <w:rsid w:val="730D09BA"/>
    <w:rsid w:val="730D6C0C"/>
    <w:rsid w:val="730E028E"/>
    <w:rsid w:val="73107E21"/>
    <w:rsid w:val="73122968"/>
    <w:rsid w:val="731735E6"/>
    <w:rsid w:val="731D4C20"/>
    <w:rsid w:val="731E7FAE"/>
    <w:rsid w:val="731F5D5E"/>
    <w:rsid w:val="732144AE"/>
    <w:rsid w:val="732260B9"/>
    <w:rsid w:val="7323220C"/>
    <w:rsid w:val="73290958"/>
    <w:rsid w:val="7329156C"/>
    <w:rsid w:val="7329315F"/>
    <w:rsid w:val="7329331A"/>
    <w:rsid w:val="732B2CCF"/>
    <w:rsid w:val="732C5BBE"/>
    <w:rsid w:val="73321515"/>
    <w:rsid w:val="733540AA"/>
    <w:rsid w:val="73372296"/>
    <w:rsid w:val="733A5FB3"/>
    <w:rsid w:val="733A72D5"/>
    <w:rsid w:val="733B6508"/>
    <w:rsid w:val="733E354E"/>
    <w:rsid w:val="733F0D8F"/>
    <w:rsid w:val="733F48EB"/>
    <w:rsid w:val="73422C5B"/>
    <w:rsid w:val="73427243"/>
    <w:rsid w:val="7346211D"/>
    <w:rsid w:val="734671BA"/>
    <w:rsid w:val="734917D8"/>
    <w:rsid w:val="734A16A2"/>
    <w:rsid w:val="734C1852"/>
    <w:rsid w:val="734C6778"/>
    <w:rsid w:val="73500678"/>
    <w:rsid w:val="73504D4A"/>
    <w:rsid w:val="73530396"/>
    <w:rsid w:val="73577E87"/>
    <w:rsid w:val="7358514C"/>
    <w:rsid w:val="735A2CA9"/>
    <w:rsid w:val="735E5441"/>
    <w:rsid w:val="735F24F6"/>
    <w:rsid w:val="735F35D2"/>
    <w:rsid w:val="736073AD"/>
    <w:rsid w:val="736305DA"/>
    <w:rsid w:val="736422A3"/>
    <w:rsid w:val="73654B0F"/>
    <w:rsid w:val="73697BBA"/>
    <w:rsid w:val="736B1B84"/>
    <w:rsid w:val="736B56E0"/>
    <w:rsid w:val="73730CCB"/>
    <w:rsid w:val="737427E7"/>
    <w:rsid w:val="737A1DC7"/>
    <w:rsid w:val="73814F04"/>
    <w:rsid w:val="738844E4"/>
    <w:rsid w:val="73922C6D"/>
    <w:rsid w:val="739E3E31"/>
    <w:rsid w:val="73A14A64"/>
    <w:rsid w:val="73A62BBC"/>
    <w:rsid w:val="73A82913"/>
    <w:rsid w:val="73AC27BA"/>
    <w:rsid w:val="73B04B84"/>
    <w:rsid w:val="73B353C5"/>
    <w:rsid w:val="73B92999"/>
    <w:rsid w:val="73BE1CB4"/>
    <w:rsid w:val="73C51AD5"/>
    <w:rsid w:val="73C66DBA"/>
    <w:rsid w:val="73C80D84"/>
    <w:rsid w:val="73C94DB5"/>
    <w:rsid w:val="73CD3073"/>
    <w:rsid w:val="73D03795"/>
    <w:rsid w:val="73D74B24"/>
    <w:rsid w:val="73D94CFF"/>
    <w:rsid w:val="73E40221"/>
    <w:rsid w:val="73E55492"/>
    <w:rsid w:val="73E70144"/>
    <w:rsid w:val="73F2195D"/>
    <w:rsid w:val="73F50988"/>
    <w:rsid w:val="73F6144E"/>
    <w:rsid w:val="73F90F3E"/>
    <w:rsid w:val="73FB2F08"/>
    <w:rsid w:val="73FB4CB6"/>
    <w:rsid w:val="73FE0302"/>
    <w:rsid w:val="74032D39"/>
    <w:rsid w:val="74074D24"/>
    <w:rsid w:val="74146D69"/>
    <w:rsid w:val="74161BB3"/>
    <w:rsid w:val="7416564C"/>
    <w:rsid w:val="7419676D"/>
    <w:rsid w:val="741E6BF6"/>
    <w:rsid w:val="741E793C"/>
    <w:rsid w:val="74241AEA"/>
    <w:rsid w:val="74257F85"/>
    <w:rsid w:val="74294C04"/>
    <w:rsid w:val="7432523A"/>
    <w:rsid w:val="74336ED8"/>
    <w:rsid w:val="74363F40"/>
    <w:rsid w:val="743A0C6C"/>
    <w:rsid w:val="743E1047"/>
    <w:rsid w:val="744146FD"/>
    <w:rsid w:val="744523D5"/>
    <w:rsid w:val="744901B5"/>
    <w:rsid w:val="744B7615"/>
    <w:rsid w:val="744C15E8"/>
    <w:rsid w:val="744D3038"/>
    <w:rsid w:val="74510D7A"/>
    <w:rsid w:val="74534AF2"/>
    <w:rsid w:val="745471E5"/>
    <w:rsid w:val="745A5E80"/>
    <w:rsid w:val="745E3944"/>
    <w:rsid w:val="745F3497"/>
    <w:rsid w:val="74600DF1"/>
    <w:rsid w:val="74650381"/>
    <w:rsid w:val="746A349B"/>
    <w:rsid w:val="74714F07"/>
    <w:rsid w:val="74730CF0"/>
    <w:rsid w:val="74756912"/>
    <w:rsid w:val="747844D7"/>
    <w:rsid w:val="747E1443"/>
    <w:rsid w:val="747F58E7"/>
    <w:rsid w:val="747F7695"/>
    <w:rsid w:val="74820F33"/>
    <w:rsid w:val="74861D3C"/>
    <w:rsid w:val="748E17DD"/>
    <w:rsid w:val="74955D2B"/>
    <w:rsid w:val="74956EB9"/>
    <w:rsid w:val="749E3893"/>
    <w:rsid w:val="74A40C7B"/>
    <w:rsid w:val="74A62D93"/>
    <w:rsid w:val="74AA2238"/>
    <w:rsid w:val="74AD065D"/>
    <w:rsid w:val="74B231F1"/>
    <w:rsid w:val="74B44E65"/>
    <w:rsid w:val="74B66A46"/>
    <w:rsid w:val="74BA691F"/>
    <w:rsid w:val="74CE4179"/>
    <w:rsid w:val="74D379E1"/>
    <w:rsid w:val="74D65E5E"/>
    <w:rsid w:val="74D774D1"/>
    <w:rsid w:val="74E27C24"/>
    <w:rsid w:val="74EC45FF"/>
    <w:rsid w:val="74F160B9"/>
    <w:rsid w:val="74FC6F38"/>
    <w:rsid w:val="74FD4A5E"/>
    <w:rsid w:val="750135A5"/>
    <w:rsid w:val="75041948"/>
    <w:rsid w:val="75055002"/>
    <w:rsid w:val="75063912"/>
    <w:rsid w:val="750C0B7C"/>
    <w:rsid w:val="75104791"/>
    <w:rsid w:val="75151DA7"/>
    <w:rsid w:val="75153B55"/>
    <w:rsid w:val="752224B4"/>
    <w:rsid w:val="75232E8D"/>
    <w:rsid w:val="75241FEA"/>
    <w:rsid w:val="75244B75"/>
    <w:rsid w:val="75250343"/>
    <w:rsid w:val="75263FB5"/>
    <w:rsid w:val="752A3F55"/>
    <w:rsid w:val="752C3F7D"/>
    <w:rsid w:val="75377F70"/>
    <w:rsid w:val="753B10E2"/>
    <w:rsid w:val="753C02EF"/>
    <w:rsid w:val="753C37D8"/>
    <w:rsid w:val="75453C33"/>
    <w:rsid w:val="75491A51"/>
    <w:rsid w:val="754E0D6A"/>
    <w:rsid w:val="755201CC"/>
    <w:rsid w:val="75587EE6"/>
    <w:rsid w:val="755A5A0C"/>
    <w:rsid w:val="755C277B"/>
    <w:rsid w:val="75601ABE"/>
    <w:rsid w:val="75610BAE"/>
    <w:rsid w:val="75643C4B"/>
    <w:rsid w:val="756620FA"/>
    <w:rsid w:val="75670607"/>
    <w:rsid w:val="75671ED7"/>
    <w:rsid w:val="756920F3"/>
    <w:rsid w:val="75695C4F"/>
    <w:rsid w:val="756E3266"/>
    <w:rsid w:val="75704214"/>
    <w:rsid w:val="75705230"/>
    <w:rsid w:val="75706FDE"/>
    <w:rsid w:val="75750B26"/>
    <w:rsid w:val="757E794D"/>
    <w:rsid w:val="757F092E"/>
    <w:rsid w:val="75884065"/>
    <w:rsid w:val="758C3ABE"/>
    <w:rsid w:val="758D57D4"/>
    <w:rsid w:val="75906FC6"/>
    <w:rsid w:val="759251A6"/>
    <w:rsid w:val="75932CCC"/>
    <w:rsid w:val="75995F9B"/>
    <w:rsid w:val="759A04FF"/>
    <w:rsid w:val="759B0448"/>
    <w:rsid w:val="759B68C8"/>
    <w:rsid w:val="75A0510D"/>
    <w:rsid w:val="75A373B3"/>
    <w:rsid w:val="75AD7EAF"/>
    <w:rsid w:val="75AF643F"/>
    <w:rsid w:val="75B0672C"/>
    <w:rsid w:val="75B503B2"/>
    <w:rsid w:val="75B50E95"/>
    <w:rsid w:val="75B5647B"/>
    <w:rsid w:val="75B7283D"/>
    <w:rsid w:val="75BB607F"/>
    <w:rsid w:val="75BE30C9"/>
    <w:rsid w:val="75C303E9"/>
    <w:rsid w:val="75C31803"/>
    <w:rsid w:val="75C319CF"/>
    <w:rsid w:val="75C458AB"/>
    <w:rsid w:val="75C537CD"/>
    <w:rsid w:val="75C82DF7"/>
    <w:rsid w:val="75CC3053"/>
    <w:rsid w:val="75CD4430"/>
    <w:rsid w:val="75D05CCE"/>
    <w:rsid w:val="75D14319"/>
    <w:rsid w:val="75D255B0"/>
    <w:rsid w:val="75D40D50"/>
    <w:rsid w:val="75D67789"/>
    <w:rsid w:val="75DA1209"/>
    <w:rsid w:val="75DA6B4D"/>
    <w:rsid w:val="75DB4D9F"/>
    <w:rsid w:val="75E45A1B"/>
    <w:rsid w:val="75E55EF2"/>
    <w:rsid w:val="75E74C1F"/>
    <w:rsid w:val="75E825C1"/>
    <w:rsid w:val="75ED062E"/>
    <w:rsid w:val="75F3544C"/>
    <w:rsid w:val="75F53987"/>
    <w:rsid w:val="75F714AD"/>
    <w:rsid w:val="760172CF"/>
    <w:rsid w:val="76051E1C"/>
    <w:rsid w:val="76053BCA"/>
    <w:rsid w:val="7608190C"/>
    <w:rsid w:val="760C5D87"/>
    <w:rsid w:val="761243B6"/>
    <w:rsid w:val="76140A1D"/>
    <w:rsid w:val="76146C69"/>
    <w:rsid w:val="76165DD7"/>
    <w:rsid w:val="7617195C"/>
    <w:rsid w:val="761C7166"/>
    <w:rsid w:val="76213776"/>
    <w:rsid w:val="76216307"/>
    <w:rsid w:val="76222067"/>
    <w:rsid w:val="76233C70"/>
    <w:rsid w:val="76324A5D"/>
    <w:rsid w:val="76342701"/>
    <w:rsid w:val="763444AF"/>
    <w:rsid w:val="7635099D"/>
    <w:rsid w:val="763669BA"/>
    <w:rsid w:val="763D3D03"/>
    <w:rsid w:val="763E0E8A"/>
    <w:rsid w:val="76407FE1"/>
    <w:rsid w:val="76424E1E"/>
    <w:rsid w:val="764364A0"/>
    <w:rsid w:val="764A3CD3"/>
    <w:rsid w:val="764A5A81"/>
    <w:rsid w:val="765606D8"/>
    <w:rsid w:val="76565C66"/>
    <w:rsid w:val="76571F4C"/>
    <w:rsid w:val="765E6A7E"/>
    <w:rsid w:val="76665F8B"/>
    <w:rsid w:val="76684159"/>
    <w:rsid w:val="766B0D4A"/>
    <w:rsid w:val="766D176F"/>
    <w:rsid w:val="766D3663"/>
    <w:rsid w:val="766D4B8A"/>
    <w:rsid w:val="766D7254"/>
    <w:rsid w:val="76704843"/>
    <w:rsid w:val="7671300D"/>
    <w:rsid w:val="767945B8"/>
    <w:rsid w:val="767A2C9B"/>
    <w:rsid w:val="767B6620"/>
    <w:rsid w:val="76805946"/>
    <w:rsid w:val="76830F93"/>
    <w:rsid w:val="76876CD5"/>
    <w:rsid w:val="768D3BBF"/>
    <w:rsid w:val="768D4622"/>
    <w:rsid w:val="76991A39"/>
    <w:rsid w:val="769B452E"/>
    <w:rsid w:val="769E7B7B"/>
    <w:rsid w:val="769F31DF"/>
    <w:rsid w:val="76A038F3"/>
    <w:rsid w:val="76A47017"/>
    <w:rsid w:val="76A72ED3"/>
    <w:rsid w:val="76A809F9"/>
    <w:rsid w:val="76AC2297"/>
    <w:rsid w:val="76AD7DBE"/>
    <w:rsid w:val="76B33626"/>
    <w:rsid w:val="76BA74CF"/>
    <w:rsid w:val="76C22919"/>
    <w:rsid w:val="76C27D0D"/>
    <w:rsid w:val="76C43A85"/>
    <w:rsid w:val="76C716E3"/>
    <w:rsid w:val="76CB04AF"/>
    <w:rsid w:val="76CD220E"/>
    <w:rsid w:val="76CF49F8"/>
    <w:rsid w:val="76D11045"/>
    <w:rsid w:val="76D161A2"/>
    <w:rsid w:val="76D65566"/>
    <w:rsid w:val="76D67314"/>
    <w:rsid w:val="76DB492B"/>
    <w:rsid w:val="76DB5E4D"/>
    <w:rsid w:val="76DE49AA"/>
    <w:rsid w:val="76E301FF"/>
    <w:rsid w:val="76E62CF0"/>
    <w:rsid w:val="76E65967"/>
    <w:rsid w:val="76E732D0"/>
    <w:rsid w:val="76E77774"/>
    <w:rsid w:val="76E84053"/>
    <w:rsid w:val="76EB7020"/>
    <w:rsid w:val="76EC08E6"/>
    <w:rsid w:val="76EE465E"/>
    <w:rsid w:val="76F22B8B"/>
    <w:rsid w:val="76F679B7"/>
    <w:rsid w:val="76F93003"/>
    <w:rsid w:val="76FC4E0F"/>
    <w:rsid w:val="76FD6F97"/>
    <w:rsid w:val="76FF686B"/>
    <w:rsid w:val="77020109"/>
    <w:rsid w:val="77084735"/>
    <w:rsid w:val="77091498"/>
    <w:rsid w:val="770A73B1"/>
    <w:rsid w:val="770C2D36"/>
    <w:rsid w:val="770D2E3D"/>
    <w:rsid w:val="77132317"/>
    <w:rsid w:val="77141A25"/>
    <w:rsid w:val="771A5453"/>
    <w:rsid w:val="771B741D"/>
    <w:rsid w:val="771F4346"/>
    <w:rsid w:val="77220C5B"/>
    <w:rsid w:val="77232FAB"/>
    <w:rsid w:val="772A439D"/>
    <w:rsid w:val="772B5915"/>
    <w:rsid w:val="772C162A"/>
    <w:rsid w:val="772D726A"/>
    <w:rsid w:val="772E6AA5"/>
    <w:rsid w:val="773532AB"/>
    <w:rsid w:val="77381D7D"/>
    <w:rsid w:val="773A3D47"/>
    <w:rsid w:val="77413779"/>
    <w:rsid w:val="77444BC6"/>
    <w:rsid w:val="77452043"/>
    <w:rsid w:val="774F7D0A"/>
    <w:rsid w:val="77580CCC"/>
    <w:rsid w:val="775972A4"/>
    <w:rsid w:val="775C0ECA"/>
    <w:rsid w:val="77607C4C"/>
    <w:rsid w:val="776209F2"/>
    <w:rsid w:val="77674410"/>
    <w:rsid w:val="7768701E"/>
    <w:rsid w:val="776D22BA"/>
    <w:rsid w:val="776D5884"/>
    <w:rsid w:val="776D5ECB"/>
    <w:rsid w:val="776E65E7"/>
    <w:rsid w:val="777032C5"/>
    <w:rsid w:val="77752DF8"/>
    <w:rsid w:val="77762421"/>
    <w:rsid w:val="77781B67"/>
    <w:rsid w:val="777D4590"/>
    <w:rsid w:val="77822FF8"/>
    <w:rsid w:val="77882D05"/>
    <w:rsid w:val="77884AB3"/>
    <w:rsid w:val="778E5E41"/>
    <w:rsid w:val="7790745B"/>
    <w:rsid w:val="77925931"/>
    <w:rsid w:val="779571D0"/>
    <w:rsid w:val="779823DC"/>
    <w:rsid w:val="7798281C"/>
    <w:rsid w:val="779C5EA0"/>
    <w:rsid w:val="77A17922"/>
    <w:rsid w:val="77A4314B"/>
    <w:rsid w:val="77A80CB1"/>
    <w:rsid w:val="77B178E4"/>
    <w:rsid w:val="77B56B1F"/>
    <w:rsid w:val="77B6793D"/>
    <w:rsid w:val="77B751D7"/>
    <w:rsid w:val="77B87C8B"/>
    <w:rsid w:val="77BF5FFA"/>
    <w:rsid w:val="77C35AEB"/>
    <w:rsid w:val="77C67389"/>
    <w:rsid w:val="77CB2BF1"/>
    <w:rsid w:val="77CF26E1"/>
    <w:rsid w:val="77D63457"/>
    <w:rsid w:val="77DC095A"/>
    <w:rsid w:val="77DE1784"/>
    <w:rsid w:val="77E20F09"/>
    <w:rsid w:val="77E24F54"/>
    <w:rsid w:val="77E3555B"/>
    <w:rsid w:val="77F022FA"/>
    <w:rsid w:val="77F3363D"/>
    <w:rsid w:val="77F343B6"/>
    <w:rsid w:val="77F43EF6"/>
    <w:rsid w:val="77F66609"/>
    <w:rsid w:val="77F9150C"/>
    <w:rsid w:val="77F96425"/>
    <w:rsid w:val="77FA5285"/>
    <w:rsid w:val="77FD12CF"/>
    <w:rsid w:val="77FD69EE"/>
    <w:rsid w:val="77FE622B"/>
    <w:rsid w:val="78003EBC"/>
    <w:rsid w:val="78014865"/>
    <w:rsid w:val="78016613"/>
    <w:rsid w:val="78080136"/>
    <w:rsid w:val="780A196C"/>
    <w:rsid w:val="780B224D"/>
    <w:rsid w:val="780F09F4"/>
    <w:rsid w:val="78112CFA"/>
    <w:rsid w:val="7812185A"/>
    <w:rsid w:val="781225CE"/>
    <w:rsid w:val="78162870"/>
    <w:rsid w:val="78174088"/>
    <w:rsid w:val="78184C6F"/>
    <w:rsid w:val="78252301"/>
    <w:rsid w:val="782D11B6"/>
    <w:rsid w:val="783267CC"/>
    <w:rsid w:val="78395DAD"/>
    <w:rsid w:val="78397B5B"/>
    <w:rsid w:val="783A38D3"/>
    <w:rsid w:val="783B5319"/>
    <w:rsid w:val="783C2FD3"/>
    <w:rsid w:val="78494149"/>
    <w:rsid w:val="7860333A"/>
    <w:rsid w:val="786646C8"/>
    <w:rsid w:val="786848E4"/>
    <w:rsid w:val="78712E54"/>
    <w:rsid w:val="78727511"/>
    <w:rsid w:val="787B2D76"/>
    <w:rsid w:val="787C365F"/>
    <w:rsid w:val="787D66A0"/>
    <w:rsid w:val="787E2B95"/>
    <w:rsid w:val="78816A90"/>
    <w:rsid w:val="78826FCA"/>
    <w:rsid w:val="78852DA0"/>
    <w:rsid w:val="788569AE"/>
    <w:rsid w:val="78862AB3"/>
    <w:rsid w:val="788820B9"/>
    <w:rsid w:val="788A485A"/>
    <w:rsid w:val="78905891"/>
    <w:rsid w:val="7891516A"/>
    <w:rsid w:val="78964934"/>
    <w:rsid w:val="789A7580"/>
    <w:rsid w:val="789B3E8B"/>
    <w:rsid w:val="789D27E0"/>
    <w:rsid w:val="789D5597"/>
    <w:rsid w:val="78A14C9D"/>
    <w:rsid w:val="78A3591C"/>
    <w:rsid w:val="78A35CC9"/>
    <w:rsid w:val="78A82EFE"/>
    <w:rsid w:val="78A82F32"/>
    <w:rsid w:val="78A90480"/>
    <w:rsid w:val="78A91872"/>
    <w:rsid w:val="78BA32A4"/>
    <w:rsid w:val="78BC47EF"/>
    <w:rsid w:val="78C04BC5"/>
    <w:rsid w:val="78C53AE4"/>
    <w:rsid w:val="78C95383"/>
    <w:rsid w:val="78CA10FB"/>
    <w:rsid w:val="78CD55EC"/>
    <w:rsid w:val="78D06855"/>
    <w:rsid w:val="78D36201"/>
    <w:rsid w:val="78D43D28"/>
    <w:rsid w:val="78D45A2D"/>
    <w:rsid w:val="78D579A9"/>
    <w:rsid w:val="78D635FC"/>
    <w:rsid w:val="78DB3308"/>
    <w:rsid w:val="78DB58DC"/>
    <w:rsid w:val="78DC0503"/>
    <w:rsid w:val="78DF4BA6"/>
    <w:rsid w:val="78E233CA"/>
    <w:rsid w:val="78E45E0F"/>
    <w:rsid w:val="78E75809"/>
    <w:rsid w:val="78E977D3"/>
    <w:rsid w:val="78EB6A8D"/>
    <w:rsid w:val="78EC1071"/>
    <w:rsid w:val="78EF290F"/>
    <w:rsid w:val="78F65A4C"/>
    <w:rsid w:val="78F91E19"/>
    <w:rsid w:val="78F923C8"/>
    <w:rsid w:val="78F9378E"/>
    <w:rsid w:val="79004B1D"/>
    <w:rsid w:val="79041E3B"/>
    <w:rsid w:val="79055E20"/>
    <w:rsid w:val="79065680"/>
    <w:rsid w:val="7908577F"/>
    <w:rsid w:val="79137617"/>
    <w:rsid w:val="791757D6"/>
    <w:rsid w:val="7918575E"/>
    <w:rsid w:val="792409F5"/>
    <w:rsid w:val="79256331"/>
    <w:rsid w:val="792720A9"/>
    <w:rsid w:val="79295E21"/>
    <w:rsid w:val="793750D4"/>
    <w:rsid w:val="79383607"/>
    <w:rsid w:val="794553DD"/>
    <w:rsid w:val="79465905"/>
    <w:rsid w:val="79493C20"/>
    <w:rsid w:val="79496E26"/>
    <w:rsid w:val="794B033C"/>
    <w:rsid w:val="79517126"/>
    <w:rsid w:val="7957544F"/>
    <w:rsid w:val="795922ED"/>
    <w:rsid w:val="795A247F"/>
    <w:rsid w:val="795B7FA5"/>
    <w:rsid w:val="795D5ACB"/>
    <w:rsid w:val="795F5CE7"/>
    <w:rsid w:val="79610156"/>
    <w:rsid w:val="79634507"/>
    <w:rsid w:val="79682018"/>
    <w:rsid w:val="79690914"/>
    <w:rsid w:val="796C39B1"/>
    <w:rsid w:val="796F5DC2"/>
    <w:rsid w:val="797057FE"/>
    <w:rsid w:val="79711576"/>
    <w:rsid w:val="79722677"/>
    <w:rsid w:val="79725A1A"/>
    <w:rsid w:val="79741E48"/>
    <w:rsid w:val="79766B8D"/>
    <w:rsid w:val="79782905"/>
    <w:rsid w:val="797A48CF"/>
    <w:rsid w:val="797A4E41"/>
    <w:rsid w:val="797A6905"/>
    <w:rsid w:val="797B1103"/>
    <w:rsid w:val="797D0EC9"/>
    <w:rsid w:val="7980274D"/>
    <w:rsid w:val="798412AA"/>
    <w:rsid w:val="79894B12"/>
    <w:rsid w:val="798A732A"/>
    <w:rsid w:val="799001B0"/>
    <w:rsid w:val="79915775"/>
    <w:rsid w:val="79925BB5"/>
    <w:rsid w:val="799D4020"/>
    <w:rsid w:val="799F4335"/>
    <w:rsid w:val="79AD6322"/>
    <w:rsid w:val="79B00498"/>
    <w:rsid w:val="79B21A11"/>
    <w:rsid w:val="79B24E92"/>
    <w:rsid w:val="79B40D24"/>
    <w:rsid w:val="79B871A5"/>
    <w:rsid w:val="79BC4EE7"/>
    <w:rsid w:val="79BC6C95"/>
    <w:rsid w:val="79C142AC"/>
    <w:rsid w:val="79C21DD2"/>
    <w:rsid w:val="79C97604"/>
    <w:rsid w:val="79CB0CE9"/>
    <w:rsid w:val="79CB512B"/>
    <w:rsid w:val="79CF15E2"/>
    <w:rsid w:val="79D044EF"/>
    <w:rsid w:val="79D61E98"/>
    <w:rsid w:val="79D7587D"/>
    <w:rsid w:val="79D9033A"/>
    <w:rsid w:val="79DA536E"/>
    <w:rsid w:val="79DB60A8"/>
    <w:rsid w:val="79E17BAC"/>
    <w:rsid w:val="79E24918"/>
    <w:rsid w:val="79E41D48"/>
    <w:rsid w:val="79E461EC"/>
    <w:rsid w:val="79E955B1"/>
    <w:rsid w:val="79EA1A55"/>
    <w:rsid w:val="79EB30D7"/>
    <w:rsid w:val="79F104C4"/>
    <w:rsid w:val="79F32F0A"/>
    <w:rsid w:val="79F44681"/>
    <w:rsid w:val="79F857F4"/>
    <w:rsid w:val="79FC7092"/>
    <w:rsid w:val="79FE3F6F"/>
    <w:rsid w:val="79FE72AE"/>
    <w:rsid w:val="7A081BF2"/>
    <w:rsid w:val="7A081EDB"/>
    <w:rsid w:val="7A083C89"/>
    <w:rsid w:val="7A0917AF"/>
    <w:rsid w:val="7A0B5527"/>
    <w:rsid w:val="7A0B7C30"/>
    <w:rsid w:val="7A0D08FE"/>
    <w:rsid w:val="7A0D67F5"/>
    <w:rsid w:val="7A0E138A"/>
    <w:rsid w:val="7A147E53"/>
    <w:rsid w:val="7A15531D"/>
    <w:rsid w:val="7A1848DA"/>
    <w:rsid w:val="7A1D388A"/>
    <w:rsid w:val="7A1E10AC"/>
    <w:rsid w:val="7A1E240C"/>
    <w:rsid w:val="7A1F0F3E"/>
    <w:rsid w:val="7A233C18"/>
    <w:rsid w:val="7A2A3030"/>
    <w:rsid w:val="7A3031E0"/>
    <w:rsid w:val="7A364017"/>
    <w:rsid w:val="7A366A68"/>
    <w:rsid w:val="7A387E5D"/>
    <w:rsid w:val="7A3C1B84"/>
    <w:rsid w:val="7A412712"/>
    <w:rsid w:val="7A414F47"/>
    <w:rsid w:val="7A425745"/>
    <w:rsid w:val="7A425FE8"/>
    <w:rsid w:val="7A4647B1"/>
    <w:rsid w:val="7A4A4997"/>
    <w:rsid w:val="7A4D5B40"/>
    <w:rsid w:val="7A4E6E59"/>
    <w:rsid w:val="7A4F7B0A"/>
    <w:rsid w:val="7A5549F4"/>
    <w:rsid w:val="7A561344"/>
    <w:rsid w:val="7A5679EA"/>
    <w:rsid w:val="7A586CAC"/>
    <w:rsid w:val="7A5944E4"/>
    <w:rsid w:val="7A5C2227"/>
    <w:rsid w:val="7A652E89"/>
    <w:rsid w:val="7A6A3808"/>
    <w:rsid w:val="7A721A4A"/>
    <w:rsid w:val="7A730F67"/>
    <w:rsid w:val="7A772BBC"/>
    <w:rsid w:val="7A811C8D"/>
    <w:rsid w:val="7A8265E1"/>
    <w:rsid w:val="7A831FE3"/>
    <w:rsid w:val="7A880D6E"/>
    <w:rsid w:val="7A8A129C"/>
    <w:rsid w:val="7A8C2B0C"/>
    <w:rsid w:val="7A8D0262"/>
    <w:rsid w:val="7A911E35"/>
    <w:rsid w:val="7A925C48"/>
    <w:rsid w:val="7A94551C"/>
    <w:rsid w:val="7A9B26DF"/>
    <w:rsid w:val="7A9B68AB"/>
    <w:rsid w:val="7A9E5575"/>
    <w:rsid w:val="7AA21941"/>
    <w:rsid w:val="7AA65250"/>
    <w:rsid w:val="7AA8546C"/>
    <w:rsid w:val="7AA96091"/>
    <w:rsid w:val="7AAD2A82"/>
    <w:rsid w:val="7AAD7CE7"/>
    <w:rsid w:val="7AAF1144"/>
    <w:rsid w:val="7AAF67FA"/>
    <w:rsid w:val="7AAF7244"/>
    <w:rsid w:val="7AB545D7"/>
    <w:rsid w:val="7AB55657"/>
    <w:rsid w:val="7ABC4A73"/>
    <w:rsid w:val="7ABD0F17"/>
    <w:rsid w:val="7ABF6602"/>
    <w:rsid w:val="7AC878BC"/>
    <w:rsid w:val="7ACC2F08"/>
    <w:rsid w:val="7ACF47A6"/>
    <w:rsid w:val="7AD16771"/>
    <w:rsid w:val="7AD20ACB"/>
    <w:rsid w:val="7AD324E9"/>
    <w:rsid w:val="7AD4252C"/>
    <w:rsid w:val="7AD846FE"/>
    <w:rsid w:val="7AD95625"/>
    <w:rsid w:val="7ADA0759"/>
    <w:rsid w:val="7ADC0FD3"/>
    <w:rsid w:val="7ADE49EA"/>
    <w:rsid w:val="7AE30252"/>
    <w:rsid w:val="7AE33599"/>
    <w:rsid w:val="7AE3407B"/>
    <w:rsid w:val="7AE84A09"/>
    <w:rsid w:val="7AE91FA6"/>
    <w:rsid w:val="7AEC5358"/>
    <w:rsid w:val="7AED2E7F"/>
    <w:rsid w:val="7AEE1591"/>
    <w:rsid w:val="7AF56FD2"/>
    <w:rsid w:val="7AFA5109"/>
    <w:rsid w:val="7AFB433A"/>
    <w:rsid w:val="7B01612F"/>
    <w:rsid w:val="7B024B7C"/>
    <w:rsid w:val="7B05466C"/>
    <w:rsid w:val="7B0703E4"/>
    <w:rsid w:val="7B095F0A"/>
    <w:rsid w:val="7B0C6A9C"/>
    <w:rsid w:val="7B0F1047"/>
    <w:rsid w:val="7B110F3C"/>
    <w:rsid w:val="7B1204FB"/>
    <w:rsid w:val="7B147078"/>
    <w:rsid w:val="7B194D72"/>
    <w:rsid w:val="7B1E5D7A"/>
    <w:rsid w:val="7B2031F9"/>
    <w:rsid w:val="7B205002"/>
    <w:rsid w:val="7B225BA8"/>
    <w:rsid w:val="7B272834"/>
    <w:rsid w:val="7B2745E3"/>
    <w:rsid w:val="7B2865FC"/>
    <w:rsid w:val="7B2A3D45"/>
    <w:rsid w:val="7B3F376C"/>
    <w:rsid w:val="7B3F7B7E"/>
    <w:rsid w:val="7B411F22"/>
    <w:rsid w:val="7B445194"/>
    <w:rsid w:val="7B4823D6"/>
    <w:rsid w:val="7B4C7256"/>
    <w:rsid w:val="7B542EFE"/>
    <w:rsid w:val="7B5A49B8"/>
    <w:rsid w:val="7B615D46"/>
    <w:rsid w:val="7B6408D0"/>
    <w:rsid w:val="7B6560F7"/>
    <w:rsid w:val="7B667643"/>
    <w:rsid w:val="7B686D42"/>
    <w:rsid w:val="7B6A1745"/>
    <w:rsid w:val="7B6A2BD3"/>
    <w:rsid w:val="7B6B5044"/>
    <w:rsid w:val="7B6C0247"/>
    <w:rsid w:val="7B6C46EB"/>
    <w:rsid w:val="7B6E5A8C"/>
    <w:rsid w:val="7B6E7570"/>
    <w:rsid w:val="7B707D38"/>
    <w:rsid w:val="7B7548E5"/>
    <w:rsid w:val="7B7610C6"/>
    <w:rsid w:val="7B787A4F"/>
    <w:rsid w:val="7B794B8B"/>
    <w:rsid w:val="7B7974B6"/>
    <w:rsid w:val="7B7A6E08"/>
    <w:rsid w:val="7B7D2454"/>
    <w:rsid w:val="7B7F1E5C"/>
    <w:rsid w:val="7B7F61CD"/>
    <w:rsid w:val="7B8315CA"/>
    <w:rsid w:val="7B841746"/>
    <w:rsid w:val="7B857621"/>
    <w:rsid w:val="7B8638B0"/>
    <w:rsid w:val="7B8C61F4"/>
    <w:rsid w:val="7B8C7C65"/>
    <w:rsid w:val="7B914152"/>
    <w:rsid w:val="7B92402D"/>
    <w:rsid w:val="7B964B46"/>
    <w:rsid w:val="7B98103C"/>
    <w:rsid w:val="7B9854E0"/>
    <w:rsid w:val="7B9C43AD"/>
    <w:rsid w:val="7BA15F11"/>
    <w:rsid w:val="7BA23C69"/>
    <w:rsid w:val="7BA267B5"/>
    <w:rsid w:val="7BA64D48"/>
    <w:rsid w:val="7BA75723"/>
    <w:rsid w:val="7BA774D1"/>
    <w:rsid w:val="7BAE0860"/>
    <w:rsid w:val="7BAE7724"/>
    <w:rsid w:val="7BB424C3"/>
    <w:rsid w:val="7BB43FE4"/>
    <w:rsid w:val="7BB52E4C"/>
    <w:rsid w:val="7BB72C96"/>
    <w:rsid w:val="7BBE2C64"/>
    <w:rsid w:val="7BC57958"/>
    <w:rsid w:val="7BC709D2"/>
    <w:rsid w:val="7BC865DB"/>
    <w:rsid w:val="7BC9569A"/>
    <w:rsid w:val="7BCB1412"/>
    <w:rsid w:val="7BCD3C26"/>
    <w:rsid w:val="7BCD518A"/>
    <w:rsid w:val="7BCD604E"/>
    <w:rsid w:val="7BCE2CB0"/>
    <w:rsid w:val="7BCE4A5E"/>
    <w:rsid w:val="7BCE6B3D"/>
    <w:rsid w:val="7BD5390A"/>
    <w:rsid w:val="7BD53B4A"/>
    <w:rsid w:val="7BDA3403"/>
    <w:rsid w:val="7BDC361F"/>
    <w:rsid w:val="7BDE6039"/>
    <w:rsid w:val="7BDF0180"/>
    <w:rsid w:val="7BE36164"/>
    <w:rsid w:val="7BE61DA8"/>
    <w:rsid w:val="7BE6488C"/>
    <w:rsid w:val="7BEB3862"/>
    <w:rsid w:val="7BF72D2F"/>
    <w:rsid w:val="7BFA5EE7"/>
    <w:rsid w:val="7BFB59C6"/>
    <w:rsid w:val="7BFD106A"/>
    <w:rsid w:val="7C077F70"/>
    <w:rsid w:val="7C15268D"/>
    <w:rsid w:val="7C156B31"/>
    <w:rsid w:val="7C18217D"/>
    <w:rsid w:val="7C1C619F"/>
    <w:rsid w:val="7C1F52BA"/>
    <w:rsid w:val="7C235415"/>
    <w:rsid w:val="7C240B22"/>
    <w:rsid w:val="7C256BC6"/>
    <w:rsid w:val="7C2B071F"/>
    <w:rsid w:val="7C2D79D7"/>
    <w:rsid w:val="7C2E374F"/>
    <w:rsid w:val="7C335736"/>
    <w:rsid w:val="7C3B383F"/>
    <w:rsid w:val="7C480CB4"/>
    <w:rsid w:val="7C484810"/>
    <w:rsid w:val="7C4E1D1C"/>
    <w:rsid w:val="7C514589"/>
    <w:rsid w:val="7C574A54"/>
    <w:rsid w:val="7C596A1E"/>
    <w:rsid w:val="7C5A30E7"/>
    <w:rsid w:val="7C5C650E"/>
    <w:rsid w:val="7C615E0C"/>
    <w:rsid w:val="7C6573EC"/>
    <w:rsid w:val="7C6645D0"/>
    <w:rsid w:val="7C6B49A3"/>
    <w:rsid w:val="7C6C5AC7"/>
    <w:rsid w:val="7C6C62C5"/>
    <w:rsid w:val="7C71177A"/>
    <w:rsid w:val="7C73292D"/>
    <w:rsid w:val="7C7E7550"/>
    <w:rsid w:val="7C810BCC"/>
    <w:rsid w:val="7C8415C1"/>
    <w:rsid w:val="7C86358B"/>
    <w:rsid w:val="7C865339"/>
    <w:rsid w:val="7C8A0D32"/>
    <w:rsid w:val="7C8A307B"/>
    <w:rsid w:val="7C924338"/>
    <w:rsid w:val="7C970EE2"/>
    <w:rsid w:val="7C9B68F5"/>
    <w:rsid w:val="7C9C234A"/>
    <w:rsid w:val="7C9C5993"/>
    <w:rsid w:val="7C9E2682"/>
    <w:rsid w:val="7CA042FE"/>
    <w:rsid w:val="7CA0464C"/>
    <w:rsid w:val="7CA6765C"/>
    <w:rsid w:val="7CA67789"/>
    <w:rsid w:val="7CA750F5"/>
    <w:rsid w:val="7CA915F3"/>
    <w:rsid w:val="7CAA7279"/>
    <w:rsid w:val="7CB458B4"/>
    <w:rsid w:val="7CB9570E"/>
    <w:rsid w:val="7CBA251E"/>
    <w:rsid w:val="7CC6544B"/>
    <w:rsid w:val="7CC663F8"/>
    <w:rsid w:val="7CC974B5"/>
    <w:rsid w:val="7CCB2ED2"/>
    <w:rsid w:val="7CCD2C16"/>
    <w:rsid w:val="7CD04806"/>
    <w:rsid w:val="7CD1609C"/>
    <w:rsid w:val="7CD24A22"/>
    <w:rsid w:val="7CD77E99"/>
    <w:rsid w:val="7CDB38D7"/>
    <w:rsid w:val="7CE149CA"/>
    <w:rsid w:val="7CE81B50"/>
    <w:rsid w:val="7CE85FF3"/>
    <w:rsid w:val="7CEC1640"/>
    <w:rsid w:val="7CED53B8"/>
    <w:rsid w:val="7CF36B35"/>
    <w:rsid w:val="7CF45F3B"/>
    <w:rsid w:val="7CF56D71"/>
    <w:rsid w:val="7CFC64E9"/>
    <w:rsid w:val="7CFD384D"/>
    <w:rsid w:val="7CFD4C58"/>
    <w:rsid w:val="7CFF69D1"/>
    <w:rsid w:val="7D004F21"/>
    <w:rsid w:val="7D021373"/>
    <w:rsid w:val="7D0239FF"/>
    <w:rsid w:val="7D0516C0"/>
    <w:rsid w:val="7D0B583E"/>
    <w:rsid w:val="7D0B6350"/>
    <w:rsid w:val="7D180687"/>
    <w:rsid w:val="7D184771"/>
    <w:rsid w:val="7D1B61F3"/>
    <w:rsid w:val="7D1E2869"/>
    <w:rsid w:val="7D2069C7"/>
    <w:rsid w:val="7D271C3C"/>
    <w:rsid w:val="7D2F58D2"/>
    <w:rsid w:val="7D3134F6"/>
    <w:rsid w:val="7D3354C1"/>
    <w:rsid w:val="7D341323"/>
    <w:rsid w:val="7D344D95"/>
    <w:rsid w:val="7D362905"/>
    <w:rsid w:val="7D382AD7"/>
    <w:rsid w:val="7D383A69"/>
    <w:rsid w:val="7D3F2DF4"/>
    <w:rsid w:val="7D3F6E54"/>
    <w:rsid w:val="7D40373A"/>
    <w:rsid w:val="7D424EED"/>
    <w:rsid w:val="7D453A0E"/>
    <w:rsid w:val="7D4A571A"/>
    <w:rsid w:val="7D4C20DE"/>
    <w:rsid w:val="7D4E00F0"/>
    <w:rsid w:val="7D5176F5"/>
    <w:rsid w:val="7D537911"/>
    <w:rsid w:val="7D5611AF"/>
    <w:rsid w:val="7D5A5087"/>
    <w:rsid w:val="7D5D741E"/>
    <w:rsid w:val="7D5E40CD"/>
    <w:rsid w:val="7D5F1E9E"/>
    <w:rsid w:val="7D621902"/>
    <w:rsid w:val="7D627B5B"/>
    <w:rsid w:val="7D6605F4"/>
    <w:rsid w:val="7D683F76"/>
    <w:rsid w:val="7D6A5621"/>
    <w:rsid w:val="7D711B45"/>
    <w:rsid w:val="7D7609EC"/>
    <w:rsid w:val="7D7A1991"/>
    <w:rsid w:val="7D7A30EF"/>
    <w:rsid w:val="7D7F24B4"/>
    <w:rsid w:val="7D825EFA"/>
    <w:rsid w:val="7D8A0E59"/>
    <w:rsid w:val="7D8C0450"/>
    <w:rsid w:val="7D8E6B9B"/>
    <w:rsid w:val="7D8F7885"/>
    <w:rsid w:val="7D960FF5"/>
    <w:rsid w:val="7D9817C8"/>
    <w:rsid w:val="7D997C30"/>
    <w:rsid w:val="7D9F1E35"/>
    <w:rsid w:val="7DA43CC8"/>
    <w:rsid w:val="7DA71A0B"/>
    <w:rsid w:val="7DA8098F"/>
    <w:rsid w:val="7DA97531"/>
    <w:rsid w:val="7DAC0DCF"/>
    <w:rsid w:val="7DAC5273"/>
    <w:rsid w:val="7DB111A9"/>
    <w:rsid w:val="7DBA34EC"/>
    <w:rsid w:val="7DBB1900"/>
    <w:rsid w:val="7DC031EC"/>
    <w:rsid w:val="7DC126DE"/>
    <w:rsid w:val="7DC169E9"/>
    <w:rsid w:val="7DC60B4C"/>
    <w:rsid w:val="7DC73E5B"/>
    <w:rsid w:val="7DC9403A"/>
    <w:rsid w:val="7DCA4A03"/>
    <w:rsid w:val="7DCC321F"/>
    <w:rsid w:val="7DCD56F2"/>
    <w:rsid w:val="7DD00F61"/>
    <w:rsid w:val="7DD34727"/>
    <w:rsid w:val="7DD547CA"/>
    <w:rsid w:val="7DD56578"/>
    <w:rsid w:val="7DDA20C3"/>
    <w:rsid w:val="7DDB16B4"/>
    <w:rsid w:val="7DDD7906"/>
    <w:rsid w:val="7DDE245B"/>
    <w:rsid w:val="7DE41C3D"/>
    <w:rsid w:val="7DE652B4"/>
    <w:rsid w:val="7DE70333"/>
    <w:rsid w:val="7DE927A5"/>
    <w:rsid w:val="7DEC38C1"/>
    <w:rsid w:val="7DEC7621"/>
    <w:rsid w:val="7DED6109"/>
    <w:rsid w:val="7DEE7639"/>
    <w:rsid w:val="7DF06F0E"/>
    <w:rsid w:val="7DF804B8"/>
    <w:rsid w:val="7E01111B"/>
    <w:rsid w:val="7E01736D"/>
    <w:rsid w:val="7E0C7E0E"/>
    <w:rsid w:val="7E0D62FA"/>
    <w:rsid w:val="7E0E1A8A"/>
    <w:rsid w:val="7E1075B0"/>
    <w:rsid w:val="7E13782B"/>
    <w:rsid w:val="7E1A0838"/>
    <w:rsid w:val="7E1A6A70"/>
    <w:rsid w:val="7E222935"/>
    <w:rsid w:val="7E235FBD"/>
    <w:rsid w:val="7E24305B"/>
    <w:rsid w:val="7E266DD3"/>
    <w:rsid w:val="7E2968C4"/>
    <w:rsid w:val="7E2E3EDA"/>
    <w:rsid w:val="7E2E7A36"/>
    <w:rsid w:val="7E2F6502"/>
    <w:rsid w:val="7E3042FC"/>
    <w:rsid w:val="7E334FFB"/>
    <w:rsid w:val="7E3C1FEC"/>
    <w:rsid w:val="7E4234E1"/>
    <w:rsid w:val="7E426883"/>
    <w:rsid w:val="7E462FD2"/>
    <w:rsid w:val="7E486D88"/>
    <w:rsid w:val="7E492AC2"/>
    <w:rsid w:val="7E4A0A21"/>
    <w:rsid w:val="7E504BBF"/>
    <w:rsid w:val="7E542A4A"/>
    <w:rsid w:val="7E580601"/>
    <w:rsid w:val="7E5A3C54"/>
    <w:rsid w:val="7E631DD5"/>
    <w:rsid w:val="7E635932"/>
    <w:rsid w:val="7E6416AA"/>
    <w:rsid w:val="7E6478FC"/>
    <w:rsid w:val="7E657143"/>
    <w:rsid w:val="7E68119A"/>
    <w:rsid w:val="7E6830A4"/>
    <w:rsid w:val="7E691F7C"/>
    <w:rsid w:val="7E6B21EE"/>
    <w:rsid w:val="7E6B47E6"/>
    <w:rsid w:val="7E6D055E"/>
    <w:rsid w:val="7E6D2A2B"/>
    <w:rsid w:val="7E7044F2"/>
    <w:rsid w:val="7E725B75"/>
    <w:rsid w:val="7E7342C7"/>
    <w:rsid w:val="7E792D8E"/>
    <w:rsid w:val="7E7A62B7"/>
    <w:rsid w:val="7E837D82"/>
    <w:rsid w:val="7E875B2B"/>
    <w:rsid w:val="7E8B0CA4"/>
    <w:rsid w:val="7E8B4E88"/>
    <w:rsid w:val="7E8B6FD4"/>
    <w:rsid w:val="7E8F4979"/>
    <w:rsid w:val="7E925549"/>
    <w:rsid w:val="7E9B4AEF"/>
    <w:rsid w:val="7EAE4BA1"/>
    <w:rsid w:val="7EAE76AC"/>
    <w:rsid w:val="7EB048EF"/>
    <w:rsid w:val="7EB22055"/>
    <w:rsid w:val="7EB55306"/>
    <w:rsid w:val="7EBC7FA9"/>
    <w:rsid w:val="7EBD4150"/>
    <w:rsid w:val="7EBE700C"/>
    <w:rsid w:val="7EC30BCB"/>
    <w:rsid w:val="7EC31EF6"/>
    <w:rsid w:val="7EC32874"/>
    <w:rsid w:val="7ECB34D7"/>
    <w:rsid w:val="7ED173BD"/>
    <w:rsid w:val="7ED24865"/>
    <w:rsid w:val="7ED56104"/>
    <w:rsid w:val="7ED607F9"/>
    <w:rsid w:val="7ED66A06"/>
    <w:rsid w:val="7ED766E8"/>
    <w:rsid w:val="7EDC1B88"/>
    <w:rsid w:val="7EDC7272"/>
    <w:rsid w:val="7EDE76AE"/>
    <w:rsid w:val="7EE03426"/>
    <w:rsid w:val="7EE06693"/>
    <w:rsid w:val="7EE10F4C"/>
    <w:rsid w:val="7EE13986"/>
    <w:rsid w:val="7EE3444B"/>
    <w:rsid w:val="7EE36F5D"/>
    <w:rsid w:val="7EE90AF7"/>
    <w:rsid w:val="7EE92493"/>
    <w:rsid w:val="7EE95912"/>
    <w:rsid w:val="7EF10BF2"/>
    <w:rsid w:val="7EF176C3"/>
    <w:rsid w:val="7EF44B03"/>
    <w:rsid w:val="7EF46244"/>
    <w:rsid w:val="7EF574EF"/>
    <w:rsid w:val="7EF745E9"/>
    <w:rsid w:val="7EFE1AFE"/>
    <w:rsid w:val="7F001CE7"/>
    <w:rsid w:val="7F01339C"/>
    <w:rsid w:val="7F092C86"/>
    <w:rsid w:val="7F0A2251"/>
    <w:rsid w:val="7F0A6D29"/>
    <w:rsid w:val="7F1135E0"/>
    <w:rsid w:val="7F17671C"/>
    <w:rsid w:val="7F192494"/>
    <w:rsid w:val="7F2257ED"/>
    <w:rsid w:val="7F245AF3"/>
    <w:rsid w:val="7F25708B"/>
    <w:rsid w:val="7F2660D0"/>
    <w:rsid w:val="7F272E03"/>
    <w:rsid w:val="7F290D57"/>
    <w:rsid w:val="7F2A4E0A"/>
    <w:rsid w:val="7F362636"/>
    <w:rsid w:val="7F43100A"/>
    <w:rsid w:val="7F463B0F"/>
    <w:rsid w:val="7F477001"/>
    <w:rsid w:val="7F501AD5"/>
    <w:rsid w:val="7F565D15"/>
    <w:rsid w:val="7F5A268E"/>
    <w:rsid w:val="7F5C2486"/>
    <w:rsid w:val="7F5F65D1"/>
    <w:rsid w:val="7F6000C3"/>
    <w:rsid w:val="7F604567"/>
    <w:rsid w:val="7F623E3B"/>
    <w:rsid w:val="7F6962F1"/>
    <w:rsid w:val="7F6B4C36"/>
    <w:rsid w:val="7F6C01A4"/>
    <w:rsid w:val="7F6C38F1"/>
    <w:rsid w:val="7F6C6974"/>
    <w:rsid w:val="7F6E726C"/>
    <w:rsid w:val="7F761695"/>
    <w:rsid w:val="7F76664D"/>
    <w:rsid w:val="7F767370"/>
    <w:rsid w:val="7F7818B1"/>
    <w:rsid w:val="7F7E010B"/>
    <w:rsid w:val="7F80640E"/>
    <w:rsid w:val="7F871AF4"/>
    <w:rsid w:val="7F8A15E4"/>
    <w:rsid w:val="7F8E4066"/>
    <w:rsid w:val="7F9379C3"/>
    <w:rsid w:val="7F963AE5"/>
    <w:rsid w:val="7F985EC1"/>
    <w:rsid w:val="7F986823"/>
    <w:rsid w:val="7F995383"/>
    <w:rsid w:val="7F9A351D"/>
    <w:rsid w:val="7F9F121C"/>
    <w:rsid w:val="7FA505FD"/>
    <w:rsid w:val="7FA67226"/>
    <w:rsid w:val="7FAA7590"/>
    <w:rsid w:val="7FAC4A8E"/>
    <w:rsid w:val="7FB04AAA"/>
    <w:rsid w:val="7FB22C02"/>
    <w:rsid w:val="7FB644B6"/>
    <w:rsid w:val="7FB81CAD"/>
    <w:rsid w:val="7FBC537A"/>
    <w:rsid w:val="7FBF7025"/>
    <w:rsid w:val="7FC3034F"/>
    <w:rsid w:val="7FC40652"/>
    <w:rsid w:val="7FC468A4"/>
    <w:rsid w:val="7FC70142"/>
    <w:rsid w:val="7FC95C68"/>
    <w:rsid w:val="7FCC376A"/>
    <w:rsid w:val="7FD55677"/>
    <w:rsid w:val="7FD64037"/>
    <w:rsid w:val="7FD64829"/>
    <w:rsid w:val="7FD665D7"/>
    <w:rsid w:val="7FD840FD"/>
    <w:rsid w:val="7FD90169"/>
    <w:rsid w:val="7FE47E50"/>
    <w:rsid w:val="7FE52097"/>
    <w:rsid w:val="7FE5681A"/>
    <w:rsid w:val="7FE64A6C"/>
    <w:rsid w:val="7FEA4E75"/>
    <w:rsid w:val="7FF01447"/>
    <w:rsid w:val="7FF058EB"/>
    <w:rsid w:val="7FF36F10"/>
    <w:rsid w:val="7FF42017"/>
    <w:rsid w:val="7FF66C44"/>
    <w:rsid w:val="7FFD3697"/>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qFormat="1" w:unhideWhenUsed="0" w:uiPriority="0" w:semiHidden="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99"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qFormat="1"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59" w:semiHidden="0" w:name="Table Grid"/>
    <w:lsdException w:qFormat="1" w:unhideWhenUsed="0" w:uiPriority="0" w:semiHidden="0" w:name="Table Theme" w:locked="1"/>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0"/>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103"/>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4">
    <w:name w:val="heading 3"/>
    <w:basedOn w:val="1"/>
    <w:next w:val="1"/>
    <w:link w:val="104"/>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5">
    <w:name w:val="heading 4"/>
    <w:basedOn w:val="1"/>
    <w:next w:val="1"/>
    <w:link w:val="105"/>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6">
    <w:name w:val="heading 5"/>
    <w:basedOn w:val="1"/>
    <w:next w:val="7"/>
    <w:link w:val="106"/>
    <w:qFormat/>
    <w:locked/>
    <w:uiPriority w:val="0"/>
    <w:pPr>
      <w:keepNext/>
      <w:tabs>
        <w:tab w:val="left" w:pos="1080"/>
      </w:tabs>
      <w:ind w:left="851" w:hanging="851"/>
      <w:outlineLvl w:val="4"/>
    </w:pPr>
    <w:rPr>
      <w:rFonts w:ascii="Arial" w:hAnsi="Arial"/>
      <w:b/>
      <w:sz w:val="28"/>
      <w:szCs w:val="20"/>
    </w:rPr>
  </w:style>
  <w:style w:type="paragraph" w:styleId="11">
    <w:name w:val="heading 6"/>
    <w:basedOn w:val="1"/>
    <w:next w:val="1"/>
    <w:link w:val="107"/>
    <w:qFormat/>
    <w:locked/>
    <w:uiPriority w:val="0"/>
    <w:pPr>
      <w:keepNext/>
      <w:widowControl/>
      <w:tabs>
        <w:tab w:val="left" w:pos="0"/>
      </w:tabs>
      <w:jc w:val="center"/>
      <w:outlineLvl w:val="5"/>
    </w:pPr>
    <w:rPr>
      <w:rFonts w:eastAsia="楷体_GB2312"/>
      <w:b/>
      <w:kern w:val="0"/>
      <w:sz w:val="20"/>
      <w:szCs w:val="20"/>
    </w:rPr>
  </w:style>
  <w:style w:type="paragraph" w:styleId="12">
    <w:name w:val="heading 7"/>
    <w:basedOn w:val="1"/>
    <w:next w:val="1"/>
    <w:link w:val="108"/>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3">
    <w:name w:val="heading 8"/>
    <w:basedOn w:val="1"/>
    <w:next w:val="1"/>
    <w:link w:val="109"/>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4">
    <w:name w:val="heading 9"/>
    <w:basedOn w:val="1"/>
    <w:next w:val="1"/>
    <w:link w:val="110"/>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67">
    <w:name w:val="Default Paragraph Font"/>
    <w:semiHidden/>
    <w:unhideWhenUsed/>
    <w:qFormat/>
    <w:uiPriority w:val="1"/>
  </w:style>
  <w:style w:type="table" w:default="1" w:styleId="6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7">
    <w:name w:val="Normal Indent"/>
    <w:basedOn w:val="1"/>
    <w:next w:val="8"/>
    <w:link w:val="152"/>
    <w:qFormat/>
    <w:locked/>
    <w:uiPriority w:val="0"/>
    <w:pPr>
      <w:ind w:firstLine="420"/>
    </w:pPr>
    <w:rPr>
      <w:kern w:val="0"/>
      <w:sz w:val="20"/>
      <w:szCs w:val="20"/>
    </w:rPr>
  </w:style>
  <w:style w:type="paragraph" w:styleId="8">
    <w:name w:val="Body Text First Indent 2"/>
    <w:basedOn w:val="9"/>
    <w:next w:val="1"/>
    <w:link w:val="231"/>
    <w:unhideWhenUsed/>
    <w:qFormat/>
    <w:locked/>
    <w:uiPriority w:val="0"/>
    <w:pPr>
      <w:widowControl/>
      <w:ind w:firstLine="420" w:firstLineChars="200"/>
      <w:jc w:val="left"/>
    </w:pPr>
    <w:rPr>
      <w:sz w:val="20"/>
    </w:rPr>
  </w:style>
  <w:style w:type="paragraph" w:styleId="9">
    <w:name w:val="Body Text Indent"/>
    <w:basedOn w:val="1"/>
    <w:next w:val="10"/>
    <w:link w:val="90"/>
    <w:qFormat/>
    <w:uiPriority w:val="0"/>
    <w:pPr>
      <w:spacing w:after="120"/>
      <w:ind w:left="420" w:leftChars="200"/>
    </w:pPr>
    <w:rPr>
      <w:kern w:val="0"/>
      <w:sz w:val="24"/>
      <w:szCs w:val="20"/>
    </w:rPr>
  </w:style>
  <w:style w:type="paragraph" w:styleId="10">
    <w:name w:val="envelope return"/>
    <w:basedOn w:val="1"/>
    <w:qFormat/>
    <w:locked/>
    <w:uiPriority w:val="0"/>
    <w:pPr>
      <w:snapToGrid w:val="0"/>
      <w:spacing w:line="480" w:lineRule="exact"/>
    </w:pPr>
    <w:rPr>
      <w:rFonts w:ascii="Arial" w:hAnsi="Arial" w:cs="Arial"/>
    </w:rPr>
  </w:style>
  <w:style w:type="paragraph" w:styleId="15">
    <w:name w:val="toc 7"/>
    <w:basedOn w:val="1"/>
    <w:next w:val="1"/>
    <w:qFormat/>
    <w:locked/>
    <w:uiPriority w:val="39"/>
    <w:pPr>
      <w:ind w:left="2520" w:leftChars="1200"/>
    </w:pPr>
  </w:style>
  <w:style w:type="paragraph" w:styleId="16">
    <w:name w:val="table of authorities"/>
    <w:basedOn w:val="1"/>
    <w:next w:val="1"/>
    <w:qFormat/>
    <w:locked/>
    <w:uiPriority w:val="0"/>
    <w:rPr>
      <w:rFonts w:ascii="宋体"/>
      <w:sz w:val="28"/>
      <w:szCs w:val="20"/>
    </w:rPr>
  </w:style>
  <w:style w:type="paragraph" w:styleId="17">
    <w:name w:val="Note Heading"/>
    <w:basedOn w:val="1"/>
    <w:next w:val="1"/>
    <w:link w:val="249"/>
    <w:qFormat/>
    <w:locked/>
    <w:uiPriority w:val="0"/>
    <w:pPr>
      <w:jc w:val="center"/>
    </w:pPr>
    <w:rPr>
      <w:rFonts w:ascii="宋体"/>
      <w:szCs w:val="20"/>
    </w:rPr>
  </w:style>
  <w:style w:type="paragraph" w:styleId="18">
    <w:name w:val="index 8"/>
    <w:basedOn w:val="1"/>
    <w:next w:val="1"/>
    <w:qFormat/>
    <w:locked/>
    <w:uiPriority w:val="0"/>
    <w:pPr>
      <w:ind w:left="1400" w:leftChars="1400"/>
    </w:pPr>
  </w:style>
  <w:style w:type="paragraph" w:styleId="19">
    <w:name w:val="List Number"/>
    <w:basedOn w:val="1"/>
    <w:qFormat/>
    <w:locked/>
    <w:uiPriority w:val="0"/>
    <w:pPr>
      <w:tabs>
        <w:tab w:val="left" w:pos="360"/>
        <w:tab w:val="left" w:pos="780"/>
      </w:tabs>
      <w:ind w:left="780" w:hanging="210"/>
    </w:pPr>
  </w:style>
  <w:style w:type="paragraph" w:styleId="20">
    <w:name w:val="caption"/>
    <w:basedOn w:val="1"/>
    <w:next w:val="1"/>
    <w:qFormat/>
    <w:locked/>
    <w:uiPriority w:val="0"/>
    <w:pPr>
      <w:keepNext/>
      <w:snapToGrid w:val="0"/>
      <w:jc w:val="center"/>
    </w:pPr>
    <w:rPr>
      <w:rFonts w:ascii="宋体" w:hAnsi="宋体" w:cs="Arial"/>
      <w:szCs w:val="20"/>
    </w:rPr>
  </w:style>
  <w:style w:type="paragraph" w:styleId="21">
    <w:name w:val="Document Map"/>
    <w:basedOn w:val="1"/>
    <w:link w:val="151"/>
    <w:qFormat/>
    <w:locked/>
    <w:uiPriority w:val="99"/>
    <w:pPr>
      <w:widowControl/>
      <w:jc w:val="left"/>
    </w:pPr>
    <w:rPr>
      <w:rFonts w:ascii="宋体"/>
      <w:kern w:val="0"/>
      <w:sz w:val="18"/>
      <w:szCs w:val="20"/>
    </w:rPr>
  </w:style>
  <w:style w:type="paragraph" w:styleId="22">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3">
    <w:name w:val="annotation text"/>
    <w:basedOn w:val="1"/>
    <w:link w:val="95"/>
    <w:qFormat/>
    <w:uiPriority w:val="99"/>
    <w:pPr>
      <w:jc w:val="left"/>
    </w:pPr>
    <w:rPr>
      <w:kern w:val="0"/>
      <w:sz w:val="24"/>
      <w:szCs w:val="20"/>
    </w:rPr>
  </w:style>
  <w:style w:type="paragraph" w:styleId="24">
    <w:name w:val="index 6"/>
    <w:basedOn w:val="1"/>
    <w:next w:val="1"/>
    <w:qFormat/>
    <w:locked/>
    <w:uiPriority w:val="99"/>
    <w:pPr>
      <w:widowControl/>
      <w:ind w:left="1000" w:leftChars="1000"/>
      <w:jc w:val="left"/>
    </w:pPr>
    <w:rPr>
      <w:kern w:val="0"/>
      <w:sz w:val="20"/>
      <w:szCs w:val="20"/>
    </w:rPr>
  </w:style>
  <w:style w:type="paragraph" w:styleId="25">
    <w:name w:val="Salutation"/>
    <w:basedOn w:val="1"/>
    <w:next w:val="1"/>
    <w:qFormat/>
    <w:locked/>
    <w:uiPriority w:val="0"/>
  </w:style>
  <w:style w:type="paragraph" w:styleId="26">
    <w:name w:val="Body Text 3"/>
    <w:basedOn w:val="1"/>
    <w:link w:val="262"/>
    <w:qFormat/>
    <w:locked/>
    <w:uiPriority w:val="99"/>
    <w:pPr>
      <w:spacing w:after="120"/>
    </w:pPr>
    <w:rPr>
      <w:rFonts w:ascii="宋体" w:hAnsi="宋体"/>
      <w:sz w:val="16"/>
      <w:szCs w:val="16"/>
    </w:rPr>
  </w:style>
  <w:style w:type="paragraph" w:styleId="27">
    <w:name w:val="Body Text"/>
    <w:basedOn w:val="1"/>
    <w:link w:val="96"/>
    <w:qFormat/>
    <w:uiPriority w:val="0"/>
    <w:pPr>
      <w:widowControl/>
      <w:snapToGrid w:val="0"/>
      <w:spacing w:before="60" w:after="160" w:line="259" w:lineRule="auto"/>
      <w:ind w:right="113"/>
    </w:pPr>
    <w:rPr>
      <w:kern w:val="0"/>
      <w:sz w:val="18"/>
      <w:szCs w:val="20"/>
    </w:rPr>
  </w:style>
  <w:style w:type="paragraph" w:styleId="28">
    <w:name w:val="List 2"/>
    <w:basedOn w:val="1"/>
    <w:qFormat/>
    <w:locked/>
    <w:uiPriority w:val="0"/>
    <w:pPr>
      <w:spacing w:line="360" w:lineRule="exact"/>
      <w:jc w:val="center"/>
    </w:pPr>
    <w:rPr>
      <w:rFonts w:ascii="仿宋_GB2312" w:eastAsia="仿宋_GB2312"/>
      <w:szCs w:val="20"/>
    </w:rPr>
  </w:style>
  <w:style w:type="paragraph" w:styleId="29">
    <w:name w:val="Block Text"/>
    <w:basedOn w:val="1"/>
    <w:qFormat/>
    <w:locked/>
    <w:uiPriority w:val="0"/>
    <w:pPr>
      <w:widowControl/>
      <w:spacing w:after="120"/>
      <w:ind w:left="1440" w:leftChars="700" w:right="1440" w:rightChars="700"/>
      <w:jc w:val="left"/>
    </w:pPr>
    <w:rPr>
      <w:kern w:val="0"/>
      <w:sz w:val="20"/>
      <w:szCs w:val="20"/>
    </w:rPr>
  </w:style>
  <w:style w:type="paragraph" w:styleId="30">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31">
    <w:name w:val="index 4"/>
    <w:basedOn w:val="1"/>
    <w:next w:val="1"/>
    <w:qFormat/>
    <w:locked/>
    <w:uiPriority w:val="0"/>
    <w:pPr>
      <w:suppressAutoHyphens/>
      <w:adjustRightInd w:val="0"/>
      <w:spacing w:line="300" w:lineRule="auto"/>
      <w:ind w:left="1260"/>
    </w:pPr>
    <w:rPr>
      <w:kern w:val="28"/>
      <w:sz w:val="24"/>
      <w:szCs w:val="20"/>
    </w:rPr>
  </w:style>
  <w:style w:type="paragraph" w:styleId="32">
    <w:name w:val="toc 5"/>
    <w:basedOn w:val="1"/>
    <w:next w:val="1"/>
    <w:qFormat/>
    <w:locked/>
    <w:uiPriority w:val="39"/>
    <w:pPr>
      <w:adjustRightInd w:val="0"/>
      <w:snapToGrid w:val="0"/>
      <w:spacing w:line="360" w:lineRule="auto"/>
      <w:ind w:left="840" w:firstLine="112"/>
      <w:jc w:val="center"/>
    </w:pPr>
    <w:rPr>
      <w:sz w:val="20"/>
      <w:szCs w:val="20"/>
    </w:rPr>
  </w:style>
  <w:style w:type="paragraph" w:styleId="33">
    <w:name w:val="toc 3"/>
    <w:basedOn w:val="1"/>
    <w:next w:val="1"/>
    <w:qFormat/>
    <w:locked/>
    <w:uiPriority w:val="39"/>
    <w:pPr>
      <w:ind w:left="240"/>
      <w:jc w:val="left"/>
    </w:pPr>
    <w:rPr>
      <w:sz w:val="20"/>
      <w:szCs w:val="20"/>
    </w:rPr>
  </w:style>
  <w:style w:type="paragraph" w:styleId="34">
    <w:name w:val="Plain Text"/>
    <w:basedOn w:val="1"/>
    <w:link w:val="111"/>
    <w:qFormat/>
    <w:locked/>
    <w:uiPriority w:val="0"/>
    <w:rPr>
      <w:rFonts w:ascii="宋体" w:hAnsi="Courier New"/>
      <w:kern w:val="0"/>
      <w:szCs w:val="20"/>
    </w:rPr>
  </w:style>
  <w:style w:type="paragraph" w:styleId="35">
    <w:name w:val="List Bullet 5"/>
    <w:basedOn w:val="1"/>
    <w:qFormat/>
    <w:locked/>
    <w:uiPriority w:val="0"/>
    <w:pPr>
      <w:widowControl/>
      <w:spacing w:line="360" w:lineRule="auto"/>
      <w:ind w:firstLine="480"/>
      <w:jc w:val="left"/>
    </w:pPr>
    <w:rPr>
      <w:kern w:val="0"/>
      <w:sz w:val="24"/>
    </w:rPr>
  </w:style>
  <w:style w:type="paragraph" w:styleId="36">
    <w:name w:val="toc 8"/>
    <w:basedOn w:val="1"/>
    <w:next w:val="1"/>
    <w:qFormat/>
    <w:locked/>
    <w:uiPriority w:val="39"/>
    <w:pPr>
      <w:ind w:left="1440"/>
      <w:jc w:val="left"/>
    </w:pPr>
    <w:rPr>
      <w:sz w:val="20"/>
      <w:szCs w:val="20"/>
    </w:rPr>
  </w:style>
  <w:style w:type="paragraph" w:styleId="37">
    <w:name w:val="Date"/>
    <w:basedOn w:val="1"/>
    <w:next w:val="1"/>
    <w:link w:val="93"/>
    <w:qFormat/>
    <w:uiPriority w:val="99"/>
    <w:pPr>
      <w:ind w:left="100" w:leftChars="2500"/>
    </w:pPr>
    <w:rPr>
      <w:kern w:val="0"/>
      <w:sz w:val="24"/>
      <w:szCs w:val="20"/>
    </w:rPr>
  </w:style>
  <w:style w:type="paragraph" w:styleId="38">
    <w:name w:val="Body Text Indent 2"/>
    <w:basedOn w:val="1"/>
    <w:link w:val="115"/>
    <w:qFormat/>
    <w:locked/>
    <w:uiPriority w:val="0"/>
    <w:pPr>
      <w:widowControl/>
      <w:ind w:firstLine="600"/>
    </w:pPr>
    <w:rPr>
      <w:rFonts w:eastAsia="仿宋_GB2312"/>
      <w:b/>
      <w:kern w:val="0"/>
      <w:sz w:val="20"/>
      <w:szCs w:val="20"/>
    </w:rPr>
  </w:style>
  <w:style w:type="paragraph" w:styleId="39">
    <w:name w:val="endnote text"/>
    <w:basedOn w:val="1"/>
    <w:link w:val="546"/>
    <w:unhideWhenUsed/>
    <w:qFormat/>
    <w:locked/>
    <w:uiPriority w:val="99"/>
    <w:pPr>
      <w:adjustRightInd w:val="0"/>
      <w:snapToGrid w:val="0"/>
      <w:spacing w:line="312" w:lineRule="atLeast"/>
      <w:jc w:val="left"/>
      <w:textAlignment w:val="baseline"/>
    </w:pPr>
    <w:rPr>
      <w:kern w:val="0"/>
      <w:szCs w:val="20"/>
      <w:lang w:val="zh-CN"/>
    </w:rPr>
  </w:style>
  <w:style w:type="paragraph" w:styleId="40">
    <w:name w:val="Balloon Text"/>
    <w:basedOn w:val="1"/>
    <w:link w:val="97"/>
    <w:qFormat/>
    <w:uiPriority w:val="99"/>
    <w:rPr>
      <w:kern w:val="0"/>
      <w:sz w:val="18"/>
      <w:szCs w:val="20"/>
    </w:rPr>
  </w:style>
  <w:style w:type="paragraph" w:styleId="41">
    <w:name w:val="footer"/>
    <w:basedOn w:val="1"/>
    <w:link w:val="91"/>
    <w:qFormat/>
    <w:uiPriority w:val="99"/>
    <w:pPr>
      <w:tabs>
        <w:tab w:val="center" w:pos="4153"/>
        <w:tab w:val="right" w:pos="8306"/>
      </w:tabs>
      <w:snapToGrid w:val="0"/>
      <w:jc w:val="left"/>
    </w:pPr>
    <w:rPr>
      <w:kern w:val="0"/>
      <w:sz w:val="18"/>
      <w:szCs w:val="20"/>
    </w:rPr>
  </w:style>
  <w:style w:type="paragraph" w:styleId="42">
    <w:name w:val="header"/>
    <w:basedOn w:val="1"/>
    <w:next w:val="43"/>
    <w:link w:val="88"/>
    <w:qFormat/>
    <w:uiPriority w:val="99"/>
    <w:pPr>
      <w:pBdr>
        <w:bottom w:val="single" w:color="auto" w:sz="6" w:space="1"/>
      </w:pBdr>
      <w:tabs>
        <w:tab w:val="center" w:pos="4153"/>
        <w:tab w:val="right" w:pos="8306"/>
      </w:tabs>
      <w:snapToGrid w:val="0"/>
      <w:jc w:val="center"/>
    </w:pPr>
    <w:rPr>
      <w:kern w:val="0"/>
      <w:sz w:val="18"/>
      <w:szCs w:val="20"/>
    </w:rPr>
  </w:style>
  <w:style w:type="paragraph" w:customStyle="1" w:styleId="43">
    <w:name w:val="样式5"/>
    <w:basedOn w:val="41"/>
    <w:qFormat/>
    <w:uiPriority w:val="0"/>
  </w:style>
  <w:style w:type="paragraph" w:styleId="44">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5">
    <w:name w:val="toc 4"/>
    <w:basedOn w:val="1"/>
    <w:next w:val="1"/>
    <w:qFormat/>
    <w:locked/>
    <w:uiPriority w:val="39"/>
    <w:pPr>
      <w:ind w:left="480"/>
      <w:jc w:val="left"/>
    </w:pPr>
    <w:rPr>
      <w:sz w:val="20"/>
      <w:szCs w:val="20"/>
    </w:rPr>
  </w:style>
  <w:style w:type="paragraph" w:styleId="46">
    <w:name w:val="index heading"/>
    <w:basedOn w:val="1"/>
    <w:next w:val="47"/>
    <w:qFormat/>
    <w:locked/>
    <w:uiPriority w:val="0"/>
    <w:pPr>
      <w:spacing w:line="500" w:lineRule="exact"/>
    </w:pPr>
    <w:rPr>
      <w:rFonts w:ascii="仿宋_GB2312" w:eastAsia="仿宋_GB2312"/>
      <w:sz w:val="28"/>
      <w:szCs w:val="20"/>
    </w:rPr>
  </w:style>
  <w:style w:type="paragraph" w:styleId="47">
    <w:name w:val="index 1"/>
    <w:basedOn w:val="1"/>
    <w:next w:val="1"/>
    <w:qFormat/>
    <w:locked/>
    <w:uiPriority w:val="0"/>
  </w:style>
  <w:style w:type="paragraph" w:styleId="48">
    <w:name w:val="Subtitle"/>
    <w:basedOn w:val="1"/>
    <w:next w:val="1"/>
    <w:link w:val="114"/>
    <w:qFormat/>
    <w:locked/>
    <w:uiPriority w:val="0"/>
    <w:pPr>
      <w:spacing w:line="480" w:lineRule="exact"/>
      <w:jc w:val="center"/>
      <w:outlineLvl w:val="4"/>
    </w:pPr>
    <w:rPr>
      <w:rFonts w:ascii="Cambria" w:hAnsi="Cambria"/>
      <w:kern w:val="0"/>
      <w:sz w:val="24"/>
      <w:szCs w:val="20"/>
      <w:lang w:eastAsia="en-US"/>
    </w:rPr>
  </w:style>
  <w:style w:type="paragraph" w:styleId="49">
    <w:name w:val="List"/>
    <w:basedOn w:val="1"/>
    <w:qFormat/>
    <w:locked/>
    <w:uiPriority w:val="99"/>
    <w:pPr>
      <w:spacing w:line="360" w:lineRule="exact"/>
      <w:jc w:val="center"/>
    </w:pPr>
    <w:rPr>
      <w:rFonts w:ascii="仿宋_GB2312" w:eastAsia="仿宋_GB2312"/>
      <w:sz w:val="24"/>
      <w:szCs w:val="20"/>
    </w:rPr>
  </w:style>
  <w:style w:type="paragraph" w:styleId="50">
    <w:name w:val="toc 6"/>
    <w:basedOn w:val="1"/>
    <w:next w:val="1"/>
    <w:qFormat/>
    <w:locked/>
    <w:uiPriority w:val="39"/>
    <w:pPr>
      <w:ind w:left="960"/>
      <w:jc w:val="left"/>
    </w:pPr>
    <w:rPr>
      <w:sz w:val="20"/>
      <w:szCs w:val="20"/>
    </w:rPr>
  </w:style>
  <w:style w:type="paragraph" w:styleId="51">
    <w:name w:val="Body Text Indent 3"/>
    <w:basedOn w:val="1"/>
    <w:link w:val="123"/>
    <w:qFormat/>
    <w:locked/>
    <w:uiPriority w:val="0"/>
    <w:pPr>
      <w:widowControl/>
      <w:spacing w:line="440" w:lineRule="exact"/>
      <w:ind w:firstLine="561" w:firstLineChars="200"/>
    </w:pPr>
    <w:rPr>
      <w:rFonts w:eastAsia="楷体_GB2312"/>
      <w:b/>
      <w:kern w:val="0"/>
      <w:sz w:val="20"/>
      <w:szCs w:val="20"/>
    </w:rPr>
  </w:style>
  <w:style w:type="paragraph" w:styleId="52">
    <w:name w:val="table of figures"/>
    <w:basedOn w:val="1"/>
    <w:next w:val="1"/>
    <w:qFormat/>
    <w:locked/>
    <w:uiPriority w:val="0"/>
    <w:pPr>
      <w:ind w:left="200" w:leftChars="200" w:hanging="200" w:hangingChars="200"/>
    </w:pPr>
  </w:style>
  <w:style w:type="paragraph" w:styleId="53">
    <w:name w:val="toc 2"/>
    <w:basedOn w:val="1"/>
    <w:next w:val="1"/>
    <w:qFormat/>
    <w:locked/>
    <w:uiPriority w:val="39"/>
    <w:pPr>
      <w:tabs>
        <w:tab w:val="right" w:leader="dot" w:pos="9061"/>
      </w:tabs>
      <w:spacing w:line="360" w:lineRule="auto"/>
      <w:ind w:firstLine="480" w:firstLineChars="200"/>
    </w:pPr>
    <w:rPr>
      <w:sz w:val="24"/>
    </w:rPr>
  </w:style>
  <w:style w:type="paragraph" w:styleId="54">
    <w:name w:val="toc 9"/>
    <w:basedOn w:val="1"/>
    <w:next w:val="1"/>
    <w:qFormat/>
    <w:locked/>
    <w:uiPriority w:val="39"/>
    <w:pPr>
      <w:ind w:left="1680"/>
      <w:jc w:val="left"/>
    </w:pPr>
    <w:rPr>
      <w:sz w:val="20"/>
      <w:szCs w:val="20"/>
    </w:rPr>
  </w:style>
  <w:style w:type="paragraph" w:styleId="55">
    <w:name w:val="Body Text 2"/>
    <w:basedOn w:val="1"/>
    <w:next w:val="1"/>
    <w:link w:val="168"/>
    <w:qFormat/>
    <w:locked/>
    <w:uiPriority w:val="99"/>
    <w:pPr>
      <w:spacing w:after="120" w:line="480" w:lineRule="auto"/>
    </w:pPr>
    <w:rPr>
      <w:kern w:val="0"/>
      <w:sz w:val="20"/>
      <w:szCs w:val="20"/>
    </w:rPr>
  </w:style>
  <w:style w:type="paragraph" w:styleId="56">
    <w:name w:val="HTML Preformatted"/>
    <w:basedOn w:val="1"/>
    <w:link w:val="280"/>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57">
    <w:name w:val="Normal (Web)"/>
    <w:basedOn w:val="1"/>
    <w:next w:val="1"/>
    <w:link w:val="89"/>
    <w:qFormat/>
    <w:uiPriority w:val="99"/>
    <w:pPr>
      <w:widowControl/>
      <w:spacing w:before="100" w:beforeAutospacing="1" w:after="100" w:afterAutospacing="1"/>
      <w:jc w:val="left"/>
    </w:pPr>
    <w:rPr>
      <w:rFonts w:ascii="宋体" w:hAnsi="宋体"/>
      <w:kern w:val="0"/>
      <w:sz w:val="24"/>
      <w:szCs w:val="20"/>
    </w:rPr>
  </w:style>
  <w:style w:type="paragraph" w:styleId="58">
    <w:name w:val="Title"/>
    <w:basedOn w:val="1"/>
    <w:link w:val="124"/>
    <w:qFormat/>
    <w:locked/>
    <w:uiPriority w:val="0"/>
    <w:pPr>
      <w:widowControl/>
      <w:spacing w:before="100" w:beforeAutospacing="1" w:after="100" w:afterAutospacing="1"/>
      <w:jc w:val="left"/>
    </w:pPr>
    <w:rPr>
      <w:rFonts w:ascii="宋体"/>
      <w:kern w:val="0"/>
      <w:sz w:val="24"/>
      <w:szCs w:val="20"/>
    </w:rPr>
  </w:style>
  <w:style w:type="paragraph" w:styleId="59">
    <w:name w:val="annotation subject"/>
    <w:basedOn w:val="23"/>
    <w:next w:val="23"/>
    <w:link w:val="92"/>
    <w:qFormat/>
    <w:uiPriority w:val="99"/>
    <w:rPr>
      <w:b/>
    </w:rPr>
  </w:style>
  <w:style w:type="paragraph" w:styleId="60">
    <w:name w:val="Body Text First Indent"/>
    <w:basedOn w:val="27"/>
    <w:link w:val="145"/>
    <w:qFormat/>
    <w:locked/>
    <w:uiPriority w:val="99"/>
    <w:pPr>
      <w:widowControl w:val="0"/>
      <w:snapToGrid/>
      <w:spacing w:before="0" w:after="120" w:line="240" w:lineRule="auto"/>
      <w:ind w:right="0" w:firstLine="420" w:firstLineChars="100"/>
    </w:pPr>
    <w:rPr>
      <w:sz w:val="20"/>
    </w:rPr>
  </w:style>
  <w:style w:type="table" w:styleId="62">
    <w:name w:val="Table Grid"/>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3">
    <w:name w:val="Table Theme"/>
    <w:basedOn w:val="61"/>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Elegant"/>
    <w:basedOn w:val="61"/>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5">
    <w:name w:val="Table Grid 1"/>
    <w:basedOn w:val="61"/>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6">
    <w:name w:val="Table Grid 5"/>
    <w:basedOn w:val="61"/>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8">
    <w:name w:val="Strong"/>
    <w:qFormat/>
    <w:locked/>
    <w:uiPriority w:val="22"/>
    <w:rPr>
      <w:b/>
      <w:bCs/>
    </w:rPr>
  </w:style>
  <w:style w:type="character" w:styleId="69">
    <w:name w:val="endnote reference"/>
    <w:unhideWhenUsed/>
    <w:qFormat/>
    <w:locked/>
    <w:uiPriority w:val="99"/>
    <w:rPr>
      <w:rFonts w:cs="Times New Roman"/>
      <w:vertAlign w:val="superscript"/>
    </w:rPr>
  </w:style>
  <w:style w:type="character" w:styleId="70">
    <w:name w:val="page number"/>
    <w:basedOn w:val="67"/>
    <w:qFormat/>
    <w:locked/>
    <w:uiPriority w:val="0"/>
  </w:style>
  <w:style w:type="character" w:styleId="71">
    <w:name w:val="FollowedHyperlink"/>
    <w:qFormat/>
    <w:locked/>
    <w:uiPriority w:val="0"/>
    <w:rPr>
      <w:color w:val="800080"/>
      <w:u w:val="single"/>
    </w:rPr>
  </w:style>
  <w:style w:type="character" w:styleId="72">
    <w:name w:val="Emphasis"/>
    <w:qFormat/>
    <w:locked/>
    <w:uiPriority w:val="20"/>
    <w:rPr>
      <w:color w:val="CC0000"/>
    </w:rPr>
  </w:style>
  <w:style w:type="character" w:styleId="73">
    <w:name w:val="HTML Typewriter"/>
    <w:qFormat/>
    <w:locked/>
    <w:uiPriority w:val="0"/>
    <w:rPr>
      <w:rFonts w:ascii="宋体" w:hAnsi="宋体" w:eastAsia="宋体" w:cs="宋体"/>
      <w:sz w:val="24"/>
      <w:szCs w:val="24"/>
    </w:rPr>
  </w:style>
  <w:style w:type="character" w:styleId="74">
    <w:name w:val="Hyperlink"/>
    <w:qFormat/>
    <w:locked/>
    <w:uiPriority w:val="99"/>
    <w:rPr>
      <w:rFonts w:cs="Times New Roman"/>
      <w:color w:val="136EC2"/>
      <w:u w:val="single"/>
    </w:rPr>
  </w:style>
  <w:style w:type="character" w:styleId="75">
    <w:name w:val="annotation reference"/>
    <w:qFormat/>
    <w:uiPriority w:val="99"/>
    <w:rPr>
      <w:sz w:val="21"/>
    </w:rPr>
  </w:style>
  <w:style w:type="paragraph" w:customStyle="1" w:styleId="76">
    <w:name w:val="xl27"/>
    <w:basedOn w:val="1"/>
    <w:next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77">
    <w:name w:val="Default"/>
    <w:basedOn w:val="78"/>
    <w:next w:val="79"/>
    <w:qFormat/>
    <w:uiPriority w:val="0"/>
    <w:pPr>
      <w:autoSpaceDE w:val="0"/>
      <w:autoSpaceDN w:val="0"/>
      <w:adjustRightInd w:val="0"/>
    </w:pPr>
    <w:rPr>
      <w:rFonts w:ascii="宋体" w:eastAsia="宋体" w:cs="宋体"/>
      <w:color w:val="000000"/>
    </w:rPr>
  </w:style>
  <w:style w:type="paragraph" w:customStyle="1" w:styleId="78">
    <w:name w:val="文本"/>
    <w:next w:val="1"/>
    <w:link w:val="402"/>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79">
    <w:name w:val="样式1"/>
    <w:basedOn w:val="46"/>
    <w:next w:val="29"/>
    <w:link w:val="170"/>
    <w:qFormat/>
    <w:uiPriority w:val="0"/>
    <w:pPr>
      <w:adjustRightInd w:val="0"/>
      <w:snapToGrid w:val="0"/>
      <w:spacing w:line="320" w:lineRule="exact"/>
      <w:jc w:val="center"/>
    </w:pPr>
    <w:rPr>
      <w:rFonts w:ascii="Calibri" w:hAnsi="Calibri"/>
      <w:color w:val="000000"/>
      <w:kern w:val="0"/>
      <w:sz w:val="24"/>
    </w:rPr>
  </w:style>
  <w:style w:type="paragraph" w:customStyle="1" w:styleId="80">
    <w:name w:val="样式35"/>
    <w:basedOn w:val="1"/>
    <w:qFormat/>
    <w:uiPriority w:val="0"/>
    <w:pPr>
      <w:adjustRightInd w:val="0"/>
      <w:spacing w:line="312" w:lineRule="auto"/>
      <w:ind w:firstLine="567"/>
    </w:pPr>
    <w:rPr>
      <w:rFonts w:ascii="宋体"/>
      <w:kern w:val="0"/>
      <w:sz w:val="28"/>
      <w:szCs w:val="20"/>
    </w:rPr>
  </w:style>
  <w:style w:type="paragraph" w:styleId="81">
    <w:name w:val="List Paragraph"/>
    <w:basedOn w:val="1"/>
    <w:qFormat/>
    <w:uiPriority w:val="0"/>
    <w:pPr>
      <w:widowControl/>
      <w:ind w:firstLine="420" w:firstLineChars="200"/>
      <w:jc w:val="left"/>
    </w:pPr>
    <w:rPr>
      <w:kern w:val="0"/>
      <w:sz w:val="20"/>
      <w:szCs w:val="20"/>
    </w:rPr>
  </w:style>
  <w:style w:type="paragraph" w:customStyle="1" w:styleId="82">
    <w:name w:val="正文首行缩进2个字 Char"/>
    <w:basedOn w:val="1"/>
    <w:qFormat/>
    <w:uiPriority w:val="0"/>
    <w:pPr>
      <w:ind w:firstLine="480" w:firstLineChars="200"/>
    </w:pPr>
    <w:rPr>
      <w:rFonts w:eastAsia="楷体"/>
      <w:sz w:val="24"/>
    </w:rPr>
  </w:style>
  <w:style w:type="paragraph" w:customStyle="1" w:styleId="83">
    <w:name w:val="T正文"/>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sz w:val="28"/>
      <w:lang w:val="en-US" w:eastAsia="zh-CN" w:bidi="ar-SA"/>
    </w:rPr>
  </w:style>
  <w:style w:type="paragraph" w:customStyle="1" w:styleId="84">
    <w:name w:val="常规"/>
    <w:basedOn w:val="1"/>
    <w:qFormat/>
    <w:uiPriority w:val="0"/>
    <w:pPr>
      <w:ind w:firstLine="200" w:firstLineChars="200"/>
      <w:jc w:val="left"/>
    </w:pPr>
    <w:rPr>
      <w:rFonts w:ascii="Arial" w:hAnsi="Arial" w:eastAsia="Arial"/>
      <w:color w:val="000000"/>
      <w:kern w:val="0"/>
      <w:sz w:val="20"/>
      <w:lang w:val="zh-CN"/>
    </w:rPr>
  </w:style>
  <w:style w:type="paragraph" w:customStyle="1" w:styleId="85">
    <w:name w:val="A正文"/>
    <w:basedOn w:val="1"/>
    <w:qFormat/>
    <w:uiPriority w:val="0"/>
    <w:pPr>
      <w:snapToGrid w:val="0"/>
      <w:spacing w:line="500" w:lineRule="exact"/>
      <w:ind w:firstLine="480"/>
    </w:pPr>
    <w:rPr>
      <w:sz w:val="24"/>
    </w:rPr>
  </w:style>
  <w:style w:type="character" w:customStyle="1" w:styleId="86">
    <w:name w:val="批注文字 字符1"/>
    <w:semiHidden/>
    <w:qFormat/>
    <w:uiPriority w:val="0"/>
    <w:rPr>
      <w:rFonts w:ascii="Times New Roman" w:hAnsi="Times New Roman" w:eastAsia="宋体"/>
      <w:sz w:val="24"/>
    </w:rPr>
  </w:style>
  <w:style w:type="character" w:customStyle="1" w:styleId="87">
    <w:name w:val="页脚 字符"/>
    <w:basedOn w:val="67"/>
    <w:qFormat/>
    <w:uiPriority w:val="99"/>
  </w:style>
  <w:style w:type="character" w:customStyle="1" w:styleId="88">
    <w:name w:val="页眉 字符"/>
    <w:link w:val="42"/>
    <w:qFormat/>
    <w:locked/>
    <w:uiPriority w:val="99"/>
    <w:rPr>
      <w:sz w:val="18"/>
    </w:rPr>
  </w:style>
  <w:style w:type="character" w:customStyle="1" w:styleId="89">
    <w:name w:val="普通(网站) 字符"/>
    <w:link w:val="57"/>
    <w:qFormat/>
    <w:locked/>
    <w:uiPriority w:val="0"/>
    <w:rPr>
      <w:rFonts w:ascii="宋体" w:hAnsi="宋体" w:eastAsia="宋体"/>
      <w:sz w:val="24"/>
    </w:rPr>
  </w:style>
  <w:style w:type="character" w:customStyle="1" w:styleId="90">
    <w:name w:val="正文文本缩进 字符"/>
    <w:link w:val="9"/>
    <w:qFormat/>
    <w:locked/>
    <w:uiPriority w:val="0"/>
    <w:rPr>
      <w:rFonts w:ascii="Times New Roman" w:hAnsi="Times New Roman" w:eastAsia="宋体"/>
      <w:sz w:val="24"/>
    </w:rPr>
  </w:style>
  <w:style w:type="character" w:customStyle="1" w:styleId="91">
    <w:name w:val="页脚 字符1"/>
    <w:link w:val="41"/>
    <w:qFormat/>
    <w:locked/>
    <w:uiPriority w:val="99"/>
    <w:rPr>
      <w:sz w:val="18"/>
    </w:rPr>
  </w:style>
  <w:style w:type="character" w:customStyle="1" w:styleId="92">
    <w:name w:val="批注主题 字符"/>
    <w:link w:val="59"/>
    <w:qFormat/>
    <w:locked/>
    <w:uiPriority w:val="99"/>
    <w:rPr>
      <w:rFonts w:ascii="Times New Roman" w:hAnsi="Times New Roman" w:eastAsia="宋体"/>
      <w:b/>
      <w:kern w:val="2"/>
      <w:sz w:val="24"/>
    </w:rPr>
  </w:style>
  <w:style w:type="character" w:customStyle="1" w:styleId="93">
    <w:name w:val="日期 字符1"/>
    <w:link w:val="37"/>
    <w:qFormat/>
    <w:locked/>
    <w:uiPriority w:val="0"/>
    <w:rPr>
      <w:rFonts w:ascii="Times New Roman" w:hAnsi="Times New Roman" w:eastAsia="宋体"/>
      <w:sz w:val="24"/>
    </w:rPr>
  </w:style>
  <w:style w:type="character" w:customStyle="1" w:styleId="94">
    <w:name w:val="正文文本 字符1"/>
    <w:semiHidden/>
    <w:qFormat/>
    <w:uiPriority w:val="0"/>
    <w:rPr>
      <w:rFonts w:ascii="Times New Roman" w:hAnsi="Times New Roman" w:eastAsia="宋体"/>
      <w:sz w:val="24"/>
    </w:rPr>
  </w:style>
  <w:style w:type="character" w:customStyle="1" w:styleId="95">
    <w:name w:val="批注文字 字符"/>
    <w:link w:val="23"/>
    <w:qFormat/>
    <w:locked/>
    <w:uiPriority w:val="99"/>
    <w:rPr>
      <w:rFonts w:ascii="Times New Roman" w:hAnsi="Times New Roman" w:eastAsia="宋体"/>
      <w:sz w:val="24"/>
    </w:rPr>
  </w:style>
  <w:style w:type="character" w:customStyle="1" w:styleId="96">
    <w:name w:val="正文文本 字符"/>
    <w:link w:val="27"/>
    <w:qFormat/>
    <w:locked/>
    <w:uiPriority w:val="0"/>
    <w:rPr>
      <w:sz w:val="18"/>
    </w:rPr>
  </w:style>
  <w:style w:type="character" w:customStyle="1" w:styleId="97">
    <w:name w:val="批注框文本 字符"/>
    <w:link w:val="40"/>
    <w:qFormat/>
    <w:locked/>
    <w:uiPriority w:val="99"/>
    <w:rPr>
      <w:rFonts w:ascii="Times New Roman" w:hAnsi="Times New Roman" w:eastAsia="宋体"/>
      <w:sz w:val="18"/>
    </w:rPr>
  </w:style>
  <w:style w:type="character" w:customStyle="1" w:styleId="98">
    <w:name w:val="表格 Char"/>
    <w:link w:val="99"/>
    <w:qFormat/>
    <w:locked/>
    <w:uiPriority w:val="0"/>
    <w:rPr>
      <w:rFonts w:ascii="宋体"/>
      <w:sz w:val="21"/>
    </w:rPr>
  </w:style>
  <w:style w:type="paragraph" w:customStyle="1" w:styleId="99">
    <w:name w:val="表格"/>
    <w:basedOn w:val="57"/>
    <w:next w:val="1"/>
    <w:link w:val="98"/>
    <w:qFormat/>
    <w:uiPriority w:val="0"/>
    <w:pPr>
      <w:adjustRightInd w:val="0"/>
      <w:snapToGrid w:val="0"/>
      <w:spacing w:beforeLines="10" w:afterLines="10" w:line="259" w:lineRule="auto"/>
      <w:jc w:val="center"/>
    </w:pPr>
  </w:style>
  <w:style w:type="character" w:customStyle="1" w:styleId="100">
    <w:name w:val="日期 字符"/>
    <w:qFormat/>
    <w:uiPriority w:val="99"/>
    <w:rPr>
      <w:rFonts w:ascii="Times New Roman" w:hAnsi="Times New Roman" w:eastAsia="宋体"/>
      <w:sz w:val="24"/>
    </w:rPr>
  </w:style>
  <w:style w:type="paragraph" w:customStyle="1" w:styleId="10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103">
    <w:name w:val="标题 2 字符1"/>
    <w:link w:val="3"/>
    <w:qFormat/>
    <w:uiPriority w:val="99"/>
    <w:rPr>
      <w:rFonts w:ascii="Arial" w:hAnsi="Arial" w:eastAsia="黑体"/>
      <w:b/>
      <w:kern w:val="2"/>
      <w:sz w:val="36"/>
    </w:rPr>
  </w:style>
  <w:style w:type="character" w:customStyle="1" w:styleId="104">
    <w:name w:val="标题 3 字符1"/>
    <w:link w:val="4"/>
    <w:qFormat/>
    <w:uiPriority w:val="0"/>
    <w:rPr>
      <w:rFonts w:ascii="Arial" w:hAnsi="Arial" w:eastAsia="黑体"/>
      <w:b/>
      <w:kern w:val="2"/>
      <w:sz w:val="30"/>
    </w:rPr>
  </w:style>
  <w:style w:type="character" w:customStyle="1" w:styleId="105">
    <w:name w:val="标题 4 字符1"/>
    <w:link w:val="5"/>
    <w:qFormat/>
    <w:uiPriority w:val="99"/>
    <w:rPr>
      <w:rFonts w:ascii="Arial" w:hAnsi="Arial" w:eastAsia="黑体"/>
      <w:b/>
      <w:kern w:val="2"/>
      <w:sz w:val="28"/>
    </w:rPr>
  </w:style>
  <w:style w:type="character" w:customStyle="1" w:styleId="106">
    <w:name w:val="标题 5 字符2"/>
    <w:link w:val="6"/>
    <w:qFormat/>
    <w:uiPriority w:val="0"/>
    <w:rPr>
      <w:rFonts w:ascii="Arial" w:hAnsi="Arial"/>
      <w:b/>
      <w:kern w:val="2"/>
      <w:sz w:val="28"/>
    </w:rPr>
  </w:style>
  <w:style w:type="character" w:customStyle="1" w:styleId="107">
    <w:name w:val="标题 6 字符1"/>
    <w:link w:val="11"/>
    <w:qFormat/>
    <w:uiPriority w:val="0"/>
    <w:rPr>
      <w:rFonts w:eastAsia="楷体_GB2312"/>
      <w:b/>
    </w:rPr>
  </w:style>
  <w:style w:type="character" w:customStyle="1" w:styleId="108">
    <w:name w:val="标题 7 字符1"/>
    <w:link w:val="12"/>
    <w:qFormat/>
    <w:uiPriority w:val="0"/>
    <w:rPr>
      <w:rFonts w:eastAsia="仿宋_GB2312"/>
      <w:b/>
      <w:sz w:val="24"/>
      <w:szCs w:val="24"/>
      <w:lang w:val="zh-CN" w:eastAsia="zh-CN"/>
    </w:rPr>
  </w:style>
  <w:style w:type="character" w:customStyle="1" w:styleId="109">
    <w:name w:val="标题 8 字符1"/>
    <w:link w:val="13"/>
    <w:qFormat/>
    <w:uiPriority w:val="0"/>
    <w:rPr>
      <w:rFonts w:ascii="Arial" w:hAnsi="Arial" w:eastAsia="黑体"/>
      <w:bCs/>
      <w:sz w:val="24"/>
      <w:szCs w:val="24"/>
      <w:lang w:val="zh-CN" w:eastAsia="zh-CN"/>
    </w:rPr>
  </w:style>
  <w:style w:type="character" w:customStyle="1" w:styleId="110">
    <w:name w:val="标题 9 字符1"/>
    <w:link w:val="14"/>
    <w:qFormat/>
    <w:uiPriority w:val="0"/>
    <w:rPr>
      <w:rFonts w:ascii="Arial" w:hAnsi="Arial" w:eastAsia="黑体"/>
      <w:bCs/>
      <w:sz w:val="24"/>
      <w:szCs w:val="24"/>
      <w:lang w:val="zh-CN" w:eastAsia="zh-CN"/>
    </w:rPr>
  </w:style>
  <w:style w:type="character" w:customStyle="1" w:styleId="111">
    <w:name w:val="纯文本 字符2"/>
    <w:link w:val="34"/>
    <w:qFormat/>
    <w:locked/>
    <w:uiPriority w:val="0"/>
    <w:rPr>
      <w:rFonts w:ascii="宋体" w:hAnsi="Courier New"/>
      <w:sz w:val="21"/>
    </w:rPr>
  </w:style>
  <w:style w:type="character" w:customStyle="1" w:styleId="112">
    <w:name w:val="纯文本 Char"/>
    <w:qFormat/>
    <w:uiPriority w:val="0"/>
    <w:rPr>
      <w:rFonts w:ascii="宋体" w:hAnsi="Courier New" w:eastAsia="宋体"/>
      <w:kern w:val="0"/>
      <w:sz w:val="21"/>
    </w:rPr>
  </w:style>
  <w:style w:type="character" w:customStyle="1" w:styleId="113">
    <w:name w:val="height"/>
    <w:qFormat/>
    <w:uiPriority w:val="99"/>
    <w:rPr>
      <w:rFonts w:cs="Times New Roman"/>
    </w:rPr>
  </w:style>
  <w:style w:type="character" w:customStyle="1" w:styleId="114">
    <w:name w:val="副标题 字符1"/>
    <w:link w:val="48"/>
    <w:qFormat/>
    <w:locked/>
    <w:uiPriority w:val="0"/>
    <w:rPr>
      <w:rFonts w:ascii="Cambria" w:hAnsi="Cambria"/>
      <w:sz w:val="24"/>
      <w:lang w:eastAsia="en-US"/>
    </w:rPr>
  </w:style>
  <w:style w:type="character" w:customStyle="1" w:styleId="115">
    <w:name w:val="正文文本缩进 2 字符1"/>
    <w:link w:val="38"/>
    <w:qFormat/>
    <w:locked/>
    <w:uiPriority w:val="99"/>
    <w:rPr>
      <w:rFonts w:eastAsia="仿宋_GB2312"/>
      <w:b/>
    </w:rPr>
  </w:style>
  <w:style w:type="character" w:customStyle="1" w:styleId="116">
    <w:name w:val="apple-converted-space"/>
    <w:qFormat/>
    <w:uiPriority w:val="0"/>
  </w:style>
  <w:style w:type="character" w:customStyle="1" w:styleId="117">
    <w:name w:val="表格内文字 Char Char"/>
    <w:qFormat/>
    <w:uiPriority w:val="0"/>
    <w:rPr>
      <w:rFonts w:eastAsia="仿宋_GB2312"/>
      <w:kern w:val="2"/>
      <w:sz w:val="24"/>
    </w:rPr>
  </w:style>
  <w:style w:type="character" w:customStyle="1" w:styleId="118">
    <w:name w:val="表格文字 Char"/>
    <w:link w:val="119"/>
    <w:qFormat/>
    <w:locked/>
    <w:uiPriority w:val="0"/>
    <w:rPr>
      <w:rFonts w:ascii="仿宋_GB2312" w:hAnsi="Arial Black" w:eastAsia="仿宋_GB2312"/>
      <w:kern w:val="44"/>
      <w:sz w:val="24"/>
    </w:rPr>
  </w:style>
  <w:style w:type="paragraph" w:customStyle="1" w:styleId="119">
    <w:name w:val="表格文字"/>
    <w:basedOn w:val="27"/>
    <w:link w:val="118"/>
    <w:qFormat/>
    <w:uiPriority w:val="0"/>
    <w:pPr>
      <w:jc w:val="center"/>
    </w:pPr>
    <w:rPr>
      <w:rFonts w:ascii="仿宋_GB2312" w:hAnsi="Arial Black" w:eastAsia="仿宋_GB2312"/>
      <w:kern w:val="44"/>
      <w:sz w:val="24"/>
    </w:rPr>
  </w:style>
  <w:style w:type="paragraph" w:customStyle="1" w:styleId="120">
    <w:name w:val="表格标题"/>
    <w:basedOn w:val="20"/>
    <w:next w:val="1"/>
    <w:link w:val="275"/>
    <w:qFormat/>
    <w:uiPriority w:val="0"/>
    <w:pPr>
      <w:spacing w:before="120"/>
    </w:pPr>
    <w:rPr>
      <w:rFonts w:eastAsia="方正魏碑简体"/>
      <w:sz w:val="24"/>
    </w:rPr>
  </w:style>
  <w:style w:type="character" w:customStyle="1" w:styleId="121">
    <w:name w:val="谏壁正文chen Char Char"/>
    <w:link w:val="122"/>
    <w:qFormat/>
    <w:locked/>
    <w:uiPriority w:val="99"/>
    <w:rPr>
      <w:kern w:val="2"/>
      <w:sz w:val="24"/>
    </w:rPr>
  </w:style>
  <w:style w:type="paragraph" w:customStyle="1" w:styleId="122">
    <w:name w:val="谏壁正文chen"/>
    <w:basedOn w:val="1"/>
    <w:link w:val="121"/>
    <w:qFormat/>
    <w:uiPriority w:val="99"/>
    <w:pPr>
      <w:spacing w:line="360" w:lineRule="auto"/>
      <w:ind w:firstLine="200" w:firstLineChars="200"/>
    </w:pPr>
    <w:rPr>
      <w:sz w:val="24"/>
      <w:szCs w:val="20"/>
    </w:rPr>
  </w:style>
  <w:style w:type="character" w:customStyle="1" w:styleId="123">
    <w:name w:val="正文文本缩进 3 字符1"/>
    <w:link w:val="51"/>
    <w:qFormat/>
    <w:locked/>
    <w:uiPriority w:val="0"/>
    <w:rPr>
      <w:rFonts w:eastAsia="楷体_GB2312"/>
      <w:b/>
    </w:rPr>
  </w:style>
  <w:style w:type="character" w:customStyle="1" w:styleId="124">
    <w:name w:val="标题 字符1"/>
    <w:link w:val="58"/>
    <w:qFormat/>
    <w:locked/>
    <w:uiPriority w:val="0"/>
    <w:rPr>
      <w:rFonts w:ascii="宋体"/>
      <w:sz w:val="24"/>
    </w:rPr>
  </w:style>
  <w:style w:type="character" w:customStyle="1" w:styleId="125">
    <w:name w:val="正文文本 Char"/>
    <w:qFormat/>
    <w:locked/>
    <w:uiPriority w:val="0"/>
    <w:rPr>
      <w:rFonts w:ascii="Times New Roman" w:hAnsi="Times New Roman" w:eastAsia="宋体" w:cs="Times New Roman"/>
      <w:kern w:val="0"/>
      <w:sz w:val="20"/>
    </w:rPr>
  </w:style>
  <w:style w:type="character" w:customStyle="1" w:styleId="126">
    <w:name w:val="批注主题 Char"/>
    <w:qFormat/>
    <w:locked/>
    <w:uiPriority w:val="99"/>
    <w:rPr>
      <w:rFonts w:ascii="Times New Roman" w:hAnsi="Times New Roman" w:cs="Times New Roman"/>
      <w:b/>
    </w:rPr>
  </w:style>
  <w:style w:type="character" w:customStyle="1" w:styleId="127">
    <w:name w:val="price_unline"/>
    <w:qFormat/>
    <w:uiPriority w:val="99"/>
    <w:rPr>
      <w:rFonts w:cs="Times New Roman"/>
    </w:rPr>
  </w:style>
  <w:style w:type="character" w:customStyle="1" w:styleId="128">
    <w:name w:val="表格样式 Char"/>
    <w:link w:val="129"/>
    <w:qFormat/>
    <w:locked/>
    <w:uiPriority w:val="99"/>
    <w:rPr>
      <w:rFonts w:ascii="宋体"/>
      <w:kern w:val="2"/>
      <w:sz w:val="21"/>
    </w:rPr>
  </w:style>
  <w:style w:type="paragraph" w:customStyle="1" w:styleId="129">
    <w:name w:val="表格样式"/>
    <w:basedOn w:val="1"/>
    <w:link w:val="128"/>
    <w:qFormat/>
    <w:uiPriority w:val="99"/>
    <w:pPr>
      <w:jc w:val="center"/>
    </w:pPr>
    <w:rPr>
      <w:rFonts w:ascii="宋体"/>
      <w:szCs w:val="20"/>
    </w:rPr>
  </w:style>
  <w:style w:type="character" w:customStyle="1" w:styleId="130">
    <w:name w:val="表文字 Char1"/>
    <w:link w:val="131"/>
    <w:qFormat/>
    <w:locked/>
    <w:uiPriority w:val="99"/>
  </w:style>
  <w:style w:type="paragraph" w:customStyle="1" w:styleId="131">
    <w:name w:val="表文字"/>
    <w:basedOn w:val="1"/>
    <w:link w:val="130"/>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32">
    <w:name w:val="aspmaker1"/>
    <w:qFormat/>
    <w:uiPriority w:val="0"/>
    <w:rPr>
      <w:sz w:val="20"/>
    </w:rPr>
  </w:style>
  <w:style w:type="character" w:customStyle="1" w:styleId="133">
    <w:name w:val="正文（首行缩进2字） Char1"/>
    <w:link w:val="134"/>
    <w:qFormat/>
    <w:locked/>
    <w:uiPriority w:val="99"/>
    <w:rPr>
      <w:kern w:val="2"/>
      <w:sz w:val="30"/>
    </w:rPr>
  </w:style>
  <w:style w:type="paragraph" w:customStyle="1" w:styleId="134">
    <w:name w:val="正文（首行缩进2字）"/>
    <w:basedOn w:val="1"/>
    <w:link w:val="133"/>
    <w:qFormat/>
    <w:uiPriority w:val="99"/>
    <w:pPr>
      <w:spacing w:line="440" w:lineRule="exact"/>
      <w:ind w:firstLine="480" w:firstLineChars="200"/>
    </w:pPr>
    <w:rPr>
      <w:sz w:val="30"/>
      <w:szCs w:val="20"/>
    </w:rPr>
  </w:style>
  <w:style w:type="character" w:customStyle="1" w:styleId="135">
    <w:name w:val="正文文本 + MingLiU7"/>
    <w:qFormat/>
    <w:uiPriority w:val="99"/>
    <w:rPr>
      <w:rFonts w:ascii="MingLiU" w:hAnsi="宋体" w:eastAsia="MingLiU"/>
      <w:i/>
      <w:sz w:val="19"/>
    </w:rPr>
  </w:style>
  <w:style w:type="character" w:customStyle="1" w:styleId="136">
    <w:name w:val="表格标题博泵 Char"/>
    <w:link w:val="137"/>
    <w:qFormat/>
    <w:locked/>
    <w:uiPriority w:val="99"/>
    <w:rPr>
      <w:b/>
      <w:color w:val="000000"/>
    </w:rPr>
  </w:style>
  <w:style w:type="paragraph" w:customStyle="1" w:styleId="137">
    <w:name w:val="表格标题博泵"/>
    <w:basedOn w:val="1"/>
    <w:link w:val="136"/>
    <w:qFormat/>
    <w:uiPriority w:val="99"/>
    <w:pPr>
      <w:adjustRightInd w:val="0"/>
      <w:snapToGrid w:val="0"/>
      <w:jc w:val="center"/>
      <w:textAlignment w:val="baseline"/>
    </w:pPr>
    <w:rPr>
      <w:b/>
      <w:color w:val="000000"/>
      <w:kern w:val="0"/>
      <w:sz w:val="20"/>
      <w:szCs w:val="20"/>
    </w:rPr>
  </w:style>
  <w:style w:type="character" w:customStyle="1" w:styleId="138">
    <w:name w:val="正文文本 (6)_"/>
    <w:link w:val="139"/>
    <w:qFormat/>
    <w:locked/>
    <w:uiPriority w:val="99"/>
    <w:rPr>
      <w:rFonts w:ascii="宋体"/>
      <w:shd w:val="clear" w:color="auto" w:fill="FFFFFF"/>
    </w:rPr>
  </w:style>
  <w:style w:type="paragraph" w:customStyle="1" w:styleId="139">
    <w:name w:val="正文文本 (6)"/>
    <w:basedOn w:val="1"/>
    <w:link w:val="138"/>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40">
    <w:name w:val="日期 Char"/>
    <w:qFormat/>
    <w:locked/>
    <w:uiPriority w:val="99"/>
    <w:rPr>
      <w:rFonts w:ascii="Times New Roman" w:hAnsi="Times New Roman" w:eastAsia="宋体" w:cs="Times New Roman"/>
      <w:sz w:val="20"/>
    </w:rPr>
  </w:style>
  <w:style w:type="character" w:customStyle="1" w:styleId="141">
    <w:name w:val="博泵1 Char"/>
    <w:link w:val="142"/>
    <w:qFormat/>
    <w:locked/>
    <w:uiPriority w:val="0"/>
    <w:rPr>
      <w:rFonts w:hAnsi="宋体"/>
      <w:color w:val="000000"/>
      <w:sz w:val="24"/>
    </w:rPr>
  </w:style>
  <w:style w:type="paragraph" w:customStyle="1" w:styleId="142">
    <w:name w:val="博泵1"/>
    <w:basedOn w:val="1"/>
    <w:link w:val="141"/>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43">
    <w:name w:val="批注框文本 Char"/>
    <w:qFormat/>
    <w:locked/>
    <w:uiPriority w:val="99"/>
    <w:rPr>
      <w:rFonts w:ascii="Times New Roman" w:hAnsi="Times New Roman" w:eastAsia="宋体" w:cs="Times New Roman"/>
      <w:kern w:val="0"/>
      <w:sz w:val="18"/>
    </w:rPr>
  </w:style>
  <w:style w:type="character" w:customStyle="1" w:styleId="144">
    <w:name w:val="标题 Char1"/>
    <w:qFormat/>
    <w:uiPriority w:val="99"/>
    <w:rPr>
      <w:rFonts w:ascii="Cambria" w:hAnsi="Cambria" w:eastAsia="宋体"/>
      <w:b/>
      <w:kern w:val="0"/>
      <w:sz w:val="32"/>
    </w:rPr>
  </w:style>
  <w:style w:type="character" w:customStyle="1" w:styleId="145">
    <w:name w:val="正文首行缩进 字符"/>
    <w:link w:val="60"/>
    <w:qFormat/>
    <w:locked/>
    <w:uiPriority w:val="99"/>
  </w:style>
  <w:style w:type="character" w:customStyle="1" w:styleId="146">
    <w:name w:val="正文文本缩进 Char"/>
    <w:qFormat/>
    <w:locked/>
    <w:uiPriority w:val="0"/>
    <w:rPr>
      <w:rFonts w:ascii="Times New Roman" w:hAnsi="Times New Roman" w:eastAsia="楷体_GB2312" w:cs="Times New Roman"/>
      <w:b/>
      <w:kern w:val="0"/>
      <w:sz w:val="20"/>
    </w:rPr>
  </w:style>
  <w:style w:type="character" w:customStyle="1" w:styleId="147">
    <w:name w:val="页眉 Char"/>
    <w:qFormat/>
    <w:locked/>
    <w:uiPriority w:val="99"/>
    <w:rPr>
      <w:rFonts w:cs="Times New Roman"/>
      <w:sz w:val="18"/>
    </w:rPr>
  </w:style>
  <w:style w:type="character" w:customStyle="1" w:styleId="148">
    <w:name w:val="表头 Char"/>
    <w:link w:val="149"/>
    <w:qFormat/>
    <w:locked/>
    <w:uiPriority w:val="0"/>
    <w:rPr>
      <w:rFonts w:eastAsia="黑体"/>
    </w:rPr>
  </w:style>
  <w:style w:type="paragraph" w:customStyle="1" w:styleId="149">
    <w:name w:val="表头"/>
    <w:basedOn w:val="60"/>
    <w:link w:val="148"/>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50">
    <w:name w:val="标题 1 字符1"/>
    <w:link w:val="2"/>
    <w:qFormat/>
    <w:locked/>
    <w:uiPriority w:val="0"/>
    <w:rPr>
      <w:rFonts w:eastAsia="黑体"/>
      <w:b/>
      <w:bCs/>
      <w:color w:val="000000"/>
      <w:kern w:val="44"/>
      <w:sz w:val="30"/>
      <w:szCs w:val="30"/>
    </w:rPr>
  </w:style>
  <w:style w:type="character" w:customStyle="1" w:styleId="151">
    <w:name w:val="文档结构图 字符1"/>
    <w:link w:val="21"/>
    <w:qFormat/>
    <w:locked/>
    <w:uiPriority w:val="99"/>
    <w:rPr>
      <w:rFonts w:ascii="宋体"/>
      <w:sz w:val="18"/>
    </w:rPr>
  </w:style>
  <w:style w:type="character" w:customStyle="1" w:styleId="152">
    <w:name w:val="正文缩进 字符1"/>
    <w:link w:val="7"/>
    <w:qFormat/>
    <w:locked/>
    <w:uiPriority w:val="0"/>
  </w:style>
  <w:style w:type="character" w:customStyle="1" w:styleId="153">
    <w:name w:val="1正文段落 Char"/>
    <w:link w:val="154"/>
    <w:qFormat/>
    <w:locked/>
    <w:uiPriority w:val="99"/>
    <w:rPr>
      <w:snapToGrid w:val="0"/>
      <w:sz w:val="24"/>
    </w:rPr>
  </w:style>
  <w:style w:type="paragraph" w:customStyle="1" w:styleId="154">
    <w:name w:val="1正文段落"/>
    <w:basedOn w:val="1"/>
    <w:link w:val="153"/>
    <w:qFormat/>
    <w:uiPriority w:val="0"/>
    <w:pPr>
      <w:spacing w:line="360" w:lineRule="auto"/>
      <w:ind w:firstLine="480" w:firstLineChars="200"/>
      <w:jc w:val="left"/>
    </w:pPr>
    <w:rPr>
      <w:snapToGrid w:val="0"/>
      <w:kern w:val="0"/>
      <w:sz w:val="24"/>
      <w:szCs w:val="20"/>
    </w:rPr>
  </w:style>
  <w:style w:type="character" w:customStyle="1" w:styleId="155">
    <w:name w:val="批注文字 Char"/>
    <w:qFormat/>
    <w:locked/>
    <w:uiPriority w:val="99"/>
    <w:rPr>
      <w:rFonts w:ascii="Times New Roman" w:hAnsi="Times New Roman" w:cs="Times New Roman"/>
    </w:rPr>
  </w:style>
  <w:style w:type="character" w:customStyle="1" w:styleId="156">
    <w:name w:val="环评正文 Char1"/>
    <w:link w:val="157"/>
    <w:qFormat/>
    <w:locked/>
    <w:uiPriority w:val="99"/>
    <w:rPr>
      <w:rFonts w:ascii="仿宋_GB2312" w:eastAsia="仿宋_GB2312"/>
      <w:kern w:val="2"/>
      <w:sz w:val="28"/>
      <w:lang w:val="zh-CN"/>
    </w:rPr>
  </w:style>
  <w:style w:type="paragraph" w:customStyle="1" w:styleId="157">
    <w:name w:val="环评正文"/>
    <w:basedOn w:val="37"/>
    <w:link w:val="156"/>
    <w:qFormat/>
    <w:uiPriority w:val="0"/>
    <w:pPr>
      <w:spacing w:line="500" w:lineRule="exact"/>
      <w:ind w:left="0" w:leftChars="0" w:firstLine="560" w:firstLineChars="200"/>
    </w:pPr>
    <w:rPr>
      <w:rFonts w:ascii="仿宋_GB2312" w:eastAsia="仿宋_GB2312"/>
      <w:kern w:val="2"/>
      <w:sz w:val="28"/>
      <w:lang w:val="zh-CN"/>
    </w:rPr>
  </w:style>
  <w:style w:type="character" w:customStyle="1" w:styleId="158">
    <w:name w:val="正文(首行缩进) Char Char"/>
    <w:link w:val="159"/>
    <w:qFormat/>
    <w:locked/>
    <w:uiPriority w:val="99"/>
    <w:rPr>
      <w:snapToGrid w:val="0"/>
      <w:sz w:val="24"/>
    </w:rPr>
  </w:style>
  <w:style w:type="paragraph" w:customStyle="1" w:styleId="159">
    <w:name w:val="正文(首行缩进)"/>
    <w:basedOn w:val="1"/>
    <w:link w:val="158"/>
    <w:qFormat/>
    <w:uiPriority w:val="0"/>
    <w:pPr>
      <w:spacing w:line="360" w:lineRule="auto"/>
      <w:ind w:firstLine="480" w:firstLineChars="200"/>
    </w:pPr>
    <w:rPr>
      <w:snapToGrid w:val="0"/>
      <w:kern w:val="0"/>
      <w:sz w:val="24"/>
      <w:szCs w:val="20"/>
    </w:rPr>
  </w:style>
  <w:style w:type="character" w:customStyle="1" w:styleId="160">
    <w:name w:val="正文01 Char1"/>
    <w:link w:val="161"/>
    <w:qFormat/>
    <w:locked/>
    <w:uiPriority w:val="0"/>
    <w:rPr>
      <w:kern w:val="2"/>
      <w:sz w:val="24"/>
    </w:rPr>
  </w:style>
  <w:style w:type="paragraph" w:customStyle="1" w:styleId="161">
    <w:name w:val="正文01"/>
    <w:basedOn w:val="1"/>
    <w:link w:val="160"/>
    <w:qFormat/>
    <w:uiPriority w:val="0"/>
    <w:pPr>
      <w:adjustRightInd w:val="0"/>
      <w:snapToGrid w:val="0"/>
      <w:spacing w:before="60" w:line="460" w:lineRule="exact"/>
      <w:ind w:firstLine="200" w:firstLineChars="200"/>
    </w:pPr>
    <w:rPr>
      <w:sz w:val="24"/>
      <w:szCs w:val="20"/>
    </w:rPr>
  </w:style>
  <w:style w:type="character" w:customStyle="1" w:styleId="162">
    <w:name w:val="我的样式（正文） Char"/>
    <w:link w:val="163"/>
    <w:qFormat/>
    <w:locked/>
    <w:uiPriority w:val="99"/>
    <w:rPr>
      <w:rFonts w:ascii="宋体"/>
      <w:kern w:val="2"/>
      <w:sz w:val="24"/>
    </w:rPr>
  </w:style>
  <w:style w:type="paragraph" w:customStyle="1" w:styleId="163">
    <w:name w:val="我的样式（正文）"/>
    <w:basedOn w:val="1"/>
    <w:link w:val="162"/>
    <w:qFormat/>
    <w:uiPriority w:val="0"/>
    <w:pPr>
      <w:adjustRightInd w:val="0"/>
      <w:snapToGrid w:val="0"/>
      <w:spacing w:line="360" w:lineRule="auto"/>
      <w:ind w:firstLine="200" w:firstLineChars="200"/>
    </w:pPr>
    <w:rPr>
      <w:rFonts w:ascii="宋体"/>
      <w:sz w:val="24"/>
      <w:szCs w:val="20"/>
    </w:rPr>
  </w:style>
  <w:style w:type="character" w:customStyle="1" w:styleId="164">
    <w:name w:val="页脚 Char"/>
    <w:qFormat/>
    <w:locked/>
    <w:uiPriority w:val="99"/>
    <w:rPr>
      <w:rFonts w:cs="Times New Roman"/>
      <w:sz w:val="18"/>
    </w:rPr>
  </w:style>
  <w:style w:type="character" w:customStyle="1" w:styleId="165">
    <w:name w:val="正文(首行缩进) Char"/>
    <w:qFormat/>
    <w:uiPriority w:val="0"/>
    <w:rPr>
      <w:rFonts w:eastAsia="宋体"/>
      <w:snapToGrid w:val="0"/>
      <w:sz w:val="24"/>
      <w:lang w:val="en-US" w:eastAsia="zh-CN"/>
    </w:rPr>
  </w:style>
  <w:style w:type="character" w:customStyle="1" w:styleId="166">
    <w:name w:val="表格内文字 Char"/>
    <w:link w:val="167"/>
    <w:qFormat/>
    <w:locked/>
    <w:uiPriority w:val="0"/>
    <w:rPr>
      <w:rFonts w:eastAsia="仿宋_GB2312"/>
      <w:sz w:val="24"/>
    </w:rPr>
  </w:style>
  <w:style w:type="paragraph" w:customStyle="1" w:styleId="167">
    <w:name w:val="表格内文字"/>
    <w:basedOn w:val="119"/>
    <w:next w:val="1"/>
    <w:link w:val="166"/>
    <w:qFormat/>
    <w:uiPriority w:val="0"/>
    <w:pPr>
      <w:tabs>
        <w:tab w:val="left" w:pos="0"/>
      </w:tabs>
      <w:adjustRightInd w:val="0"/>
    </w:pPr>
    <w:rPr>
      <w:kern w:val="0"/>
    </w:rPr>
  </w:style>
  <w:style w:type="character" w:customStyle="1" w:styleId="168">
    <w:name w:val="正文文本 2 字符1"/>
    <w:link w:val="55"/>
    <w:qFormat/>
    <w:locked/>
    <w:uiPriority w:val="99"/>
  </w:style>
  <w:style w:type="character" w:customStyle="1" w:styleId="169">
    <w:name w:val="crumb"/>
    <w:qFormat/>
    <w:uiPriority w:val="99"/>
  </w:style>
  <w:style w:type="character" w:customStyle="1" w:styleId="170">
    <w:name w:val="样式1 Char"/>
    <w:link w:val="79"/>
    <w:qFormat/>
    <w:locked/>
    <w:uiPriority w:val="0"/>
    <w:rPr>
      <w:rFonts w:ascii="Calibri" w:hAnsi="Calibri"/>
      <w:color w:val="000000"/>
      <w:sz w:val="24"/>
    </w:rPr>
  </w:style>
  <w:style w:type="character" w:customStyle="1" w:styleId="171">
    <w:name w:val="报告正文-连续目录 Char Char"/>
    <w:link w:val="172"/>
    <w:qFormat/>
    <w:locked/>
    <w:uiPriority w:val="99"/>
    <w:rPr>
      <w:rFonts w:ascii="Arial" w:hAnsi="Arial"/>
      <w:snapToGrid w:val="0"/>
      <w:sz w:val="24"/>
    </w:rPr>
  </w:style>
  <w:style w:type="paragraph" w:customStyle="1" w:styleId="172">
    <w:name w:val="报告正文-连续目录"/>
    <w:basedOn w:val="1"/>
    <w:link w:val="171"/>
    <w:qFormat/>
    <w:uiPriority w:val="99"/>
    <w:pPr>
      <w:spacing w:line="440" w:lineRule="exact"/>
      <w:ind w:firstLine="200" w:firstLineChars="200"/>
    </w:pPr>
    <w:rPr>
      <w:rFonts w:ascii="Arial" w:hAnsi="Arial"/>
      <w:snapToGrid w:val="0"/>
      <w:kern w:val="0"/>
      <w:sz w:val="24"/>
      <w:szCs w:val="20"/>
    </w:rPr>
  </w:style>
  <w:style w:type="character" w:customStyle="1" w:styleId="173">
    <w:name w:val="表格 普通文字 Char"/>
    <w:link w:val="174"/>
    <w:qFormat/>
    <w:uiPriority w:val="0"/>
    <w:rPr>
      <w:rFonts w:eastAsia="仿宋_GB2312"/>
      <w:kern w:val="2"/>
      <w:sz w:val="21"/>
      <w:szCs w:val="21"/>
    </w:rPr>
  </w:style>
  <w:style w:type="paragraph" w:customStyle="1" w:styleId="174">
    <w:name w:val="表格 普通文字"/>
    <w:link w:val="173"/>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75">
    <w:name w:val="文档结构图 Char1"/>
    <w:qFormat/>
    <w:uiPriority w:val="99"/>
    <w:rPr>
      <w:rFonts w:ascii="宋体"/>
      <w:kern w:val="2"/>
      <w:sz w:val="18"/>
      <w:szCs w:val="18"/>
    </w:rPr>
  </w:style>
  <w:style w:type="paragraph" w:customStyle="1" w:styleId="176">
    <w:name w:val="海尔正文"/>
    <w:basedOn w:val="1"/>
    <w:qFormat/>
    <w:uiPriority w:val="0"/>
    <w:pPr>
      <w:spacing w:line="360" w:lineRule="auto"/>
      <w:ind w:firstLine="200" w:firstLineChars="200"/>
    </w:pPr>
    <w:rPr>
      <w:rFonts w:ascii="宋体" w:cs="宋体"/>
      <w:sz w:val="28"/>
    </w:rPr>
  </w:style>
  <w:style w:type="paragraph" w:customStyle="1" w:styleId="177">
    <w:name w:val="表标题"/>
    <w:basedOn w:val="1"/>
    <w:qFormat/>
    <w:uiPriority w:val="0"/>
    <w:pPr>
      <w:spacing w:line="360" w:lineRule="auto"/>
      <w:ind w:left="3420"/>
    </w:pPr>
    <w:rPr>
      <w:rFonts w:ascii="宋体" w:hAnsi="宋体"/>
      <w:sz w:val="24"/>
    </w:rPr>
  </w:style>
  <w:style w:type="character" w:customStyle="1" w:styleId="178">
    <w:name w:val="正文文本缩进 3 Char1"/>
    <w:qFormat/>
    <w:uiPriority w:val="0"/>
    <w:rPr>
      <w:kern w:val="2"/>
      <w:sz w:val="16"/>
      <w:szCs w:val="16"/>
    </w:rPr>
  </w:style>
  <w:style w:type="paragraph" w:customStyle="1" w:styleId="179">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80">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81">
    <w:name w:val="列出段落1"/>
    <w:basedOn w:val="1"/>
    <w:link w:val="549"/>
    <w:qFormat/>
    <w:uiPriority w:val="0"/>
    <w:pPr>
      <w:widowControl/>
      <w:ind w:firstLine="420" w:firstLineChars="200"/>
      <w:jc w:val="left"/>
    </w:pPr>
    <w:rPr>
      <w:kern w:val="0"/>
      <w:sz w:val="20"/>
      <w:szCs w:val="20"/>
    </w:rPr>
  </w:style>
  <w:style w:type="paragraph" w:customStyle="1" w:styleId="182">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83">
    <w:name w:val="正文文本缩进 2 Char1"/>
    <w:qFormat/>
    <w:uiPriority w:val="0"/>
    <w:rPr>
      <w:kern w:val="2"/>
      <w:sz w:val="21"/>
      <w:szCs w:val="24"/>
    </w:rPr>
  </w:style>
  <w:style w:type="paragraph" w:customStyle="1" w:styleId="184">
    <w:name w:val="Char Char Char1 Char Char Char"/>
    <w:basedOn w:val="1"/>
    <w:qFormat/>
    <w:uiPriority w:val="99"/>
    <w:rPr>
      <w:rFonts w:ascii="Courier New" w:hAnsi="Courier New" w:eastAsia="仿宋" w:cs="Courier New"/>
      <w:sz w:val="24"/>
    </w:rPr>
  </w:style>
  <w:style w:type="character" w:customStyle="1" w:styleId="185">
    <w:name w:val="纯文本 Char2"/>
    <w:qFormat/>
    <w:uiPriority w:val="0"/>
    <w:rPr>
      <w:rFonts w:ascii="宋体" w:hAnsi="Courier New" w:cs="Courier New"/>
      <w:kern w:val="2"/>
      <w:sz w:val="21"/>
      <w:szCs w:val="21"/>
    </w:rPr>
  </w:style>
  <w:style w:type="paragraph" w:customStyle="1" w:styleId="186">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87">
    <w:name w:val="Char Char Char Char1"/>
    <w:basedOn w:val="1"/>
    <w:qFormat/>
    <w:uiPriority w:val="99"/>
    <w:pPr>
      <w:spacing w:line="360" w:lineRule="auto"/>
      <w:ind w:firstLine="200" w:firstLineChars="200"/>
    </w:pPr>
    <w:rPr>
      <w:rFonts w:ascii="宋体" w:hAnsi="宋体" w:cs="宋体"/>
      <w:sz w:val="24"/>
    </w:rPr>
  </w:style>
  <w:style w:type="paragraph" w:customStyle="1" w:styleId="188">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89">
    <w:name w:val="表格正文"/>
    <w:basedOn w:val="7"/>
    <w:qFormat/>
    <w:uiPriority w:val="0"/>
    <w:pPr>
      <w:spacing w:line="360" w:lineRule="exact"/>
      <w:jc w:val="center"/>
    </w:pPr>
  </w:style>
  <w:style w:type="paragraph" w:customStyle="1" w:styleId="190">
    <w:name w:val="Char Char4 Char Char"/>
    <w:basedOn w:val="1"/>
    <w:qFormat/>
    <w:uiPriority w:val="99"/>
    <w:rPr>
      <w:szCs w:val="20"/>
    </w:rPr>
  </w:style>
  <w:style w:type="paragraph" w:customStyle="1" w:styleId="191">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92">
    <w:name w:val="列出段落2"/>
    <w:basedOn w:val="1"/>
    <w:qFormat/>
    <w:uiPriority w:val="99"/>
    <w:pPr>
      <w:widowControl/>
      <w:ind w:firstLine="420" w:firstLineChars="200"/>
      <w:jc w:val="left"/>
    </w:pPr>
    <w:rPr>
      <w:kern w:val="0"/>
      <w:sz w:val="20"/>
      <w:szCs w:val="20"/>
    </w:rPr>
  </w:style>
  <w:style w:type="character" w:customStyle="1" w:styleId="193">
    <w:name w:val="标题 Char2"/>
    <w:qFormat/>
    <w:uiPriority w:val="0"/>
    <w:rPr>
      <w:rFonts w:ascii="Cambria" w:hAnsi="Cambria" w:cs="Times New Roman"/>
      <w:b/>
      <w:bCs/>
      <w:kern w:val="2"/>
      <w:sz w:val="32"/>
      <w:szCs w:val="32"/>
    </w:rPr>
  </w:style>
  <w:style w:type="paragraph" w:customStyle="1" w:styleId="194">
    <w:name w:val="表格下方正文"/>
    <w:basedOn w:val="1"/>
    <w:qFormat/>
    <w:uiPriority w:val="99"/>
    <w:pPr>
      <w:adjustRightInd w:val="0"/>
      <w:snapToGrid w:val="0"/>
      <w:spacing w:before="300" w:line="460" w:lineRule="exact"/>
      <w:ind w:firstLine="482"/>
    </w:pPr>
    <w:rPr>
      <w:sz w:val="24"/>
    </w:rPr>
  </w:style>
  <w:style w:type="paragraph" w:customStyle="1" w:styleId="19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96">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97">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98">
    <w:name w:val="二级无标题条"/>
    <w:basedOn w:val="1"/>
    <w:qFormat/>
    <w:uiPriority w:val="0"/>
  </w:style>
  <w:style w:type="paragraph" w:customStyle="1" w:styleId="199">
    <w:name w:val="框图"/>
    <w:basedOn w:val="1"/>
    <w:qFormat/>
    <w:uiPriority w:val="99"/>
    <w:pPr>
      <w:adjustRightInd w:val="0"/>
      <w:snapToGrid w:val="0"/>
      <w:jc w:val="center"/>
    </w:pPr>
    <w:rPr>
      <w:rFonts w:ascii="仿宋_GB2312" w:hAnsi="宋体" w:eastAsia="仿宋_GB2312"/>
      <w:szCs w:val="21"/>
    </w:rPr>
  </w:style>
  <w:style w:type="paragraph" w:customStyle="1" w:styleId="200">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01">
    <w:name w:val="默认段落字体 Para Char Char Char Char"/>
    <w:basedOn w:val="1"/>
    <w:qFormat/>
    <w:uiPriority w:val="0"/>
    <w:rPr>
      <w:sz w:val="24"/>
    </w:rPr>
  </w:style>
  <w:style w:type="paragraph" w:customStyle="1" w:styleId="202">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203">
    <w:name w:val="Char Char Char Char"/>
    <w:basedOn w:val="1"/>
    <w:qFormat/>
    <w:uiPriority w:val="0"/>
    <w:rPr>
      <w:szCs w:val="20"/>
    </w:rPr>
  </w:style>
  <w:style w:type="paragraph" w:customStyle="1" w:styleId="204">
    <w:name w:val="样式 表中文字 +"/>
    <w:basedOn w:val="1"/>
    <w:qFormat/>
    <w:uiPriority w:val="99"/>
    <w:pPr>
      <w:adjustRightInd w:val="0"/>
      <w:snapToGrid w:val="0"/>
      <w:spacing w:line="400" w:lineRule="exact"/>
      <w:jc w:val="center"/>
    </w:pPr>
    <w:rPr>
      <w:kern w:val="0"/>
      <w:szCs w:val="21"/>
    </w:rPr>
  </w:style>
  <w:style w:type="paragraph" w:customStyle="1" w:styleId="205">
    <w:name w:val="无间隔1"/>
    <w:basedOn w:val="1"/>
    <w:qFormat/>
    <w:uiPriority w:val="99"/>
    <w:pPr>
      <w:widowControl/>
      <w:jc w:val="left"/>
    </w:pPr>
    <w:rPr>
      <w:rFonts w:ascii="宋体" w:hAnsi="宋体"/>
      <w:kern w:val="0"/>
      <w:sz w:val="20"/>
      <w:szCs w:val="20"/>
    </w:rPr>
  </w:style>
  <w:style w:type="paragraph" w:customStyle="1" w:styleId="206">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207">
    <w:name w:val="表格文字（对中）"/>
    <w:basedOn w:val="7"/>
    <w:qFormat/>
    <w:uiPriority w:val="0"/>
    <w:pPr>
      <w:spacing w:line="480" w:lineRule="exact"/>
      <w:ind w:firstLine="0"/>
      <w:jc w:val="center"/>
    </w:pPr>
    <w:rPr>
      <w:rFonts w:ascii="黑体" w:hAnsi="Calibri" w:eastAsia="黑体"/>
      <w:color w:val="000000"/>
      <w:sz w:val="24"/>
      <w:szCs w:val="21"/>
    </w:rPr>
  </w:style>
  <w:style w:type="character" w:customStyle="1" w:styleId="208">
    <w:name w:val="正文首行缩进 Char1"/>
    <w:qFormat/>
    <w:uiPriority w:val="99"/>
    <w:rPr>
      <w:kern w:val="2"/>
      <w:sz w:val="21"/>
      <w:szCs w:val="24"/>
    </w:rPr>
  </w:style>
  <w:style w:type="character" w:customStyle="1" w:styleId="209">
    <w:name w:val="正文文本 2 Char1"/>
    <w:qFormat/>
    <w:uiPriority w:val="99"/>
    <w:rPr>
      <w:kern w:val="2"/>
      <w:sz w:val="21"/>
      <w:szCs w:val="24"/>
    </w:rPr>
  </w:style>
  <w:style w:type="character" w:customStyle="1" w:styleId="210">
    <w:name w:val="副标题 Char1"/>
    <w:qFormat/>
    <w:uiPriority w:val="11"/>
    <w:rPr>
      <w:rFonts w:ascii="Cambria" w:hAnsi="Cambria" w:cs="Times New Roman"/>
      <w:b/>
      <w:bCs/>
      <w:kern w:val="28"/>
      <w:sz w:val="32"/>
      <w:szCs w:val="32"/>
    </w:rPr>
  </w:style>
  <w:style w:type="paragraph" w:customStyle="1" w:styleId="211">
    <w:name w:val="默认段落字体 Para Char"/>
    <w:basedOn w:val="1"/>
    <w:qFormat/>
    <w:uiPriority w:val="0"/>
  </w:style>
  <w:style w:type="paragraph" w:customStyle="1" w:styleId="212">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13">
    <w:name w:val="Char Char Char Char Char Char"/>
    <w:basedOn w:val="1"/>
    <w:qFormat/>
    <w:uiPriority w:val="0"/>
    <w:rPr>
      <w:sz w:val="24"/>
    </w:rPr>
  </w:style>
  <w:style w:type="paragraph" w:customStyle="1" w:styleId="214">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15">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16">
    <w:name w:val="1 Char Char Char Char"/>
    <w:basedOn w:val="1"/>
    <w:qFormat/>
    <w:uiPriority w:val="0"/>
    <w:pPr>
      <w:spacing w:line="360" w:lineRule="auto"/>
      <w:ind w:firstLine="200" w:firstLineChars="200"/>
    </w:pPr>
    <w:rPr>
      <w:rFonts w:ascii="宋体" w:hAnsi="宋体" w:cs="宋体"/>
      <w:sz w:val="24"/>
    </w:rPr>
  </w:style>
  <w:style w:type="paragraph" w:customStyle="1" w:styleId="217">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18">
    <w:name w:val="新格式表"/>
    <w:basedOn w:val="1"/>
    <w:qFormat/>
    <w:uiPriority w:val="99"/>
    <w:pPr>
      <w:spacing w:line="240" w:lineRule="exact"/>
      <w:jc w:val="center"/>
    </w:pPr>
    <w:rPr>
      <w:bCs/>
      <w:szCs w:val="21"/>
    </w:rPr>
  </w:style>
  <w:style w:type="paragraph" w:customStyle="1" w:styleId="219">
    <w:name w:val="Char"/>
    <w:basedOn w:val="1"/>
    <w:qFormat/>
    <w:uiPriority w:val="99"/>
    <w:rPr>
      <w:sz w:val="24"/>
    </w:rPr>
  </w:style>
  <w:style w:type="paragraph" w:customStyle="1" w:styleId="220">
    <w:name w:val="表格内容自定"/>
    <w:basedOn w:val="1"/>
    <w:qFormat/>
    <w:uiPriority w:val="0"/>
    <w:pPr>
      <w:spacing w:line="280" w:lineRule="exact"/>
      <w:jc w:val="center"/>
    </w:pPr>
    <w:rPr>
      <w:kern w:val="0"/>
      <w:sz w:val="18"/>
      <w:szCs w:val="21"/>
    </w:rPr>
  </w:style>
  <w:style w:type="paragraph" w:customStyle="1" w:styleId="221">
    <w:name w:val="Char Char Char1 Char Char Char1"/>
    <w:basedOn w:val="1"/>
    <w:qFormat/>
    <w:uiPriority w:val="99"/>
    <w:rPr>
      <w:rFonts w:ascii="Courier New" w:hAnsi="Courier New" w:eastAsia="仿宋" w:cs="Courier New"/>
      <w:sz w:val="24"/>
    </w:rPr>
  </w:style>
  <w:style w:type="paragraph" w:customStyle="1" w:styleId="222">
    <w:name w:val="WPS Plain"/>
    <w:qFormat/>
    <w:uiPriority w:val="0"/>
    <w:rPr>
      <w:rFonts w:ascii="Times New Roman" w:hAnsi="Times New Roman" w:eastAsia="宋体" w:cs="Times New Roman"/>
      <w:sz w:val="24"/>
      <w:szCs w:val="24"/>
      <w:lang w:val="en-US" w:eastAsia="zh-CN" w:bidi="ar-SA"/>
    </w:rPr>
  </w:style>
  <w:style w:type="paragraph" w:customStyle="1" w:styleId="223">
    <w:name w:val="码头正文"/>
    <w:basedOn w:val="7"/>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24">
    <w:name w:val="Char Char Char Char Char Char Char"/>
    <w:basedOn w:val="1"/>
    <w:qFormat/>
    <w:uiPriority w:val="0"/>
    <w:rPr>
      <w:sz w:val="24"/>
    </w:rPr>
  </w:style>
  <w:style w:type="paragraph" w:customStyle="1" w:styleId="225">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26">
    <w:name w:val="网格型-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7">
    <w:name w:val="ylf"/>
    <w:basedOn w:val="63"/>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28">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29">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character" w:styleId="230">
    <w:name w:val="Placeholder Text"/>
    <w:unhideWhenUsed/>
    <w:qFormat/>
    <w:uiPriority w:val="99"/>
    <w:rPr>
      <w:color w:val="808080"/>
    </w:rPr>
  </w:style>
  <w:style w:type="character" w:customStyle="1" w:styleId="231">
    <w:name w:val="正文首行缩进 2 字符"/>
    <w:basedOn w:val="90"/>
    <w:link w:val="8"/>
    <w:qFormat/>
    <w:uiPriority w:val="0"/>
    <w:rPr>
      <w:rFonts w:ascii="Times New Roman" w:hAnsi="Times New Roman" w:eastAsia="宋体"/>
      <w:sz w:val="24"/>
    </w:rPr>
  </w:style>
  <w:style w:type="character" w:customStyle="1" w:styleId="232">
    <w:name w:val="报告表正文 Char"/>
    <w:link w:val="233"/>
    <w:qFormat/>
    <w:uiPriority w:val="0"/>
    <w:rPr>
      <w:sz w:val="24"/>
    </w:rPr>
  </w:style>
  <w:style w:type="paragraph" w:customStyle="1" w:styleId="233">
    <w:name w:val="报告表正文"/>
    <w:basedOn w:val="1"/>
    <w:link w:val="232"/>
    <w:qFormat/>
    <w:uiPriority w:val="0"/>
    <w:pPr>
      <w:adjustRightInd w:val="0"/>
      <w:spacing w:line="300" w:lineRule="auto"/>
      <w:ind w:left="113" w:right="113"/>
      <w:textAlignment w:val="baseline"/>
    </w:pPr>
    <w:rPr>
      <w:kern w:val="0"/>
      <w:sz w:val="24"/>
      <w:szCs w:val="20"/>
    </w:rPr>
  </w:style>
  <w:style w:type="character" w:customStyle="1" w:styleId="234">
    <w:name w:val="Char Char29"/>
    <w:qFormat/>
    <w:uiPriority w:val="0"/>
    <w:rPr>
      <w:rFonts w:eastAsia="宋体"/>
      <w:b/>
      <w:bCs/>
      <w:kern w:val="2"/>
      <w:sz w:val="32"/>
      <w:szCs w:val="32"/>
      <w:lang w:val="en-US" w:eastAsia="zh-CN" w:bidi="ar-SA"/>
    </w:rPr>
  </w:style>
  <w:style w:type="character" w:customStyle="1" w:styleId="235">
    <w:name w:val="tt"/>
    <w:qFormat/>
    <w:uiPriority w:val="0"/>
  </w:style>
  <w:style w:type="character" w:customStyle="1" w:styleId="236">
    <w:name w:val="3zw1"/>
    <w:qFormat/>
    <w:uiPriority w:val="0"/>
    <w:rPr>
      <w:color w:val="000000"/>
      <w:sz w:val="21"/>
      <w:szCs w:val="21"/>
    </w:rPr>
  </w:style>
  <w:style w:type="character" w:customStyle="1" w:styleId="237">
    <w:name w:val="Char Char11"/>
    <w:qFormat/>
    <w:uiPriority w:val="0"/>
    <w:rPr>
      <w:rFonts w:ascii="Calibri" w:hAnsi="Tahoma" w:eastAsia="Calibri" w:cs="Tahoma"/>
      <w:kern w:val="2"/>
      <w:sz w:val="21"/>
      <w:szCs w:val="21"/>
      <w:lang w:val="en-US" w:eastAsia="zh-CN" w:bidi="ar-SA"/>
    </w:rPr>
  </w:style>
  <w:style w:type="character" w:customStyle="1" w:styleId="238">
    <w:name w:val="未命名11"/>
    <w:qFormat/>
    <w:uiPriority w:val="0"/>
    <w:rPr>
      <w:rFonts w:hint="eastAsia" w:ascii="宋体" w:hAnsi="宋体" w:eastAsia="宋体"/>
      <w:sz w:val="18"/>
      <w:szCs w:val="18"/>
    </w:rPr>
  </w:style>
  <w:style w:type="character" w:customStyle="1" w:styleId="239">
    <w:name w:val="正文文本 + 10 pt8"/>
    <w:qFormat/>
    <w:uiPriority w:val="0"/>
    <w:rPr>
      <w:rFonts w:ascii="宋体" w:eastAsia="宋体" w:cs="宋体"/>
      <w:b/>
      <w:bCs/>
      <w:sz w:val="20"/>
      <w:szCs w:val="20"/>
    </w:rPr>
  </w:style>
  <w:style w:type="character" w:customStyle="1" w:styleId="240">
    <w:name w:val="p18-hei"/>
    <w:qFormat/>
    <w:uiPriority w:val="0"/>
  </w:style>
  <w:style w:type="character" w:customStyle="1" w:styleId="241">
    <w:name w:val="表格内容1 Char"/>
    <w:link w:val="242"/>
    <w:qFormat/>
    <w:uiPriority w:val="0"/>
    <w:rPr>
      <w:kern w:val="24"/>
      <w:sz w:val="21"/>
      <w:szCs w:val="21"/>
    </w:rPr>
  </w:style>
  <w:style w:type="paragraph" w:customStyle="1" w:styleId="242">
    <w:name w:val="表格内容1"/>
    <w:basedOn w:val="1"/>
    <w:link w:val="241"/>
    <w:qFormat/>
    <w:uiPriority w:val="0"/>
    <w:pPr>
      <w:widowControl/>
      <w:jc w:val="center"/>
    </w:pPr>
    <w:rPr>
      <w:kern w:val="24"/>
      <w:szCs w:val="21"/>
    </w:rPr>
  </w:style>
  <w:style w:type="character" w:customStyle="1" w:styleId="243">
    <w:name w:val="正文文本 + 10 pt5"/>
    <w:qFormat/>
    <w:uiPriority w:val="0"/>
    <w:rPr>
      <w:rFonts w:ascii="宋体" w:eastAsia="宋体" w:cs="宋体"/>
      <w:b/>
      <w:bCs/>
      <w:sz w:val="20"/>
      <w:szCs w:val="20"/>
    </w:rPr>
  </w:style>
  <w:style w:type="character" w:customStyle="1" w:styleId="244">
    <w:name w:val="edit_font_color"/>
    <w:qFormat/>
    <w:uiPriority w:val="0"/>
  </w:style>
  <w:style w:type="character" w:customStyle="1" w:styleId="245">
    <w:name w:val="keyword1"/>
    <w:qFormat/>
    <w:uiPriority w:val="0"/>
  </w:style>
  <w:style w:type="character" w:customStyle="1" w:styleId="246">
    <w:name w:val="报告 Char"/>
    <w:link w:val="247"/>
    <w:qFormat/>
    <w:uiPriority w:val="0"/>
    <w:rPr>
      <w:rFonts w:ascii="TimesNewRoman" w:hAnsi="TimesNewRoman"/>
      <w:sz w:val="24"/>
    </w:rPr>
  </w:style>
  <w:style w:type="paragraph" w:customStyle="1" w:styleId="247">
    <w:name w:val="报告"/>
    <w:basedOn w:val="1"/>
    <w:link w:val="246"/>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48">
    <w:name w:val="px141"/>
    <w:qFormat/>
    <w:uiPriority w:val="0"/>
    <w:rPr>
      <w:rFonts w:hint="default" w:ascii="ˎ̥" w:hAnsi="ˎ̥"/>
      <w:sz w:val="21"/>
      <w:szCs w:val="21"/>
    </w:rPr>
  </w:style>
  <w:style w:type="character" w:customStyle="1" w:styleId="249">
    <w:name w:val="注释标题 字符1"/>
    <w:link w:val="17"/>
    <w:qFormat/>
    <w:uiPriority w:val="0"/>
    <w:rPr>
      <w:rFonts w:ascii="宋体"/>
      <w:kern w:val="2"/>
      <w:sz w:val="21"/>
    </w:rPr>
  </w:style>
  <w:style w:type="character" w:customStyle="1" w:styleId="250">
    <w:name w:val="标题1"/>
    <w:qFormat/>
    <w:uiPriority w:val="0"/>
  </w:style>
  <w:style w:type="character" w:customStyle="1" w:styleId="251">
    <w:name w:val="spelle"/>
    <w:qFormat/>
    <w:uiPriority w:val="0"/>
  </w:style>
  <w:style w:type="character" w:customStyle="1" w:styleId="252">
    <w:name w:val="css"/>
    <w:qFormat/>
    <w:uiPriority w:val="0"/>
  </w:style>
  <w:style w:type="character" w:customStyle="1" w:styleId="253">
    <w:name w:val="正文B Char"/>
    <w:link w:val="254"/>
    <w:qFormat/>
    <w:locked/>
    <w:uiPriority w:val="0"/>
    <w:rPr>
      <w:rFonts w:ascii="楷体_GB2312" w:eastAsia="楷体_GB2312"/>
      <w:kern w:val="2"/>
      <w:sz w:val="28"/>
    </w:rPr>
  </w:style>
  <w:style w:type="paragraph" w:customStyle="1" w:styleId="254">
    <w:name w:val="正文B"/>
    <w:basedOn w:val="1"/>
    <w:link w:val="253"/>
    <w:qFormat/>
    <w:uiPriority w:val="0"/>
    <w:pPr>
      <w:spacing w:line="500" w:lineRule="exact"/>
    </w:pPr>
    <w:rPr>
      <w:rFonts w:ascii="楷体_GB2312" w:eastAsia="楷体_GB2312"/>
      <w:sz w:val="28"/>
      <w:szCs w:val="20"/>
    </w:rPr>
  </w:style>
  <w:style w:type="character" w:customStyle="1" w:styleId="255">
    <w:name w:val="标题 3 Char Char2"/>
    <w:qFormat/>
    <w:uiPriority w:val="0"/>
    <w:rPr>
      <w:rFonts w:eastAsia="宋体"/>
      <w:b/>
      <w:bCs/>
      <w:kern w:val="2"/>
      <w:sz w:val="32"/>
      <w:szCs w:val="32"/>
      <w:lang w:val="en-US" w:eastAsia="zh-CN" w:bidi="ar-SA"/>
    </w:rPr>
  </w:style>
  <w:style w:type="character" w:customStyle="1" w:styleId="256">
    <w:name w:val="Char Char4"/>
    <w:qFormat/>
    <w:uiPriority w:val="0"/>
    <w:rPr>
      <w:rFonts w:ascii="宋体" w:hAnsi="Courier New" w:eastAsia="宋体"/>
      <w:kern w:val="2"/>
      <w:sz w:val="21"/>
      <w:lang w:val="en-US" w:eastAsia="zh-CN" w:bidi="ar-SA"/>
    </w:rPr>
  </w:style>
  <w:style w:type="character" w:customStyle="1" w:styleId="257">
    <w:name w:val="正文文本 + 6.5 pt3"/>
    <w:qFormat/>
    <w:uiPriority w:val="0"/>
    <w:rPr>
      <w:rFonts w:ascii="宋体" w:hAnsi="宋体" w:eastAsia="宋体" w:cs="宋体"/>
      <w:b/>
      <w:bCs/>
      <w:sz w:val="13"/>
      <w:szCs w:val="13"/>
      <w:lang w:val="en-US" w:eastAsia="zh-CN"/>
    </w:rPr>
  </w:style>
  <w:style w:type="character" w:customStyle="1" w:styleId="258">
    <w:name w:val="t_tag"/>
    <w:qFormat/>
    <w:uiPriority w:val="0"/>
  </w:style>
  <w:style w:type="character" w:customStyle="1" w:styleId="259">
    <w:name w:val="style31"/>
    <w:qFormat/>
    <w:uiPriority w:val="0"/>
    <w:rPr>
      <w:color w:val="000000"/>
      <w:sz w:val="21"/>
      <w:szCs w:val="21"/>
    </w:rPr>
  </w:style>
  <w:style w:type="character" w:customStyle="1" w:styleId="260">
    <w:name w:val="链接"/>
    <w:qFormat/>
    <w:uiPriority w:val="0"/>
    <w:rPr>
      <w:color w:val="0000FF"/>
      <w:u w:val="single" w:color="0000FF"/>
    </w:rPr>
  </w:style>
  <w:style w:type="character" w:customStyle="1" w:styleId="261">
    <w:name w:val="Char Char9"/>
    <w:qFormat/>
    <w:uiPriority w:val="0"/>
    <w:rPr>
      <w:rFonts w:ascii="宋体" w:hAnsi="宋体" w:eastAsia="宋体"/>
      <w:kern w:val="2"/>
      <w:sz w:val="24"/>
      <w:szCs w:val="24"/>
      <w:lang w:val="en-US" w:eastAsia="zh-CN" w:bidi="ar-SA"/>
    </w:rPr>
  </w:style>
  <w:style w:type="character" w:customStyle="1" w:styleId="262">
    <w:name w:val="正文文本 3 字符1"/>
    <w:link w:val="26"/>
    <w:qFormat/>
    <w:locked/>
    <w:uiPriority w:val="99"/>
    <w:rPr>
      <w:rFonts w:ascii="宋体" w:hAnsi="宋体"/>
      <w:kern w:val="2"/>
      <w:sz w:val="16"/>
      <w:szCs w:val="16"/>
    </w:rPr>
  </w:style>
  <w:style w:type="character" w:customStyle="1" w:styleId="263">
    <w:name w:val="表1 Char"/>
    <w:link w:val="264"/>
    <w:qFormat/>
    <w:uiPriority w:val="0"/>
    <w:rPr>
      <w:rFonts w:eastAsia="Times New Roman"/>
      <w:sz w:val="21"/>
    </w:rPr>
  </w:style>
  <w:style w:type="paragraph" w:customStyle="1" w:styleId="264">
    <w:name w:val="表1"/>
    <w:next w:val="1"/>
    <w:link w:val="263"/>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65">
    <w:name w:val="标题 2 Char3"/>
    <w:qFormat/>
    <w:uiPriority w:val="0"/>
    <w:rPr>
      <w:rFonts w:eastAsia="宋体"/>
      <w:b/>
      <w:bCs/>
      <w:kern w:val="2"/>
      <w:sz w:val="21"/>
      <w:szCs w:val="24"/>
      <w:lang w:val="en-US" w:eastAsia="zh-CN" w:bidi="ar-SA"/>
    </w:rPr>
  </w:style>
  <w:style w:type="character" w:customStyle="1" w:styleId="266">
    <w:name w:val="grame"/>
    <w:qFormat/>
    <w:uiPriority w:val="0"/>
  </w:style>
  <w:style w:type="character" w:customStyle="1" w:styleId="267">
    <w:name w:val="纯文本1"/>
    <w:qFormat/>
    <w:uiPriority w:val="0"/>
    <w:rPr>
      <w:rFonts w:ascii="宋体" w:hAnsi="Courier New" w:eastAsia="宋体" w:cs="Courier New"/>
      <w:kern w:val="2"/>
      <w:sz w:val="21"/>
      <w:szCs w:val="21"/>
      <w:lang w:val="en-US" w:eastAsia="zh-CN" w:bidi="ar-SA"/>
    </w:rPr>
  </w:style>
  <w:style w:type="character" w:customStyle="1" w:styleId="268">
    <w:name w:val="ddd"/>
    <w:qFormat/>
    <w:uiPriority w:val="0"/>
  </w:style>
  <w:style w:type="character" w:customStyle="1" w:styleId="269">
    <w:name w:val="表格 Char1"/>
    <w:qFormat/>
    <w:uiPriority w:val="0"/>
    <w:rPr>
      <w:rFonts w:ascii="Times New Roman" w:hAnsi="Times New Roman" w:eastAsia="仿宋_GB2312"/>
      <w:color w:val="auto"/>
      <w:kern w:val="2"/>
      <w:sz w:val="21"/>
      <w:szCs w:val="24"/>
    </w:rPr>
  </w:style>
  <w:style w:type="character" w:customStyle="1" w:styleId="270">
    <w:name w:val="表 Char1"/>
    <w:qFormat/>
    <w:uiPriority w:val="0"/>
    <w:rPr>
      <w:rFonts w:eastAsia="仿宋_GB2312" w:cs="仿宋_GB2312"/>
      <w:kern w:val="2"/>
      <w:sz w:val="21"/>
      <w:szCs w:val="21"/>
      <w:lang w:val="en-US" w:eastAsia="zh-CN" w:bidi="ar-SA"/>
    </w:rPr>
  </w:style>
  <w:style w:type="character" w:customStyle="1" w:styleId="271">
    <w:name w:val="正文1 Char"/>
    <w:link w:val="272"/>
    <w:qFormat/>
    <w:uiPriority w:val="0"/>
    <w:rPr>
      <w:rFonts w:ascii="宋体" w:hAnsi="宋体"/>
      <w:color w:val="000000"/>
      <w:kern w:val="2"/>
      <w:sz w:val="24"/>
    </w:rPr>
  </w:style>
  <w:style w:type="paragraph" w:customStyle="1" w:styleId="272">
    <w:name w:val="正文1"/>
    <w:basedOn w:val="1"/>
    <w:link w:val="271"/>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73">
    <w:name w:val="正文调整 Char"/>
    <w:link w:val="274"/>
    <w:qFormat/>
    <w:uiPriority w:val="0"/>
    <w:rPr>
      <w:kern w:val="2"/>
      <w:sz w:val="24"/>
      <w:szCs w:val="24"/>
    </w:rPr>
  </w:style>
  <w:style w:type="paragraph" w:customStyle="1" w:styleId="274">
    <w:name w:val="正文调整"/>
    <w:basedOn w:val="1"/>
    <w:link w:val="273"/>
    <w:qFormat/>
    <w:uiPriority w:val="0"/>
    <w:pPr>
      <w:spacing w:before="60" w:line="460" w:lineRule="atLeast"/>
      <w:ind w:firstLine="200" w:firstLineChars="200"/>
    </w:pPr>
    <w:rPr>
      <w:sz w:val="24"/>
    </w:rPr>
  </w:style>
  <w:style w:type="character" w:customStyle="1" w:styleId="275">
    <w:name w:val="表格标题 Char Char"/>
    <w:link w:val="120"/>
    <w:qFormat/>
    <w:uiPriority w:val="0"/>
    <w:rPr>
      <w:rFonts w:eastAsia="方正魏碑简体"/>
      <w:kern w:val="2"/>
      <w:sz w:val="24"/>
    </w:rPr>
  </w:style>
  <w:style w:type="paragraph" w:customStyle="1" w:styleId="276">
    <w:name w:val="居中正文"/>
    <w:basedOn w:val="60"/>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77">
    <w:name w:val="注释标题 Char1"/>
    <w:qFormat/>
    <w:uiPriority w:val="99"/>
    <w:rPr>
      <w:kern w:val="2"/>
      <w:sz w:val="21"/>
      <w:szCs w:val="24"/>
    </w:rPr>
  </w:style>
  <w:style w:type="paragraph" w:customStyle="1" w:styleId="278">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79">
    <w:name w:val="CM11"/>
    <w:basedOn w:val="77"/>
    <w:next w:val="77"/>
    <w:qFormat/>
    <w:uiPriority w:val="0"/>
    <w:pPr>
      <w:spacing w:line="460" w:lineRule="atLeast"/>
    </w:pPr>
    <w:rPr>
      <w:rFonts w:ascii="黑体" w:eastAsia="黑体" w:cs="Times New Roman"/>
      <w:color w:val="auto"/>
      <w:sz w:val="20"/>
    </w:rPr>
  </w:style>
  <w:style w:type="character" w:customStyle="1" w:styleId="280">
    <w:name w:val="HTML 预设格式 字符1"/>
    <w:link w:val="56"/>
    <w:qFormat/>
    <w:uiPriority w:val="99"/>
    <w:rPr>
      <w:rFonts w:ascii="Arial" w:hAnsi="Arial"/>
      <w:sz w:val="23"/>
      <w:szCs w:val="23"/>
      <w:lang w:val="zh-CN" w:eastAsia="zh-CN"/>
    </w:rPr>
  </w:style>
  <w:style w:type="character" w:customStyle="1" w:styleId="281">
    <w:name w:val="正文文本 3 Char1"/>
    <w:qFormat/>
    <w:uiPriority w:val="99"/>
    <w:rPr>
      <w:kern w:val="2"/>
      <w:sz w:val="16"/>
      <w:szCs w:val="16"/>
    </w:rPr>
  </w:style>
  <w:style w:type="paragraph" w:customStyle="1" w:styleId="282">
    <w:name w:val="IDC A-Head (2nd Line)"/>
    <w:basedOn w:val="1"/>
    <w:next w:val="1"/>
    <w:qFormat/>
    <w:uiPriority w:val="0"/>
    <w:pPr>
      <w:widowControl/>
      <w:jc w:val="center"/>
    </w:pPr>
    <w:rPr>
      <w:caps/>
      <w:kern w:val="0"/>
      <w:sz w:val="24"/>
      <w:szCs w:val="20"/>
    </w:rPr>
  </w:style>
  <w:style w:type="paragraph" w:customStyle="1" w:styleId="283">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84">
    <w:name w:val="默认段落字体 Para Char Char Char Char Char Char Char Char Char Char Char Char Char"/>
    <w:basedOn w:val="1"/>
    <w:qFormat/>
    <w:uiPriority w:val="0"/>
    <w:rPr>
      <w:sz w:val="24"/>
    </w:rPr>
  </w:style>
  <w:style w:type="paragraph" w:customStyle="1" w:styleId="285">
    <w:name w:val="1 Char Char Char Char Char Char Char Char Char Char Char Char Char Char Char Char"/>
    <w:basedOn w:val="1"/>
    <w:qFormat/>
    <w:uiPriority w:val="0"/>
  </w:style>
  <w:style w:type="paragraph" w:customStyle="1" w:styleId="286">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87">
    <w:name w:val="表2"/>
    <w:basedOn w:val="7"/>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88">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9">
    <w:name w:val="码头表"/>
    <w:basedOn w:val="1"/>
    <w:qFormat/>
    <w:uiPriority w:val="0"/>
    <w:pPr>
      <w:jc w:val="center"/>
    </w:pPr>
    <w:rPr>
      <w:rFonts w:ascii="宋体" w:hAnsi="宋体"/>
      <w:color w:val="FF0000"/>
      <w:sz w:val="24"/>
    </w:rPr>
  </w:style>
  <w:style w:type="paragraph" w:customStyle="1" w:styleId="290">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91">
    <w:name w:val="Char1"/>
    <w:basedOn w:val="1"/>
    <w:qFormat/>
    <w:uiPriority w:val="0"/>
    <w:rPr>
      <w:sz w:val="24"/>
    </w:rPr>
  </w:style>
  <w:style w:type="paragraph" w:customStyle="1" w:styleId="292">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93">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94">
    <w:name w:val="样式 标题 3ReHead 3 WSAh3标题 3 Char标题 32标题 311Re11Head 3 WSA1..."/>
    <w:basedOn w:val="4"/>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95">
    <w:name w:val="1 Char Char Char Char Char Char Char Char Char Char"/>
    <w:basedOn w:val="1"/>
    <w:qFormat/>
    <w:uiPriority w:val="0"/>
  </w:style>
  <w:style w:type="paragraph" w:customStyle="1" w:styleId="296">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7">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98">
    <w:name w:val="正文两端对齐"/>
    <w:basedOn w:val="1"/>
    <w:qFormat/>
    <w:uiPriority w:val="0"/>
    <w:pPr>
      <w:spacing w:line="480" w:lineRule="exact"/>
    </w:pPr>
    <w:rPr>
      <w:rFonts w:ascii="宋体"/>
      <w:sz w:val="24"/>
    </w:rPr>
  </w:style>
  <w:style w:type="paragraph" w:customStyle="1" w:styleId="299">
    <w:name w:val="Char2"/>
    <w:basedOn w:val="1"/>
    <w:qFormat/>
    <w:uiPriority w:val="0"/>
    <w:pPr>
      <w:ind w:firstLine="200" w:firstLineChars="200"/>
    </w:pPr>
    <w:rPr>
      <w:rFonts w:ascii="宋体" w:hAnsi="宋体" w:cs="宋体"/>
    </w:rPr>
  </w:style>
  <w:style w:type="paragraph" w:customStyle="1" w:styleId="300">
    <w:name w:val="1 Char Char Char Char Char Char Char Char Char Char Char Char Char"/>
    <w:basedOn w:val="1"/>
    <w:qFormat/>
    <w:uiPriority w:val="0"/>
  </w:style>
  <w:style w:type="paragraph" w:customStyle="1" w:styleId="301">
    <w:name w:val="表格1"/>
    <w:basedOn w:val="1"/>
    <w:qFormat/>
    <w:uiPriority w:val="0"/>
    <w:pPr>
      <w:spacing w:before="120" w:line="360" w:lineRule="auto"/>
    </w:pPr>
    <w:rPr>
      <w:sz w:val="24"/>
      <w:szCs w:val="20"/>
    </w:rPr>
  </w:style>
  <w:style w:type="paragraph" w:customStyle="1" w:styleId="302">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303">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304">
    <w:name w:val="简单回函地址"/>
    <w:basedOn w:val="1"/>
    <w:qFormat/>
    <w:uiPriority w:val="0"/>
    <w:rPr>
      <w:szCs w:val="20"/>
    </w:rPr>
  </w:style>
  <w:style w:type="paragraph" w:customStyle="1" w:styleId="305">
    <w:name w:val="Char Char2"/>
    <w:basedOn w:val="1"/>
    <w:qFormat/>
    <w:uiPriority w:val="0"/>
    <w:pPr>
      <w:adjustRightInd w:val="0"/>
      <w:spacing w:line="360" w:lineRule="auto"/>
    </w:pPr>
    <w:rPr>
      <w:kern w:val="0"/>
      <w:sz w:val="24"/>
    </w:rPr>
  </w:style>
  <w:style w:type="paragraph" w:customStyle="1" w:styleId="306">
    <w:name w:val="二级条标题"/>
    <w:basedOn w:val="307"/>
    <w:next w:val="1"/>
    <w:qFormat/>
    <w:uiPriority w:val="0"/>
    <w:pPr>
      <w:tabs>
        <w:tab w:val="left" w:pos="360"/>
        <w:tab w:val="left" w:pos="903"/>
      </w:tabs>
      <w:outlineLvl w:val="3"/>
    </w:pPr>
  </w:style>
  <w:style w:type="paragraph" w:customStyle="1" w:styleId="307">
    <w:name w:val="一级条标题"/>
    <w:basedOn w:val="308"/>
    <w:next w:val="1"/>
    <w:qFormat/>
    <w:uiPriority w:val="0"/>
    <w:pPr>
      <w:tabs>
        <w:tab w:val="left" w:pos="360"/>
        <w:tab w:val="left" w:pos="903"/>
      </w:tabs>
      <w:spacing w:before="0" w:after="0"/>
      <w:ind w:left="0" w:firstLine="0"/>
      <w:outlineLvl w:val="2"/>
    </w:pPr>
  </w:style>
  <w:style w:type="paragraph" w:customStyle="1" w:styleId="308">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9">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10">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11">
    <w:name w:val="表格001"/>
    <w:basedOn w:val="1"/>
    <w:qFormat/>
    <w:uiPriority w:val="0"/>
    <w:pPr>
      <w:jc w:val="center"/>
    </w:pPr>
    <w:rPr>
      <w:rFonts w:ascii="宋体" w:hAnsi="宋体"/>
      <w:sz w:val="24"/>
      <w:szCs w:val="20"/>
    </w:rPr>
  </w:style>
  <w:style w:type="paragraph" w:customStyle="1" w:styleId="312">
    <w:name w:val="三级标题"/>
    <w:basedOn w:val="1"/>
    <w:next w:val="8"/>
    <w:qFormat/>
    <w:uiPriority w:val="0"/>
    <w:pPr>
      <w:spacing w:line="360" w:lineRule="exact"/>
      <w:jc w:val="center"/>
    </w:pPr>
    <w:rPr>
      <w:sz w:val="24"/>
    </w:rPr>
  </w:style>
  <w:style w:type="paragraph" w:customStyle="1" w:styleId="313">
    <w:name w:val="表格内容"/>
    <w:basedOn w:val="1"/>
    <w:link w:val="470"/>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14">
    <w:name w:val="1文章"/>
    <w:basedOn w:val="1"/>
    <w:qFormat/>
    <w:uiPriority w:val="0"/>
    <w:pPr>
      <w:snapToGrid w:val="0"/>
      <w:spacing w:line="420" w:lineRule="auto"/>
      <w:ind w:firstLine="454"/>
      <w:outlineLvl w:val="4"/>
    </w:pPr>
    <w:rPr>
      <w:spacing w:val="4"/>
      <w:sz w:val="24"/>
    </w:rPr>
  </w:style>
  <w:style w:type="paragraph" w:customStyle="1" w:styleId="315">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16">
    <w:name w:val="Char Char Char"/>
    <w:basedOn w:val="1"/>
    <w:qFormat/>
    <w:uiPriority w:val="0"/>
  </w:style>
  <w:style w:type="paragraph" w:customStyle="1" w:styleId="317">
    <w:name w:val="样式"/>
    <w:basedOn w:val="1"/>
    <w:next w:val="34"/>
    <w:qFormat/>
    <w:uiPriority w:val="0"/>
    <w:rPr>
      <w:rFonts w:ascii="宋体" w:hAnsi="Courier New"/>
      <w:sz w:val="24"/>
    </w:rPr>
  </w:style>
  <w:style w:type="paragraph" w:customStyle="1" w:styleId="318">
    <w:name w:val="4级标题"/>
    <w:basedOn w:val="154"/>
    <w:qFormat/>
    <w:uiPriority w:val="0"/>
    <w:pPr>
      <w:ind w:firstLine="0" w:firstLineChars="0"/>
    </w:pPr>
    <w:rPr>
      <w:b/>
      <w:szCs w:val="24"/>
      <w:lang w:val="zh-CN"/>
    </w:rPr>
  </w:style>
  <w:style w:type="paragraph" w:customStyle="1" w:styleId="319">
    <w:name w:val="Char Char Char Char Char Char1 Char"/>
    <w:basedOn w:val="1"/>
    <w:qFormat/>
    <w:uiPriority w:val="0"/>
    <w:pPr>
      <w:spacing w:line="360" w:lineRule="auto"/>
    </w:pPr>
    <w:rPr>
      <w:sz w:val="24"/>
    </w:rPr>
  </w:style>
  <w:style w:type="paragraph" w:customStyle="1" w:styleId="320">
    <w:name w:val="样式2"/>
    <w:basedOn w:val="1"/>
    <w:link w:val="409"/>
    <w:qFormat/>
    <w:uiPriority w:val="0"/>
    <w:pPr>
      <w:spacing w:line="240" w:lineRule="exact"/>
      <w:jc w:val="left"/>
      <w:outlineLvl w:val="0"/>
    </w:pPr>
    <w:rPr>
      <w:sz w:val="24"/>
    </w:rPr>
  </w:style>
  <w:style w:type="paragraph" w:customStyle="1" w:styleId="321">
    <w:name w:val="表文"/>
    <w:basedOn w:val="149"/>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22">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23">
    <w:name w:val="xl22"/>
    <w:basedOn w:val="1"/>
    <w:qFormat/>
    <w:uiPriority w:val="0"/>
    <w:pPr>
      <w:widowControl/>
      <w:spacing w:before="100" w:after="100"/>
      <w:jc w:val="center"/>
    </w:pPr>
    <w:rPr>
      <w:kern w:val="0"/>
      <w:sz w:val="24"/>
    </w:rPr>
  </w:style>
  <w:style w:type="paragraph" w:customStyle="1" w:styleId="324">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25">
    <w:name w:val="三级条标题"/>
    <w:basedOn w:val="306"/>
    <w:next w:val="1"/>
    <w:qFormat/>
    <w:uiPriority w:val="0"/>
    <w:pPr>
      <w:tabs>
        <w:tab w:val="clear" w:pos="360"/>
      </w:tabs>
      <w:outlineLvl w:val="4"/>
    </w:pPr>
  </w:style>
  <w:style w:type="paragraph" w:customStyle="1" w:styleId="326">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27">
    <w:name w:val="CM2"/>
    <w:basedOn w:val="77"/>
    <w:next w:val="77"/>
    <w:qFormat/>
    <w:uiPriority w:val="0"/>
    <w:pPr>
      <w:spacing w:line="460" w:lineRule="atLeast"/>
    </w:pPr>
    <w:rPr>
      <w:rFonts w:ascii="黑体" w:eastAsia="黑体" w:cs="Times New Roman"/>
      <w:color w:val="auto"/>
      <w:sz w:val="20"/>
    </w:rPr>
  </w:style>
  <w:style w:type="paragraph" w:customStyle="1" w:styleId="328">
    <w:name w:val="表序号"/>
    <w:basedOn w:val="6"/>
    <w:qFormat/>
    <w:uiPriority w:val="0"/>
    <w:pPr>
      <w:keepLines/>
      <w:tabs>
        <w:tab w:val="clear" w:pos="1080"/>
      </w:tabs>
      <w:spacing w:line="360" w:lineRule="auto"/>
      <w:ind w:left="1134" w:hanging="1134"/>
      <w:jc w:val="center"/>
    </w:pPr>
    <w:rPr>
      <w:rFonts w:ascii="宋体" w:hAnsi="宋体"/>
      <w:sz w:val="24"/>
    </w:rPr>
  </w:style>
  <w:style w:type="paragraph" w:customStyle="1" w:styleId="329">
    <w:name w:val="2"/>
    <w:basedOn w:val="1"/>
    <w:next w:val="51"/>
    <w:qFormat/>
    <w:uiPriority w:val="0"/>
    <w:pPr>
      <w:spacing w:line="360" w:lineRule="auto"/>
      <w:ind w:firstLine="480"/>
    </w:pPr>
    <w:rPr>
      <w:sz w:val="24"/>
      <w:szCs w:val="20"/>
    </w:rPr>
  </w:style>
  <w:style w:type="paragraph" w:customStyle="1" w:styleId="330">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31">
    <w:name w:val="1"/>
    <w:basedOn w:val="1"/>
    <w:next w:val="7"/>
    <w:qFormat/>
    <w:uiPriority w:val="0"/>
    <w:pPr>
      <w:ind w:firstLine="420"/>
    </w:pPr>
    <w:rPr>
      <w:sz w:val="24"/>
    </w:rPr>
  </w:style>
  <w:style w:type="paragraph" w:customStyle="1" w:styleId="332">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33">
    <w:name w:val="y表格"/>
    <w:basedOn w:val="27"/>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34">
    <w:name w:val="四级条标题"/>
    <w:basedOn w:val="325"/>
    <w:next w:val="1"/>
    <w:qFormat/>
    <w:uiPriority w:val="0"/>
    <w:pPr>
      <w:outlineLvl w:val="5"/>
    </w:pPr>
  </w:style>
  <w:style w:type="paragraph" w:customStyle="1" w:styleId="335">
    <w:name w:val="五级条标题"/>
    <w:basedOn w:val="334"/>
    <w:next w:val="1"/>
    <w:qFormat/>
    <w:uiPriority w:val="0"/>
    <w:pPr>
      <w:outlineLvl w:val="6"/>
    </w:pPr>
  </w:style>
  <w:style w:type="paragraph" w:customStyle="1" w:styleId="336">
    <w:name w:val="标题b"/>
    <w:basedOn w:val="1"/>
    <w:next w:val="1"/>
    <w:qFormat/>
    <w:uiPriority w:val="0"/>
    <w:pPr>
      <w:spacing w:line="700" w:lineRule="exact"/>
    </w:pPr>
    <w:rPr>
      <w:rFonts w:ascii="楷体_GB2312" w:hAnsi="楷体_GB2312" w:eastAsia="楷体_GB2312"/>
      <w:b/>
      <w:sz w:val="30"/>
      <w:szCs w:val="20"/>
    </w:rPr>
  </w:style>
  <w:style w:type="paragraph" w:customStyle="1" w:styleId="337">
    <w:name w:val="iw_poi_title"/>
    <w:basedOn w:val="1"/>
    <w:qFormat/>
    <w:uiPriority w:val="0"/>
    <w:pPr>
      <w:widowControl/>
      <w:jc w:val="left"/>
    </w:pPr>
    <w:rPr>
      <w:rFonts w:ascii="宋体" w:hAnsi="宋体" w:cs="宋体"/>
      <w:b/>
      <w:bCs/>
      <w:color w:val="CC5522"/>
      <w:kern w:val="0"/>
      <w:szCs w:val="21"/>
    </w:rPr>
  </w:style>
  <w:style w:type="paragraph" w:customStyle="1" w:styleId="338">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9">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40">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41">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42">
    <w:name w:val="_Style 10"/>
    <w:basedOn w:val="1"/>
    <w:qFormat/>
    <w:uiPriority w:val="0"/>
    <w:rPr>
      <w:sz w:val="24"/>
    </w:rPr>
  </w:style>
  <w:style w:type="paragraph" w:customStyle="1" w:styleId="343">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44">
    <w:name w:val="表前文字"/>
    <w:basedOn w:val="1"/>
    <w:qFormat/>
    <w:uiPriority w:val="0"/>
    <w:pPr>
      <w:jc w:val="center"/>
    </w:pPr>
    <w:rPr>
      <w:sz w:val="24"/>
      <w:szCs w:val="21"/>
    </w:rPr>
  </w:style>
  <w:style w:type="paragraph" w:customStyle="1" w:styleId="345">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46">
    <w:name w:val="样式 正文文字缩进 + 小四 首行缩进:  2 字符1"/>
    <w:basedOn w:val="9"/>
    <w:qFormat/>
    <w:uiPriority w:val="0"/>
    <w:pPr>
      <w:spacing w:afterLines="50" w:line="400" w:lineRule="exact"/>
      <w:ind w:left="0" w:leftChars="0" w:firstLine="200" w:firstLineChars="200"/>
    </w:pPr>
    <w:rPr>
      <w:rFonts w:eastAsia="华文楷体" w:cs="宋体"/>
      <w:kern w:val="2"/>
      <w:sz w:val="28"/>
    </w:rPr>
  </w:style>
  <w:style w:type="paragraph" w:customStyle="1" w:styleId="347">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48">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9">
    <w:name w:val="引言"/>
    <w:basedOn w:val="1"/>
    <w:next w:val="1"/>
    <w:qFormat/>
    <w:uiPriority w:val="0"/>
    <w:pPr>
      <w:jc w:val="center"/>
    </w:pPr>
    <w:rPr>
      <w:bCs/>
      <w:color w:val="000000"/>
      <w:szCs w:val="20"/>
    </w:rPr>
  </w:style>
  <w:style w:type="paragraph" w:customStyle="1" w:styleId="350">
    <w:name w:val="正文楷体"/>
    <w:basedOn w:val="1"/>
    <w:qFormat/>
    <w:uiPriority w:val="0"/>
    <w:rPr>
      <w:rFonts w:eastAsia="楷体_GB2312"/>
    </w:rPr>
  </w:style>
  <w:style w:type="paragraph" w:customStyle="1" w:styleId="351">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52">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53">
    <w:name w:val="body"/>
    <w:basedOn w:val="1"/>
    <w:qFormat/>
    <w:uiPriority w:val="0"/>
    <w:pPr>
      <w:spacing w:line="360" w:lineRule="auto"/>
    </w:pPr>
    <w:rPr>
      <w:rFonts w:ascii="宋体" w:hAnsi="宋体" w:cs="宋体"/>
      <w:sz w:val="24"/>
    </w:rPr>
  </w:style>
  <w:style w:type="paragraph" w:customStyle="1" w:styleId="354">
    <w:name w:val="小四表文左齐"/>
    <w:basedOn w:val="1"/>
    <w:qFormat/>
    <w:uiPriority w:val="0"/>
    <w:pPr>
      <w:jc w:val="center"/>
    </w:pPr>
    <w:rPr>
      <w:rFonts w:ascii="宋体" w:hAnsi="宋体"/>
      <w:color w:val="000000"/>
      <w:szCs w:val="21"/>
    </w:rPr>
  </w:style>
  <w:style w:type="paragraph" w:customStyle="1" w:styleId="355">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56">
    <w:name w:val="新正文样式"/>
    <w:basedOn w:val="1"/>
    <w:qFormat/>
    <w:uiPriority w:val="0"/>
    <w:pPr>
      <w:tabs>
        <w:tab w:val="left" w:pos="567"/>
      </w:tabs>
      <w:spacing w:line="360" w:lineRule="auto"/>
      <w:ind w:firstLine="567"/>
    </w:pPr>
    <w:rPr>
      <w:spacing w:val="20"/>
      <w:sz w:val="24"/>
      <w:szCs w:val="20"/>
    </w:rPr>
  </w:style>
  <w:style w:type="paragraph" w:customStyle="1" w:styleId="357">
    <w:name w:val="标题11"/>
    <w:basedOn w:val="1"/>
    <w:qFormat/>
    <w:uiPriority w:val="0"/>
    <w:pPr>
      <w:spacing w:line="360" w:lineRule="auto"/>
    </w:pPr>
    <w:rPr>
      <w:b/>
      <w:bCs/>
      <w:sz w:val="28"/>
    </w:rPr>
  </w:style>
  <w:style w:type="paragraph" w:customStyle="1" w:styleId="358">
    <w:name w:val="字元 字元"/>
    <w:basedOn w:val="1"/>
    <w:qFormat/>
    <w:uiPriority w:val="0"/>
    <w:rPr>
      <w:sz w:val="24"/>
    </w:rPr>
  </w:style>
  <w:style w:type="paragraph" w:customStyle="1" w:styleId="359">
    <w:name w:val="Char Char Char Char Char Char1 Char Char Char Char Char Char Char Char Char"/>
    <w:basedOn w:val="1"/>
    <w:qFormat/>
    <w:uiPriority w:val="0"/>
    <w:rPr>
      <w:sz w:val="24"/>
    </w:rPr>
  </w:style>
  <w:style w:type="paragraph" w:customStyle="1" w:styleId="360">
    <w:name w:val="默认段落字体 Para Char Char Char1 Char Char Char Char Char Char Char Char Char Char"/>
    <w:basedOn w:val="1"/>
    <w:qFormat/>
    <w:uiPriority w:val="0"/>
    <w:rPr>
      <w:sz w:val="24"/>
    </w:rPr>
  </w:style>
  <w:style w:type="paragraph" w:customStyle="1" w:styleId="361">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62">
    <w:name w:val="正文 1"/>
    <w:basedOn w:val="1"/>
    <w:qFormat/>
    <w:uiPriority w:val="0"/>
    <w:pPr>
      <w:spacing w:line="480" w:lineRule="exact"/>
      <w:ind w:firstLine="567"/>
    </w:pPr>
    <w:rPr>
      <w:sz w:val="28"/>
    </w:rPr>
  </w:style>
  <w:style w:type="paragraph" w:customStyle="1" w:styleId="363">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64">
    <w:name w:val="表格主题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5">
    <w:name w:val="网格型 1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6">
    <w:name w:val="网格型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7">
    <w:name w:val="左右无边框"/>
    <w:basedOn w:val="63"/>
    <w:qFormat/>
    <w:uiPriority w:val="0"/>
    <w:pPr>
      <w:widowControl w:val="0"/>
      <w:jc w:val="both"/>
    </w:pPr>
    <w:tblPr>
      <w:tblBorders>
        <w:top w:val="single" w:color="auto" w:sz="12" w:space="0"/>
        <w:bottom w:val="single" w:color="auto" w:sz="12" w:space="0"/>
      </w:tblBorders>
    </w:tblPr>
  </w:style>
  <w:style w:type="table" w:customStyle="1" w:styleId="368">
    <w:name w:val="网格型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
    <w:name w:val="无左右边框型"/>
    <w:basedOn w:val="62"/>
    <w:qFormat/>
    <w:uiPriority w:val="0"/>
    <w:pPr>
      <w:widowControl w:val="0"/>
      <w:jc w:val="both"/>
    </w:pPr>
  </w:style>
  <w:style w:type="table" w:customStyle="1" w:styleId="370">
    <w:name w:val="典雅型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71">
    <w:name w:val="左右无边表格"/>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72">
    <w:name w:val="典雅型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73">
    <w:name w:val="Char Char Char1 Char1 Char Char Char"/>
    <w:basedOn w:val="1"/>
    <w:qFormat/>
    <w:uiPriority w:val="0"/>
    <w:pPr>
      <w:spacing w:line="500" w:lineRule="exact"/>
      <w:ind w:firstLine="480" w:firstLineChars="200"/>
    </w:pPr>
    <w:rPr>
      <w:sz w:val="24"/>
      <w:szCs w:val="20"/>
    </w:rPr>
  </w:style>
  <w:style w:type="character" w:customStyle="1" w:styleId="374">
    <w:name w:val="A标准格式 Char Char"/>
    <w:link w:val="375"/>
    <w:qFormat/>
    <w:uiPriority w:val="0"/>
    <w:rPr>
      <w:kern w:val="2"/>
      <w:sz w:val="24"/>
      <w:szCs w:val="24"/>
    </w:rPr>
  </w:style>
  <w:style w:type="paragraph" w:customStyle="1" w:styleId="375">
    <w:name w:val="A标准格式"/>
    <w:basedOn w:val="1"/>
    <w:link w:val="374"/>
    <w:qFormat/>
    <w:uiPriority w:val="0"/>
    <w:pPr>
      <w:spacing w:line="440" w:lineRule="exact"/>
      <w:ind w:firstLine="480" w:firstLineChars="200"/>
    </w:pPr>
    <w:rPr>
      <w:sz w:val="24"/>
    </w:rPr>
  </w:style>
  <w:style w:type="paragraph" w:customStyle="1" w:styleId="376">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82">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3">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4">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85">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86">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7">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8">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9">
    <w:name w:val="Normal+3"/>
    <w:basedOn w:val="77"/>
    <w:next w:val="77"/>
    <w:qFormat/>
    <w:uiPriority w:val="0"/>
    <w:rPr>
      <w:rFonts w:cs="Times New Roman"/>
      <w:color w:val="auto"/>
    </w:rPr>
  </w:style>
  <w:style w:type="character" w:customStyle="1" w:styleId="390">
    <w:name w:val="地理段落 Char"/>
    <w:link w:val="391"/>
    <w:qFormat/>
    <w:uiPriority w:val="0"/>
    <w:rPr>
      <w:rFonts w:ascii="仿宋_GB2312" w:eastAsia="仿宋_GB2312"/>
      <w:kern w:val="2"/>
      <w:sz w:val="28"/>
      <w:szCs w:val="28"/>
    </w:rPr>
  </w:style>
  <w:style w:type="paragraph" w:customStyle="1" w:styleId="391">
    <w:name w:val="地理段落"/>
    <w:basedOn w:val="1"/>
    <w:link w:val="390"/>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92">
    <w:name w:val="报告正文"/>
    <w:basedOn w:val="1"/>
    <w:link w:val="393"/>
    <w:qFormat/>
    <w:uiPriority w:val="0"/>
    <w:pPr>
      <w:spacing w:line="360" w:lineRule="auto"/>
      <w:ind w:firstLine="482"/>
    </w:pPr>
    <w:rPr>
      <w:sz w:val="24"/>
      <w:szCs w:val="21"/>
    </w:rPr>
  </w:style>
  <w:style w:type="character" w:customStyle="1" w:styleId="393">
    <w:name w:val="报告正文 Char"/>
    <w:link w:val="392"/>
    <w:qFormat/>
    <w:uiPriority w:val="0"/>
    <w:rPr>
      <w:kern w:val="2"/>
      <w:sz w:val="24"/>
      <w:szCs w:val="21"/>
    </w:rPr>
  </w:style>
  <w:style w:type="character" w:customStyle="1" w:styleId="394">
    <w:name w:val="Char Char30"/>
    <w:qFormat/>
    <w:uiPriority w:val="0"/>
    <w:rPr>
      <w:rFonts w:eastAsia="宋体"/>
      <w:b/>
      <w:bCs/>
      <w:kern w:val="2"/>
      <w:sz w:val="21"/>
      <w:szCs w:val="24"/>
      <w:lang w:val="en-US" w:eastAsia="zh-CN" w:bidi="ar-SA"/>
    </w:rPr>
  </w:style>
  <w:style w:type="character" w:customStyle="1" w:styleId="395">
    <w:name w:val="Char Char17"/>
    <w:qFormat/>
    <w:locked/>
    <w:uiPriority w:val="0"/>
    <w:rPr>
      <w:rFonts w:eastAsia="宋体"/>
      <w:b/>
      <w:bCs/>
      <w:kern w:val="2"/>
      <w:sz w:val="32"/>
      <w:szCs w:val="32"/>
      <w:lang w:val="en-US" w:eastAsia="zh-CN" w:bidi="ar-SA"/>
    </w:rPr>
  </w:style>
  <w:style w:type="character" w:customStyle="1" w:styleId="396">
    <w:name w:val="Char Char6"/>
    <w:qFormat/>
    <w:locked/>
    <w:uiPriority w:val="0"/>
    <w:rPr>
      <w:rFonts w:eastAsia="宋体"/>
      <w:kern w:val="2"/>
      <w:sz w:val="21"/>
      <w:szCs w:val="24"/>
      <w:lang w:val="en-US" w:eastAsia="zh-CN" w:bidi="ar-SA"/>
    </w:rPr>
  </w:style>
  <w:style w:type="character" w:customStyle="1" w:styleId="397">
    <w:name w:val="Char Char1"/>
    <w:qFormat/>
    <w:uiPriority w:val="0"/>
    <w:rPr>
      <w:rFonts w:eastAsia="宋体"/>
      <w:kern w:val="2"/>
      <w:sz w:val="18"/>
      <w:szCs w:val="18"/>
      <w:lang w:val="en-US" w:eastAsia="zh-CN" w:bidi="ar-SA"/>
    </w:rPr>
  </w:style>
  <w:style w:type="character" w:customStyle="1" w:styleId="398">
    <w:name w:val="text06"/>
    <w:qFormat/>
    <w:uiPriority w:val="0"/>
  </w:style>
  <w:style w:type="character" w:customStyle="1" w:styleId="399">
    <w:name w:val="标题 4 Char1"/>
    <w:qFormat/>
    <w:locked/>
    <w:uiPriority w:val="0"/>
    <w:rPr>
      <w:rFonts w:ascii="Arial" w:hAnsi="Arial" w:eastAsia="黑体"/>
      <w:b/>
      <w:bCs/>
      <w:kern w:val="2"/>
      <w:sz w:val="28"/>
      <w:szCs w:val="28"/>
      <w:lang w:val="en-US" w:eastAsia="zh-CN" w:bidi="ar-SA"/>
    </w:rPr>
  </w:style>
  <w:style w:type="character" w:customStyle="1" w:styleId="400">
    <w:name w:val="表 标题 Char"/>
    <w:link w:val="401"/>
    <w:qFormat/>
    <w:uiPriority w:val="0"/>
    <w:rPr>
      <w:rFonts w:hAnsi="宋体" w:cs="宋体"/>
      <w:b/>
      <w:smallCaps/>
      <w:kern w:val="2"/>
      <w:sz w:val="24"/>
    </w:rPr>
  </w:style>
  <w:style w:type="paragraph" w:customStyle="1" w:styleId="401">
    <w:name w:val="表 标题"/>
    <w:basedOn w:val="52"/>
    <w:next w:val="1"/>
    <w:link w:val="400"/>
    <w:qFormat/>
    <w:uiPriority w:val="0"/>
    <w:pPr>
      <w:spacing w:beforeLines="50"/>
      <w:ind w:left="420" w:leftChars="0" w:firstLine="0" w:firstLineChars="0"/>
      <w:jc w:val="center"/>
    </w:pPr>
    <w:rPr>
      <w:rFonts w:hAnsi="宋体" w:cs="宋体"/>
      <w:b/>
      <w:smallCaps/>
      <w:sz w:val="24"/>
      <w:szCs w:val="20"/>
    </w:rPr>
  </w:style>
  <w:style w:type="character" w:customStyle="1" w:styleId="402">
    <w:name w:val="文本 Char"/>
    <w:link w:val="78"/>
    <w:qFormat/>
    <w:uiPriority w:val="0"/>
    <w:rPr>
      <w:rFonts w:eastAsia="Times New Roman"/>
      <w:kern w:val="2"/>
      <w:sz w:val="24"/>
      <w:szCs w:val="24"/>
    </w:rPr>
  </w:style>
  <w:style w:type="paragraph" w:customStyle="1" w:styleId="403">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404">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405">
    <w:name w:val="表格中文字 Char"/>
    <w:link w:val="406"/>
    <w:qFormat/>
    <w:uiPriority w:val="0"/>
    <w:rPr>
      <w:kern w:val="18"/>
      <w:sz w:val="21"/>
      <w:szCs w:val="21"/>
    </w:rPr>
  </w:style>
  <w:style w:type="paragraph" w:customStyle="1" w:styleId="406">
    <w:name w:val="表格中文字"/>
    <w:basedOn w:val="1"/>
    <w:link w:val="405"/>
    <w:qFormat/>
    <w:uiPriority w:val="0"/>
    <w:pPr>
      <w:adjustRightInd w:val="0"/>
      <w:snapToGrid w:val="0"/>
      <w:jc w:val="center"/>
    </w:pPr>
    <w:rPr>
      <w:kern w:val="18"/>
      <w:szCs w:val="21"/>
    </w:rPr>
  </w:style>
  <w:style w:type="character" w:customStyle="1" w:styleId="407">
    <w:name w:val="正本文字 Char"/>
    <w:link w:val="408"/>
    <w:qFormat/>
    <w:uiPriority w:val="0"/>
    <w:rPr>
      <w:kern w:val="18"/>
      <w:sz w:val="24"/>
    </w:rPr>
  </w:style>
  <w:style w:type="paragraph" w:customStyle="1" w:styleId="408">
    <w:name w:val="正本文字"/>
    <w:basedOn w:val="1"/>
    <w:link w:val="407"/>
    <w:qFormat/>
    <w:uiPriority w:val="0"/>
    <w:pPr>
      <w:adjustRightInd w:val="0"/>
      <w:snapToGrid w:val="0"/>
      <w:spacing w:line="360" w:lineRule="auto"/>
      <w:ind w:firstLine="480" w:firstLineChars="200"/>
      <w:jc w:val="left"/>
    </w:pPr>
    <w:rPr>
      <w:kern w:val="18"/>
      <w:sz w:val="24"/>
      <w:szCs w:val="20"/>
    </w:rPr>
  </w:style>
  <w:style w:type="character" w:customStyle="1" w:styleId="409">
    <w:name w:val="样式2 Char"/>
    <w:link w:val="320"/>
    <w:qFormat/>
    <w:uiPriority w:val="0"/>
    <w:rPr>
      <w:kern w:val="2"/>
      <w:sz w:val="24"/>
      <w:szCs w:val="24"/>
    </w:rPr>
  </w:style>
  <w:style w:type="paragraph" w:customStyle="1" w:styleId="410">
    <w:name w:val="Char Char1 Char Char Char Char"/>
    <w:basedOn w:val="1"/>
    <w:qFormat/>
    <w:uiPriority w:val="0"/>
    <w:pPr>
      <w:spacing w:line="360" w:lineRule="auto"/>
    </w:pPr>
    <w:rPr>
      <w:sz w:val="32"/>
    </w:rPr>
  </w:style>
  <w:style w:type="paragraph" w:customStyle="1" w:styleId="411">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12">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13">
    <w:name w:val="普通(网站) Char"/>
    <w:qFormat/>
    <w:uiPriority w:val="0"/>
    <w:rPr>
      <w:rFonts w:ascii="宋体" w:hAnsi="宋体" w:cs="宋体"/>
      <w:sz w:val="24"/>
      <w:szCs w:val="24"/>
    </w:rPr>
  </w:style>
  <w:style w:type="character" w:customStyle="1" w:styleId="414">
    <w:name w:val="表格标题新 Char Char Char"/>
    <w:qFormat/>
    <w:uiPriority w:val="0"/>
    <w:rPr>
      <w:rFonts w:ascii="仿宋_GB2312" w:eastAsia="仿宋_GB2312"/>
      <w:kern w:val="2"/>
      <w:sz w:val="24"/>
      <w:szCs w:val="24"/>
      <w:lang w:val="en-US" w:eastAsia="zh-CN" w:bidi="ar-SA"/>
    </w:rPr>
  </w:style>
  <w:style w:type="character" w:customStyle="1" w:styleId="415">
    <w:name w:val="Char Char15"/>
    <w:qFormat/>
    <w:uiPriority w:val="0"/>
    <w:rPr>
      <w:rFonts w:ascii="宋体" w:hAnsi="Courier New" w:eastAsia="宋体"/>
      <w:kern w:val="2"/>
      <w:sz w:val="21"/>
      <w:lang w:val="en-US" w:eastAsia="zh-CN" w:bidi="ar-SA"/>
    </w:rPr>
  </w:style>
  <w:style w:type="character" w:customStyle="1" w:styleId="416">
    <w:name w:val="霍尼韦尔 Char Char"/>
    <w:link w:val="417"/>
    <w:qFormat/>
    <w:uiPriority w:val="0"/>
    <w:rPr>
      <w:rFonts w:cs="宋体"/>
      <w:kern w:val="2"/>
      <w:sz w:val="24"/>
    </w:rPr>
  </w:style>
  <w:style w:type="paragraph" w:customStyle="1" w:styleId="417">
    <w:name w:val="霍尼韦尔"/>
    <w:basedOn w:val="1"/>
    <w:link w:val="416"/>
    <w:qFormat/>
    <w:uiPriority w:val="0"/>
    <w:pPr>
      <w:spacing w:line="480" w:lineRule="exact"/>
      <w:ind w:firstLine="480" w:firstLineChars="200"/>
      <w:jc w:val="left"/>
    </w:pPr>
    <w:rPr>
      <w:rFonts w:cs="宋体"/>
      <w:sz w:val="24"/>
      <w:szCs w:val="20"/>
    </w:rPr>
  </w:style>
  <w:style w:type="character" w:customStyle="1" w:styleId="418">
    <w:name w:val="条标题1.1.1 Char2"/>
    <w:qFormat/>
    <w:uiPriority w:val="0"/>
    <w:rPr>
      <w:rFonts w:eastAsia="宋体"/>
      <w:b/>
      <w:bCs/>
      <w:kern w:val="2"/>
      <w:sz w:val="32"/>
      <w:szCs w:val="32"/>
      <w:lang w:val="en-US" w:eastAsia="zh-CN" w:bidi="ar-SA"/>
    </w:rPr>
  </w:style>
  <w:style w:type="character" w:customStyle="1" w:styleId="419">
    <w:name w:val="z101"/>
    <w:qFormat/>
    <w:uiPriority w:val="0"/>
    <w:rPr>
      <w:color w:val="000000"/>
      <w:sz w:val="21"/>
      <w:szCs w:val="21"/>
    </w:rPr>
  </w:style>
  <w:style w:type="character" w:customStyle="1" w:styleId="420">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21">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22">
    <w:name w:val="正文4号 Char Char"/>
    <w:link w:val="423"/>
    <w:qFormat/>
    <w:uiPriority w:val="0"/>
    <w:rPr>
      <w:kern w:val="2"/>
      <w:sz w:val="24"/>
      <w:szCs w:val="24"/>
    </w:rPr>
  </w:style>
  <w:style w:type="paragraph" w:customStyle="1" w:styleId="423">
    <w:name w:val="正文4号"/>
    <w:link w:val="422"/>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24">
    <w:name w:val="图表文字"/>
    <w:basedOn w:val="1"/>
    <w:qFormat/>
    <w:uiPriority w:val="0"/>
    <w:pPr>
      <w:spacing w:line="300" w:lineRule="exact"/>
      <w:jc w:val="center"/>
    </w:pPr>
    <w:rPr>
      <w:bCs/>
      <w:szCs w:val="20"/>
    </w:rPr>
  </w:style>
  <w:style w:type="paragraph" w:customStyle="1" w:styleId="42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26">
    <w:name w:val="No Spacing"/>
    <w:qFormat/>
    <w:uiPriority w:val="0"/>
    <w:pPr>
      <w:jc w:val="center"/>
    </w:pPr>
    <w:rPr>
      <w:rFonts w:ascii="Times New Roman" w:hAnsi="Times New Roman" w:eastAsia="宋体" w:cs="Times New Roman"/>
      <w:color w:val="000000"/>
      <w:kern w:val="2"/>
      <w:sz w:val="24"/>
      <w:szCs w:val="24"/>
      <w:lang w:val="en-US" w:eastAsia="zh-CN" w:bidi="ar-SA"/>
    </w:rPr>
  </w:style>
  <w:style w:type="paragraph" w:customStyle="1" w:styleId="427">
    <w:name w:val="二级标题"/>
    <w:basedOn w:val="48"/>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8">
    <w:name w:val="五号表格 Char Char"/>
    <w:link w:val="429"/>
    <w:qFormat/>
    <w:locked/>
    <w:uiPriority w:val="0"/>
    <w:rPr>
      <w:rFonts w:ascii="宋体" w:hAnsi="宋体"/>
      <w:color w:val="000000"/>
      <w:kern w:val="2"/>
      <w:sz w:val="21"/>
      <w:szCs w:val="21"/>
      <w:lang w:val="en-GB"/>
    </w:rPr>
  </w:style>
  <w:style w:type="paragraph" w:customStyle="1" w:styleId="429">
    <w:name w:val="五号表格"/>
    <w:next w:val="1"/>
    <w:link w:val="428"/>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30">
    <w:name w:val="占位符文本1"/>
    <w:semiHidden/>
    <w:qFormat/>
    <w:uiPriority w:val="99"/>
    <w:rPr>
      <w:rFonts w:cs="Times New Roman"/>
      <w:color w:val="808080"/>
    </w:rPr>
  </w:style>
  <w:style w:type="character" w:customStyle="1" w:styleId="431">
    <w:name w:val="宗兴正文 Char Char"/>
    <w:link w:val="432"/>
    <w:qFormat/>
    <w:locked/>
    <w:uiPriority w:val="0"/>
    <w:rPr>
      <w:sz w:val="24"/>
    </w:rPr>
  </w:style>
  <w:style w:type="paragraph" w:customStyle="1" w:styleId="432">
    <w:name w:val="宗兴正文"/>
    <w:basedOn w:val="1"/>
    <w:link w:val="431"/>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33">
    <w:name w:val="表题 Char Char"/>
    <w:link w:val="434"/>
    <w:qFormat/>
    <w:locked/>
    <w:uiPriority w:val="0"/>
    <w:rPr>
      <w:rFonts w:ascii="宋体"/>
      <w:b/>
      <w:sz w:val="24"/>
      <w:lang w:eastAsia="en-US"/>
    </w:rPr>
  </w:style>
  <w:style w:type="paragraph" w:customStyle="1" w:styleId="434">
    <w:name w:val="表题"/>
    <w:basedOn w:val="1"/>
    <w:link w:val="433"/>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35">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36">
    <w:name w:val="样式 样式 标题 2节 + (西文) Times New Roman (中文) 宋体 四号 段前: 0.5 行 段后: 0...... Char Char"/>
    <w:link w:val="437"/>
    <w:qFormat/>
    <w:locked/>
    <w:uiPriority w:val="0"/>
    <w:rPr>
      <w:rFonts w:ascii="宋体"/>
      <w:b/>
      <w:sz w:val="30"/>
    </w:rPr>
  </w:style>
  <w:style w:type="paragraph" w:customStyle="1" w:styleId="437">
    <w:name w:val="样式 样式 标题 2节 + (西文) Times New Roman (中文) 宋体 四号 段前: 0.5 行 段后: 0......"/>
    <w:basedOn w:val="1"/>
    <w:link w:val="436"/>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8">
    <w:name w:val="纯文本1 Char1"/>
    <w:qFormat/>
    <w:uiPriority w:val="0"/>
    <w:rPr>
      <w:rFonts w:ascii="宋体" w:hAnsi="Courier New" w:eastAsia="宋体"/>
      <w:kern w:val="2"/>
      <w:sz w:val="21"/>
      <w:lang w:val="en-US" w:eastAsia="zh-CN"/>
    </w:rPr>
  </w:style>
  <w:style w:type="character" w:customStyle="1" w:styleId="439">
    <w:name w:val="表格 Char Char"/>
    <w:qFormat/>
    <w:locked/>
    <w:uiPriority w:val="0"/>
    <w:rPr>
      <w:rFonts w:ascii="Times New Roman" w:hAnsi="Times New Roman"/>
      <w:b/>
      <w:sz w:val="24"/>
    </w:rPr>
  </w:style>
  <w:style w:type="character" w:customStyle="1" w:styleId="440">
    <w:name w:val="正文文本缩进 2 Char Char"/>
    <w:qFormat/>
    <w:uiPriority w:val="0"/>
    <w:rPr>
      <w:rFonts w:eastAsia="宋体"/>
      <w:kern w:val="2"/>
      <w:sz w:val="24"/>
      <w:lang w:val="en-US" w:eastAsia="zh-CN"/>
    </w:rPr>
  </w:style>
  <w:style w:type="character" w:customStyle="1" w:styleId="441">
    <w:name w:val="表格的字 Char Char"/>
    <w:link w:val="442"/>
    <w:qFormat/>
    <w:locked/>
    <w:uiPriority w:val="0"/>
    <w:rPr>
      <w:sz w:val="24"/>
    </w:rPr>
  </w:style>
  <w:style w:type="paragraph" w:customStyle="1" w:styleId="442">
    <w:name w:val="表格的字"/>
    <w:basedOn w:val="1"/>
    <w:link w:val="441"/>
    <w:qFormat/>
    <w:uiPriority w:val="0"/>
    <w:pPr>
      <w:adjustRightInd w:val="0"/>
      <w:spacing w:line="312" w:lineRule="atLeast"/>
      <w:jc w:val="center"/>
      <w:textAlignment w:val="baseline"/>
    </w:pPr>
    <w:rPr>
      <w:kern w:val="0"/>
      <w:sz w:val="24"/>
      <w:szCs w:val="20"/>
    </w:rPr>
  </w:style>
  <w:style w:type="character" w:customStyle="1" w:styleId="443">
    <w:name w:val="表名图名 Char Char"/>
    <w:link w:val="444"/>
    <w:qFormat/>
    <w:locked/>
    <w:uiPriority w:val="0"/>
    <w:rPr>
      <w:rFonts w:ascii="宋体"/>
      <w:b/>
      <w:sz w:val="24"/>
      <w:lang w:eastAsia="en-US"/>
    </w:rPr>
  </w:style>
  <w:style w:type="paragraph" w:customStyle="1" w:styleId="444">
    <w:name w:val="表名图名"/>
    <w:basedOn w:val="1"/>
    <w:link w:val="443"/>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45">
    <w:name w:val="表、图名 Char Char"/>
    <w:link w:val="446"/>
    <w:qFormat/>
    <w:locked/>
    <w:uiPriority w:val="0"/>
    <w:rPr>
      <w:b/>
      <w:kern w:val="2"/>
      <w:sz w:val="21"/>
      <w:szCs w:val="24"/>
    </w:rPr>
  </w:style>
  <w:style w:type="paragraph" w:customStyle="1" w:styleId="446">
    <w:name w:val="表、图名"/>
    <w:link w:val="445"/>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7">
    <w:name w:val="Body Text Indent Char"/>
    <w:qFormat/>
    <w:locked/>
    <w:uiPriority w:val="0"/>
    <w:rPr>
      <w:sz w:val="24"/>
    </w:rPr>
  </w:style>
  <w:style w:type="character" w:customStyle="1" w:styleId="448">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9">
    <w:name w:val="Document Map Char"/>
    <w:qFormat/>
    <w:locked/>
    <w:uiPriority w:val="0"/>
    <w:rPr>
      <w:rFonts w:ascii="宋体"/>
      <w:sz w:val="18"/>
    </w:rPr>
  </w:style>
  <w:style w:type="character" w:customStyle="1" w:styleId="450">
    <w:name w:val="Body Text First Indent Char"/>
    <w:qFormat/>
    <w:locked/>
    <w:uiPriority w:val="0"/>
    <w:rPr>
      <w:rFonts w:ascii="Calibri" w:hAnsi="Calibri" w:eastAsia="宋体"/>
      <w:sz w:val="24"/>
    </w:rPr>
  </w:style>
  <w:style w:type="character" w:customStyle="1" w:styleId="451">
    <w:name w:val="表头 Char2"/>
    <w:qFormat/>
    <w:locked/>
    <w:uiPriority w:val="0"/>
    <w:rPr>
      <w:rFonts w:eastAsia="黑体"/>
      <w:color w:val="000000"/>
      <w:spacing w:val="-10"/>
    </w:rPr>
  </w:style>
  <w:style w:type="character" w:customStyle="1" w:styleId="452">
    <w:name w:val="图名 Char Char"/>
    <w:link w:val="453"/>
    <w:qFormat/>
    <w:locked/>
    <w:uiPriority w:val="0"/>
    <w:rPr>
      <w:b/>
      <w:kern w:val="2"/>
      <w:sz w:val="24"/>
      <w:szCs w:val="24"/>
      <w:lang w:eastAsia="en-US"/>
    </w:rPr>
  </w:style>
  <w:style w:type="paragraph" w:customStyle="1" w:styleId="453">
    <w:name w:val="图名"/>
    <w:link w:val="452"/>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54">
    <w:name w:val="样式 标题 3 + (西文) Times New Roman (中文) 宋体 小四 加粗 Char Char"/>
    <w:link w:val="455"/>
    <w:qFormat/>
    <w:locked/>
    <w:uiPriority w:val="0"/>
    <w:rPr>
      <w:sz w:val="24"/>
    </w:rPr>
  </w:style>
  <w:style w:type="paragraph" w:customStyle="1" w:styleId="455">
    <w:name w:val="样式 标题 3 + (西文) Times New Roman (中文) 宋体 小四 加粗"/>
    <w:basedOn w:val="1"/>
    <w:link w:val="454"/>
    <w:qFormat/>
    <w:uiPriority w:val="0"/>
    <w:pPr>
      <w:adjustRightInd w:val="0"/>
      <w:spacing w:line="312" w:lineRule="atLeast"/>
      <w:textAlignment w:val="baseline"/>
    </w:pPr>
    <w:rPr>
      <w:kern w:val="0"/>
      <w:sz w:val="24"/>
      <w:szCs w:val="20"/>
    </w:rPr>
  </w:style>
  <w:style w:type="character" w:customStyle="1" w:styleId="456">
    <w:name w:val="1-正文样式 Char Char"/>
    <w:link w:val="457"/>
    <w:qFormat/>
    <w:locked/>
    <w:uiPriority w:val="0"/>
    <w:rPr>
      <w:sz w:val="24"/>
    </w:rPr>
  </w:style>
  <w:style w:type="paragraph" w:customStyle="1" w:styleId="457">
    <w:name w:val="1-正文样式"/>
    <w:basedOn w:val="1"/>
    <w:link w:val="456"/>
    <w:qFormat/>
    <w:uiPriority w:val="0"/>
    <w:pPr>
      <w:adjustRightInd w:val="0"/>
      <w:spacing w:afterLines="50" w:line="360" w:lineRule="auto"/>
      <w:ind w:firstLine="200" w:firstLineChars="200"/>
      <w:textAlignment w:val="baseline"/>
    </w:pPr>
    <w:rPr>
      <w:kern w:val="0"/>
      <w:sz w:val="24"/>
      <w:szCs w:val="20"/>
    </w:rPr>
  </w:style>
  <w:style w:type="character" w:customStyle="1" w:styleId="458">
    <w:name w:val="我的正文 Char Char"/>
    <w:link w:val="459"/>
    <w:qFormat/>
    <w:locked/>
    <w:uiPriority w:val="0"/>
    <w:rPr>
      <w:kern w:val="2"/>
      <w:sz w:val="24"/>
      <w:szCs w:val="24"/>
    </w:rPr>
  </w:style>
  <w:style w:type="paragraph" w:customStyle="1" w:styleId="459">
    <w:name w:val="我的正文"/>
    <w:link w:val="458"/>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60">
    <w:name w:val="样式1 Char Char"/>
    <w:qFormat/>
    <w:locked/>
    <w:uiPriority w:val="0"/>
    <w:rPr>
      <w:rFonts w:ascii="Calibri" w:hAnsi="Calibri"/>
      <w:color w:val="000000"/>
      <w:sz w:val="24"/>
    </w:rPr>
  </w:style>
  <w:style w:type="character" w:customStyle="1" w:styleId="461">
    <w:name w:val="正文1 Char Char"/>
    <w:qFormat/>
    <w:locked/>
    <w:uiPriority w:val="0"/>
    <w:rPr>
      <w:color w:val="000000"/>
      <w:sz w:val="24"/>
    </w:rPr>
  </w:style>
  <w:style w:type="character" w:customStyle="1" w:styleId="462">
    <w:name w:val="正文（小四） Char Char"/>
    <w:link w:val="463"/>
    <w:qFormat/>
    <w:locked/>
    <w:uiPriority w:val="0"/>
    <w:rPr>
      <w:bCs/>
      <w:kern w:val="2"/>
      <w:sz w:val="24"/>
      <w:szCs w:val="32"/>
    </w:rPr>
  </w:style>
  <w:style w:type="paragraph" w:customStyle="1" w:styleId="463">
    <w:name w:val="正文（小四）"/>
    <w:link w:val="462"/>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64">
    <w:name w:val="表格文字 Char Char"/>
    <w:qFormat/>
    <w:locked/>
    <w:uiPriority w:val="0"/>
    <w:rPr>
      <w:kern w:val="2"/>
      <w:sz w:val="21"/>
      <w:szCs w:val="24"/>
    </w:rPr>
  </w:style>
  <w:style w:type="character" w:customStyle="1" w:styleId="465">
    <w:name w:val="我的正文 Char Char Char"/>
    <w:qFormat/>
    <w:uiPriority w:val="0"/>
    <w:rPr>
      <w:kern w:val="2"/>
      <w:sz w:val="24"/>
      <w:lang w:val="en-US" w:eastAsia="zh-CN"/>
    </w:rPr>
  </w:style>
  <w:style w:type="character" w:customStyle="1" w:styleId="466">
    <w:name w:val="样式4 Char"/>
    <w:link w:val="467"/>
    <w:qFormat/>
    <w:locked/>
    <w:uiPriority w:val="0"/>
    <w:rPr>
      <w:rFonts w:eastAsia="仿宋_GB2312"/>
      <w:color w:val="0000FF"/>
      <w:spacing w:val="4"/>
      <w:sz w:val="24"/>
    </w:rPr>
  </w:style>
  <w:style w:type="paragraph" w:customStyle="1" w:styleId="467">
    <w:name w:val="样式4"/>
    <w:basedOn w:val="27"/>
    <w:link w:val="466"/>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8">
    <w:name w:val="表格文字nana Char Char"/>
    <w:link w:val="469"/>
    <w:qFormat/>
    <w:locked/>
    <w:uiPriority w:val="0"/>
    <w:rPr>
      <w:rFonts w:ascii="宋体" w:hAnsi="宋体" w:eastAsia="仿宋_GB2312"/>
      <w:snapToGrid w:val="0"/>
      <w:color w:val="000000"/>
      <w:sz w:val="21"/>
    </w:rPr>
  </w:style>
  <w:style w:type="paragraph" w:customStyle="1" w:styleId="469">
    <w:name w:val="表格文字nana"/>
    <w:basedOn w:val="1"/>
    <w:link w:val="468"/>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70">
    <w:name w:val="表格内容 Char Char"/>
    <w:link w:val="313"/>
    <w:qFormat/>
    <w:locked/>
    <w:uiPriority w:val="0"/>
    <w:rPr>
      <w:rFonts w:ascii="Arial" w:hAnsi="Arial" w:eastAsia="仿宋_GB2312"/>
      <w:sz w:val="24"/>
    </w:rPr>
  </w:style>
  <w:style w:type="character" w:customStyle="1" w:styleId="471">
    <w:name w:val="样式2 Char Char"/>
    <w:qFormat/>
    <w:locked/>
    <w:uiPriority w:val="0"/>
    <w:rPr>
      <w:rFonts w:ascii="Calibri" w:hAnsi="Calibri"/>
      <w:sz w:val="24"/>
    </w:rPr>
  </w:style>
  <w:style w:type="character" w:customStyle="1" w:styleId="472">
    <w:name w:val="注释 Char Char"/>
    <w:link w:val="473"/>
    <w:qFormat/>
    <w:locked/>
    <w:uiPriority w:val="0"/>
    <w:rPr>
      <w:rFonts w:ascii="宋体"/>
      <w:snapToGrid w:val="0"/>
      <w:spacing w:val="4"/>
      <w:sz w:val="24"/>
    </w:rPr>
  </w:style>
  <w:style w:type="paragraph" w:customStyle="1" w:styleId="473">
    <w:name w:val="注释"/>
    <w:basedOn w:val="1"/>
    <w:link w:val="472"/>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74">
    <w:name w:val="表格字体 Char Char"/>
    <w:link w:val="475"/>
    <w:qFormat/>
    <w:locked/>
    <w:uiPriority w:val="0"/>
    <w:rPr>
      <w:sz w:val="21"/>
    </w:rPr>
  </w:style>
  <w:style w:type="paragraph" w:customStyle="1" w:styleId="475">
    <w:name w:val="表格字体"/>
    <w:basedOn w:val="1"/>
    <w:link w:val="474"/>
    <w:qFormat/>
    <w:uiPriority w:val="0"/>
    <w:pPr>
      <w:adjustRightInd w:val="0"/>
      <w:spacing w:beforeLines="20" w:afterLines="20" w:line="360" w:lineRule="auto"/>
      <w:jc w:val="center"/>
      <w:textAlignment w:val="baseline"/>
    </w:pPr>
    <w:rPr>
      <w:kern w:val="0"/>
      <w:szCs w:val="20"/>
    </w:rPr>
  </w:style>
  <w:style w:type="character" w:customStyle="1" w:styleId="476">
    <w:name w:val="Char Char18"/>
    <w:qFormat/>
    <w:uiPriority w:val="0"/>
    <w:rPr>
      <w:rFonts w:ascii="Cambria" w:hAnsi="Cambria" w:eastAsia="宋体"/>
      <w:sz w:val="24"/>
      <w:lang w:val="en-US" w:eastAsia="en-US"/>
    </w:rPr>
  </w:style>
  <w:style w:type="character" w:customStyle="1" w:styleId="477">
    <w:name w:val="1正文段落 Char Char"/>
    <w:qFormat/>
    <w:locked/>
    <w:uiPriority w:val="0"/>
    <w:rPr>
      <w:snapToGrid w:val="0"/>
      <w:sz w:val="24"/>
      <w:szCs w:val="24"/>
    </w:rPr>
  </w:style>
  <w:style w:type="character" w:customStyle="1" w:styleId="478">
    <w:name w:val="正文B Char Char"/>
    <w:qFormat/>
    <w:locked/>
    <w:uiPriority w:val="0"/>
    <w:rPr>
      <w:rFonts w:ascii="宋体" w:hAnsi="宋体" w:eastAsia="宋体"/>
      <w:sz w:val="24"/>
    </w:rPr>
  </w:style>
  <w:style w:type="character" w:customStyle="1" w:styleId="479">
    <w:name w:val="正文加粗 Char Char"/>
    <w:link w:val="480"/>
    <w:qFormat/>
    <w:locked/>
    <w:uiPriority w:val="0"/>
    <w:rPr>
      <w:rFonts w:eastAsia="仿宋_GB2312"/>
      <w:b/>
      <w:kern w:val="2"/>
      <w:sz w:val="24"/>
      <w:szCs w:val="24"/>
    </w:rPr>
  </w:style>
  <w:style w:type="paragraph" w:customStyle="1" w:styleId="480">
    <w:name w:val="正文加粗"/>
    <w:next w:val="1"/>
    <w:link w:val="479"/>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81">
    <w:name w:val="表头 Char1"/>
    <w:qFormat/>
    <w:uiPriority w:val="0"/>
    <w:rPr>
      <w:rFonts w:eastAsia="仿宋_GB2312"/>
      <w:b/>
      <w:snapToGrid w:val="0"/>
      <w:color w:val="000000"/>
      <w:sz w:val="21"/>
    </w:rPr>
  </w:style>
  <w:style w:type="character" w:customStyle="1" w:styleId="482">
    <w:name w:val="正文(首行缩进) Char1"/>
    <w:qFormat/>
    <w:locked/>
    <w:uiPriority w:val="0"/>
    <w:rPr>
      <w:rFonts w:ascii="宋体" w:eastAsia="宋体"/>
      <w:snapToGrid w:val="0"/>
      <w:color w:val="000000"/>
      <w:sz w:val="24"/>
    </w:rPr>
  </w:style>
  <w:style w:type="character" w:customStyle="1" w:styleId="483">
    <w:name w:val="nr"/>
    <w:qFormat/>
    <w:uiPriority w:val="0"/>
    <w:rPr>
      <w:rFonts w:cs="Times New Roman"/>
    </w:rPr>
  </w:style>
  <w:style w:type="character" w:customStyle="1" w:styleId="484">
    <w:name w:val="批注文字 Char1"/>
    <w:qFormat/>
    <w:locked/>
    <w:uiPriority w:val="99"/>
    <w:rPr>
      <w:kern w:val="2"/>
      <w:sz w:val="21"/>
      <w:szCs w:val="24"/>
    </w:rPr>
  </w:style>
  <w:style w:type="paragraph" w:customStyle="1" w:styleId="485">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86">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7">
    <w:name w:val="正文文本缩进 Char1"/>
    <w:semiHidden/>
    <w:qFormat/>
    <w:uiPriority w:val="99"/>
    <w:rPr>
      <w:rFonts w:ascii="Times New Roman" w:hAnsi="Times New Roman" w:eastAsia="宋体" w:cs="Times New Roman"/>
      <w:sz w:val="24"/>
      <w:szCs w:val="24"/>
    </w:rPr>
  </w:style>
  <w:style w:type="paragraph" w:customStyle="1" w:styleId="488">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9">
    <w:name w:val="a表格"/>
    <w:basedOn w:val="1"/>
    <w:qFormat/>
    <w:uiPriority w:val="0"/>
    <w:pPr>
      <w:adjustRightInd w:val="0"/>
      <w:snapToGrid w:val="0"/>
      <w:spacing w:line="312" w:lineRule="atLeast"/>
      <w:jc w:val="center"/>
      <w:textAlignment w:val="baseline"/>
    </w:pPr>
    <w:rPr>
      <w:kern w:val="0"/>
      <w:szCs w:val="20"/>
    </w:rPr>
  </w:style>
  <w:style w:type="paragraph" w:customStyle="1" w:styleId="490">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91">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92">
    <w:name w:val="正文文本 Char1"/>
    <w:qFormat/>
    <w:locked/>
    <w:uiPriority w:val="0"/>
    <w:rPr>
      <w:kern w:val="2"/>
      <w:sz w:val="44"/>
      <w:szCs w:val="24"/>
    </w:rPr>
  </w:style>
  <w:style w:type="paragraph" w:customStyle="1" w:styleId="493">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94">
    <w:name w:val="样式 正文首行缩进 + 首行缩进:  1 字符"/>
    <w:basedOn w:val="60"/>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95">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96">
    <w:name w:val="环表头"/>
    <w:basedOn w:val="1"/>
    <w:link w:val="615"/>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paragraph" w:customStyle="1" w:styleId="497">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8">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0">
    <w:name w:val="zhang正文"/>
    <w:basedOn w:val="9"/>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501">
    <w:name w:val="样式 正文首行缩进正文首行缩进 Char + 首行缩进:  1 字符1"/>
    <w:basedOn w:val="60"/>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502">
    <w:name w:val="p19"/>
    <w:basedOn w:val="1"/>
    <w:qFormat/>
    <w:uiPriority w:val="0"/>
    <w:pPr>
      <w:widowControl/>
      <w:adjustRightInd w:val="0"/>
      <w:spacing w:line="360" w:lineRule="atLeast"/>
      <w:jc w:val="center"/>
      <w:textAlignment w:val="baseline"/>
    </w:pPr>
    <w:rPr>
      <w:kern w:val="0"/>
      <w:szCs w:val="21"/>
    </w:rPr>
  </w:style>
  <w:style w:type="paragraph" w:customStyle="1" w:styleId="503">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504">
    <w:name w:val="样式3"/>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505">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6">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507">
    <w:name w:val="样式 标题 4 + (西文) Times New Roman (中文) 宋体 小四"/>
    <w:basedOn w:val="5"/>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8">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9">
    <w:name w:val="样式 标题 3 + 段前: 0 磅 段后: 8 磅 行距: 固定值 22 磅1"/>
    <w:basedOn w:val="4"/>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10">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11">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12">
    <w:name w:val="5"/>
    <w:basedOn w:val="1"/>
    <w:next w:val="51"/>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13">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14">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15">
    <w:name w:val="样式 标题 3H3h33rd level第二层条Re标题 3 Char3条标题1.1.1 Char标题 3 Ch..."/>
    <w:basedOn w:val="4"/>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6">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7">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8">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9">
    <w:name w:val="样式 标题 1-*+章标题 11.标题 1h11st levelSection Headl1b1H1Head..."/>
    <w:basedOn w:val="2"/>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20">
    <w:name w:val="表名（标题）"/>
    <w:basedOn w:val="1"/>
    <w:qFormat/>
    <w:uiPriority w:val="0"/>
    <w:pPr>
      <w:adjustRightInd w:val="0"/>
      <w:spacing w:line="460" w:lineRule="exact"/>
      <w:jc w:val="left"/>
      <w:textAlignment w:val="baseline"/>
    </w:pPr>
    <w:rPr>
      <w:kern w:val="0"/>
      <w:sz w:val="24"/>
      <w:szCs w:val="20"/>
    </w:rPr>
  </w:style>
  <w:style w:type="paragraph" w:customStyle="1" w:styleId="521">
    <w:name w:val="Char11"/>
    <w:basedOn w:val="1"/>
    <w:qFormat/>
    <w:uiPriority w:val="0"/>
    <w:pPr>
      <w:adjustRightInd w:val="0"/>
      <w:spacing w:line="312" w:lineRule="atLeast"/>
      <w:textAlignment w:val="baseline"/>
    </w:pPr>
    <w:rPr>
      <w:kern w:val="0"/>
      <w:szCs w:val="20"/>
    </w:rPr>
  </w:style>
  <w:style w:type="paragraph" w:customStyle="1" w:styleId="522">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23">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24">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25">
    <w:name w:val="CM16"/>
    <w:basedOn w:val="77"/>
    <w:next w:val="77"/>
    <w:qFormat/>
    <w:uiPriority w:val="0"/>
    <w:pPr>
      <w:spacing w:line="566" w:lineRule="atLeast"/>
    </w:pPr>
    <w:rPr>
      <w:rFonts w:ascii="华文中宋" w:eastAsia="华文中宋" w:cs="华文中宋"/>
      <w:color w:val="auto"/>
    </w:rPr>
  </w:style>
  <w:style w:type="paragraph" w:customStyle="1" w:styleId="526">
    <w:name w:val="样式 标题 2 + 黑体 小四 非加粗 段前: 0 磅 段后: 0 磅 行距: 固定值 22 磅"/>
    <w:basedOn w:val="3"/>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7">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8">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9">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30">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31">
    <w:name w:val="p18"/>
    <w:basedOn w:val="1"/>
    <w:qFormat/>
    <w:uiPriority w:val="0"/>
    <w:pPr>
      <w:widowControl/>
      <w:adjustRightInd w:val="0"/>
      <w:spacing w:after="120" w:line="312" w:lineRule="atLeast"/>
      <w:textAlignment w:val="baseline"/>
    </w:pPr>
    <w:rPr>
      <w:kern w:val="0"/>
      <w:szCs w:val="21"/>
    </w:rPr>
  </w:style>
  <w:style w:type="paragraph" w:customStyle="1" w:styleId="532">
    <w:name w:val="样式 正文文本缩进 3 + 12 磅 左侧:  2 字符"/>
    <w:basedOn w:val="51"/>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33">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34">
    <w:name w:val="CM4"/>
    <w:basedOn w:val="77"/>
    <w:next w:val="77"/>
    <w:qFormat/>
    <w:uiPriority w:val="0"/>
    <w:pPr>
      <w:spacing w:line="566" w:lineRule="atLeast"/>
    </w:pPr>
    <w:rPr>
      <w:rFonts w:ascii="华文中宋" w:eastAsia="华文中宋" w:cs="华文中宋"/>
      <w:color w:val="auto"/>
    </w:rPr>
  </w:style>
  <w:style w:type="paragraph" w:customStyle="1" w:styleId="535">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6">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7">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8">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9">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40">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41">
    <w:name w:val="样式 标题 2节节标题 1.1H2（一）Underrubrik1prop2Heading 2 HiddenHea...2"/>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42">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43">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44">
    <w:name w:val="javascript1"/>
    <w:qFormat/>
    <w:uiPriority w:val="0"/>
    <w:rPr>
      <w:rFonts w:ascii="Tahoma" w:hAnsi="Tahoma" w:eastAsia="宋体"/>
      <w:kern w:val="2"/>
      <w:sz w:val="24"/>
      <w:lang w:val="en-US" w:eastAsia="zh-CN"/>
    </w:rPr>
  </w:style>
  <w:style w:type="paragraph" w:customStyle="1" w:styleId="545">
    <w:name w:val="1.1.1"/>
    <w:basedOn w:val="1"/>
    <w:qFormat/>
    <w:uiPriority w:val="0"/>
    <w:pPr>
      <w:spacing w:line="360" w:lineRule="auto"/>
      <w:ind w:firstLine="200" w:firstLineChars="200"/>
    </w:pPr>
    <w:rPr>
      <w:rFonts w:ascii="黑体"/>
      <w:sz w:val="24"/>
      <w:szCs w:val="20"/>
    </w:rPr>
  </w:style>
  <w:style w:type="character" w:customStyle="1" w:styleId="546">
    <w:name w:val="尾注文本 字符1"/>
    <w:link w:val="39"/>
    <w:qFormat/>
    <w:uiPriority w:val="99"/>
    <w:rPr>
      <w:sz w:val="21"/>
      <w:lang w:val="zh-CN" w:eastAsia="zh-CN"/>
    </w:rPr>
  </w:style>
  <w:style w:type="paragraph" w:customStyle="1" w:styleId="547">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8">
    <w:name w:val="apple-style-span"/>
    <w:qFormat/>
    <w:uiPriority w:val="0"/>
  </w:style>
  <w:style w:type="character" w:customStyle="1" w:styleId="549">
    <w:name w:val="List Paragraph Char"/>
    <w:link w:val="181"/>
    <w:qFormat/>
    <w:locked/>
    <w:uiPriority w:val="0"/>
  </w:style>
  <w:style w:type="paragraph" w:customStyle="1" w:styleId="550">
    <w:name w:val="Char6"/>
    <w:basedOn w:val="1"/>
    <w:qFormat/>
    <w:uiPriority w:val="0"/>
  </w:style>
  <w:style w:type="table" w:customStyle="1" w:styleId="551">
    <w:name w:val="网格型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2">
    <w:name w:val="网格型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3">
    <w:name w:val="Char5"/>
    <w:basedOn w:val="1"/>
    <w:qFormat/>
    <w:uiPriority w:val="0"/>
  </w:style>
  <w:style w:type="table" w:customStyle="1" w:styleId="554">
    <w:name w:val="网格型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5">
    <w:name w:val="Char4"/>
    <w:basedOn w:val="1"/>
    <w:qFormat/>
    <w:uiPriority w:val="0"/>
  </w:style>
  <w:style w:type="paragraph" w:customStyle="1" w:styleId="556">
    <w:name w:val="Char Char Char Char Char Char Char Char Char1 Char Char Char Char"/>
    <w:basedOn w:val="1"/>
    <w:qFormat/>
    <w:uiPriority w:val="0"/>
    <w:rPr>
      <w:sz w:val="24"/>
    </w:rPr>
  </w:style>
  <w:style w:type="paragraph" w:customStyle="1" w:styleId="557">
    <w:name w:val="Char Char Char Char Char Char Char Char Char1 Char Char Char Char1"/>
    <w:basedOn w:val="1"/>
    <w:qFormat/>
    <w:uiPriority w:val="0"/>
    <w:rPr>
      <w:sz w:val="24"/>
    </w:rPr>
  </w:style>
  <w:style w:type="paragraph" w:customStyle="1" w:styleId="558">
    <w:name w:val="新正文"/>
    <w:basedOn w:val="1"/>
    <w:link w:val="559"/>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9">
    <w:name w:val="新正文 Char"/>
    <w:link w:val="558"/>
    <w:qFormat/>
    <w:locked/>
    <w:uiPriority w:val="0"/>
    <w:rPr>
      <w:rFonts w:ascii="仿宋_GB2312" w:eastAsia="仿宋_GB2312"/>
      <w:lang w:val="zh-CN" w:eastAsia="zh-CN"/>
    </w:rPr>
  </w:style>
  <w:style w:type="table" w:customStyle="1" w:styleId="560">
    <w:name w:val="网格型1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61">
    <w:name w:val="Char21"/>
    <w:basedOn w:val="1"/>
    <w:qFormat/>
    <w:uiPriority w:val="0"/>
  </w:style>
  <w:style w:type="paragraph" w:customStyle="1" w:styleId="562">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63">
    <w:name w:val="网格型5"/>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4">
    <w:name w:val="show-img-bd"/>
    <w:qFormat/>
    <w:uiPriority w:val="0"/>
  </w:style>
  <w:style w:type="character" w:customStyle="1" w:styleId="565">
    <w:name w:val="图 标题 Char"/>
    <w:link w:val="566"/>
    <w:qFormat/>
    <w:uiPriority w:val="0"/>
    <w:rPr>
      <w:b/>
      <w:kern w:val="2"/>
      <w:sz w:val="24"/>
    </w:rPr>
  </w:style>
  <w:style w:type="paragraph" w:customStyle="1" w:styleId="566">
    <w:name w:val="图 标题"/>
    <w:basedOn w:val="1"/>
    <w:link w:val="565"/>
    <w:qFormat/>
    <w:uiPriority w:val="0"/>
    <w:pPr>
      <w:adjustRightInd w:val="0"/>
      <w:snapToGrid w:val="0"/>
      <w:spacing w:line="360" w:lineRule="auto"/>
      <w:jc w:val="center"/>
    </w:pPr>
    <w:rPr>
      <w:b/>
      <w:sz w:val="24"/>
      <w:szCs w:val="20"/>
    </w:rPr>
  </w:style>
  <w:style w:type="character" w:customStyle="1" w:styleId="567">
    <w:name w:val="aa正文 Char"/>
    <w:link w:val="568"/>
    <w:qFormat/>
    <w:uiPriority w:val="0"/>
    <w:rPr>
      <w:sz w:val="24"/>
      <w:szCs w:val="24"/>
    </w:rPr>
  </w:style>
  <w:style w:type="paragraph" w:customStyle="1" w:styleId="568">
    <w:name w:val="aa正文"/>
    <w:basedOn w:val="1"/>
    <w:link w:val="567"/>
    <w:qFormat/>
    <w:uiPriority w:val="0"/>
    <w:pPr>
      <w:spacing w:line="360" w:lineRule="auto"/>
      <w:ind w:firstLine="200" w:firstLineChars="200"/>
    </w:pPr>
    <w:rPr>
      <w:kern w:val="0"/>
      <w:sz w:val="24"/>
    </w:rPr>
  </w:style>
  <w:style w:type="character" w:customStyle="1" w:styleId="569">
    <w:name w:val="words-outer-wrap"/>
    <w:qFormat/>
    <w:uiPriority w:val="0"/>
  </w:style>
  <w:style w:type="character" w:customStyle="1" w:styleId="570">
    <w:name w:val="split-word"/>
    <w:qFormat/>
    <w:uiPriority w:val="0"/>
  </w:style>
  <w:style w:type="paragraph" w:customStyle="1" w:styleId="571">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72">
    <w:name w:val="表格标题 Char"/>
    <w:qFormat/>
    <w:uiPriority w:val="0"/>
    <w:rPr>
      <w:rFonts w:ascii="TimesNewRoman" w:hAnsi="TimesNewRoman"/>
      <w:b/>
      <w:sz w:val="24"/>
    </w:rPr>
  </w:style>
  <w:style w:type="paragraph" w:customStyle="1" w:styleId="573">
    <w:name w:val="Char Char21"/>
    <w:basedOn w:val="1"/>
    <w:qFormat/>
    <w:uiPriority w:val="0"/>
    <w:rPr>
      <w:szCs w:val="21"/>
    </w:rPr>
  </w:style>
  <w:style w:type="paragraph" w:customStyle="1" w:styleId="574">
    <w:name w:val="333333333333333"/>
    <w:basedOn w:val="4"/>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5">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6">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7">
    <w:name w:val="表的标题 Char"/>
    <w:link w:val="578"/>
    <w:qFormat/>
    <w:uiPriority w:val="0"/>
    <w:rPr>
      <w:rFonts w:eastAsia="黑体" w:cs="宋体"/>
      <w:kern w:val="2"/>
      <w:sz w:val="24"/>
    </w:rPr>
  </w:style>
  <w:style w:type="paragraph" w:customStyle="1" w:styleId="578">
    <w:name w:val="表的标题"/>
    <w:basedOn w:val="1"/>
    <w:next w:val="1"/>
    <w:link w:val="577"/>
    <w:qFormat/>
    <w:uiPriority w:val="0"/>
    <w:pPr>
      <w:adjustRightInd w:val="0"/>
      <w:snapToGrid w:val="0"/>
      <w:spacing w:beforeLines="50"/>
      <w:jc w:val="center"/>
    </w:pPr>
    <w:rPr>
      <w:rFonts w:eastAsia="黑体" w:cs="宋体"/>
      <w:sz w:val="24"/>
      <w:szCs w:val="20"/>
    </w:rPr>
  </w:style>
  <w:style w:type="character" w:customStyle="1" w:styleId="579">
    <w:name w:val="4正文 Char"/>
    <w:link w:val="580"/>
    <w:qFormat/>
    <w:uiPriority w:val="0"/>
    <w:rPr>
      <w:kern w:val="2"/>
      <w:sz w:val="24"/>
    </w:rPr>
  </w:style>
  <w:style w:type="paragraph" w:customStyle="1" w:styleId="580">
    <w:name w:val="4正文"/>
    <w:basedOn w:val="1"/>
    <w:link w:val="579"/>
    <w:qFormat/>
    <w:uiPriority w:val="0"/>
    <w:pPr>
      <w:spacing w:line="360" w:lineRule="auto"/>
      <w:ind w:firstLine="480" w:firstLineChars="200"/>
    </w:pPr>
    <w:rPr>
      <w:sz w:val="24"/>
      <w:szCs w:val="20"/>
    </w:rPr>
  </w:style>
  <w:style w:type="paragraph" w:customStyle="1" w:styleId="581">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82">
    <w:name w:val="Char Char291"/>
    <w:qFormat/>
    <w:uiPriority w:val="0"/>
    <w:rPr>
      <w:rFonts w:eastAsia="宋体"/>
      <w:b/>
      <w:bCs/>
      <w:kern w:val="2"/>
      <w:sz w:val="32"/>
      <w:szCs w:val="32"/>
      <w:lang w:val="en-US" w:eastAsia="zh-CN" w:bidi="ar-SA"/>
    </w:rPr>
  </w:style>
  <w:style w:type="character" w:customStyle="1" w:styleId="583">
    <w:name w:val="Char Char111"/>
    <w:qFormat/>
    <w:uiPriority w:val="0"/>
    <w:rPr>
      <w:rFonts w:ascii="Calibri" w:hAnsi="Tahoma" w:eastAsia="Calibri" w:cs="Tahoma"/>
      <w:kern w:val="2"/>
      <w:sz w:val="21"/>
      <w:szCs w:val="21"/>
      <w:lang w:val="en-US" w:eastAsia="zh-CN" w:bidi="ar-SA"/>
    </w:rPr>
  </w:style>
  <w:style w:type="character" w:customStyle="1" w:styleId="584">
    <w:name w:val="Char Char41"/>
    <w:qFormat/>
    <w:uiPriority w:val="0"/>
    <w:rPr>
      <w:rFonts w:ascii="宋体" w:hAnsi="Courier New" w:eastAsia="宋体"/>
      <w:kern w:val="2"/>
      <w:sz w:val="21"/>
      <w:lang w:val="en-US" w:eastAsia="zh-CN" w:bidi="ar-SA"/>
    </w:rPr>
  </w:style>
  <w:style w:type="character" w:customStyle="1" w:styleId="585">
    <w:name w:val="Char Char91"/>
    <w:qFormat/>
    <w:uiPriority w:val="0"/>
    <w:rPr>
      <w:rFonts w:ascii="宋体" w:hAnsi="宋体" w:eastAsia="宋体"/>
      <w:kern w:val="2"/>
      <w:sz w:val="24"/>
      <w:szCs w:val="24"/>
      <w:lang w:val="en-US" w:eastAsia="zh-CN" w:bidi="ar-SA"/>
    </w:rPr>
  </w:style>
  <w:style w:type="character" w:customStyle="1" w:styleId="586">
    <w:name w:val="正文文本缩进 2 Char2"/>
    <w:semiHidden/>
    <w:qFormat/>
    <w:uiPriority w:val="99"/>
    <w:rPr>
      <w:kern w:val="2"/>
      <w:sz w:val="21"/>
      <w:szCs w:val="24"/>
    </w:rPr>
  </w:style>
  <w:style w:type="character" w:customStyle="1" w:styleId="587">
    <w:name w:val="页脚 Char1"/>
    <w:qFormat/>
    <w:uiPriority w:val="0"/>
    <w:rPr>
      <w:kern w:val="2"/>
      <w:sz w:val="18"/>
      <w:szCs w:val="18"/>
    </w:rPr>
  </w:style>
  <w:style w:type="paragraph" w:customStyle="1" w:styleId="588">
    <w:name w:val="Char Char Char Char Char Char Char2"/>
    <w:basedOn w:val="1"/>
    <w:qFormat/>
    <w:uiPriority w:val="0"/>
    <w:pPr>
      <w:adjustRightInd w:val="0"/>
      <w:spacing w:line="360" w:lineRule="auto"/>
    </w:pPr>
    <w:rPr>
      <w:kern w:val="0"/>
      <w:sz w:val="24"/>
      <w:szCs w:val="20"/>
    </w:rPr>
  </w:style>
  <w:style w:type="character" w:customStyle="1" w:styleId="589">
    <w:name w:val="批注框文本 Char1"/>
    <w:semiHidden/>
    <w:qFormat/>
    <w:uiPriority w:val="99"/>
    <w:rPr>
      <w:kern w:val="2"/>
      <w:sz w:val="18"/>
      <w:szCs w:val="18"/>
    </w:rPr>
  </w:style>
  <w:style w:type="character" w:customStyle="1" w:styleId="590">
    <w:name w:val="正文首行缩进 2 Char1"/>
    <w:semiHidden/>
    <w:qFormat/>
    <w:uiPriority w:val="99"/>
    <w:rPr>
      <w:rFonts w:ascii="Times New Roman" w:hAnsi="Times New Roman" w:eastAsia="宋体" w:cs="Times New Roman"/>
      <w:kern w:val="2"/>
      <w:sz w:val="21"/>
      <w:szCs w:val="24"/>
    </w:rPr>
  </w:style>
  <w:style w:type="paragraph" w:customStyle="1" w:styleId="591">
    <w:name w:val="Char12"/>
    <w:basedOn w:val="1"/>
    <w:qFormat/>
    <w:uiPriority w:val="0"/>
    <w:rPr>
      <w:sz w:val="24"/>
    </w:rPr>
  </w:style>
  <w:style w:type="paragraph" w:customStyle="1" w:styleId="592">
    <w:name w:val="Char22"/>
    <w:basedOn w:val="1"/>
    <w:qFormat/>
    <w:uiPriority w:val="0"/>
    <w:pPr>
      <w:ind w:firstLine="200" w:firstLineChars="200"/>
    </w:pPr>
    <w:rPr>
      <w:rFonts w:ascii="宋体" w:hAnsi="宋体" w:cs="宋体"/>
    </w:rPr>
  </w:style>
  <w:style w:type="paragraph" w:customStyle="1" w:styleId="593">
    <w:name w:val="Char Char Char2"/>
    <w:basedOn w:val="1"/>
    <w:qFormat/>
    <w:uiPriority w:val="0"/>
  </w:style>
  <w:style w:type="paragraph" w:customStyle="1" w:styleId="594">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5">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6">
    <w:name w:val="字元 字元1"/>
    <w:basedOn w:val="1"/>
    <w:qFormat/>
    <w:uiPriority w:val="0"/>
    <w:rPr>
      <w:sz w:val="24"/>
    </w:rPr>
  </w:style>
  <w:style w:type="paragraph" w:customStyle="1" w:styleId="597">
    <w:name w:val="Char Char Char Char Char Char1 Char Char Char Char Char Char Char Char Char1"/>
    <w:basedOn w:val="1"/>
    <w:qFormat/>
    <w:uiPriority w:val="0"/>
    <w:rPr>
      <w:sz w:val="24"/>
    </w:rPr>
  </w:style>
  <w:style w:type="paragraph" w:customStyle="1" w:styleId="598">
    <w:name w:val="Char Char Char1 Char1 Char Char Char1"/>
    <w:basedOn w:val="1"/>
    <w:qFormat/>
    <w:uiPriority w:val="0"/>
    <w:pPr>
      <w:spacing w:line="500" w:lineRule="exact"/>
      <w:ind w:firstLine="480" w:firstLineChars="200"/>
    </w:pPr>
    <w:rPr>
      <w:sz w:val="24"/>
      <w:szCs w:val="20"/>
    </w:rPr>
  </w:style>
  <w:style w:type="character" w:customStyle="1" w:styleId="599">
    <w:name w:val="Char Char301"/>
    <w:qFormat/>
    <w:uiPriority w:val="0"/>
    <w:rPr>
      <w:rFonts w:eastAsia="宋体"/>
      <w:b/>
      <w:bCs/>
      <w:kern w:val="2"/>
      <w:sz w:val="21"/>
      <w:szCs w:val="24"/>
      <w:lang w:val="en-US" w:eastAsia="zh-CN" w:bidi="ar-SA"/>
    </w:rPr>
  </w:style>
  <w:style w:type="character" w:customStyle="1" w:styleId="600">
    <w:name w:val="Char Char171"/>
    <w:qFormat/>
    <w:locked/>
    <w:uiPriority w:val="0"/>
    <w:rPr>
      <w:rFonts w:eastAsia="宋体"/>
      <w:b/>
      <w:bCs/>
      <w:kern w:val="2"/>
      <w:sz w:val="32"/>
      <w:szCs w:val="32"/>
      <w:lang w:val="en-US" w:eastAsia="zh-CN" w:bidi="ar-SA"/>
    </w:rPr>
  </w:style>
  <w:style w:type="character" w:customStyle="1" w:styleId="601">
    <w:name w:val="Char Char61"/>
    <w:qFormat/>
    <w:locked/>
    <w:uiPriority w:val="0"/>
    <w:rPr>
      <w:rFonts w:eastAsia="宋体"/>
      <w:kern w:val="2"/>
      <w:sz w:val="21"/>
      <w:szCs w:val="24"/>
      <w:lang w:val="en-US" w:eastAsia="zh-CN" w:bidi="ar-SA"/>
    </w:rPr>
  </w:style>
  <w:style w:type="character" w:customStyle="1" w:styleId="602">
    <w:name w:val="Char Char12"/>
    <w:qFormat/>
    <w:uiPriority w:val="0"/>
    <w:rPr>
      <w:rFonts w:eastAsia="宋体"/>
      <w:kern w:val="2"/>
      <w:sz w:val="18"/>
      <w:szCs w:val="18"/>
      <w:lang w:val="en-US" w:eastAsia="zh-CN" w:bidi="ar-SA"/>
    </w:rPr>
  </w:style>
  <w:style w:type="character" w:customStyle="1" w:styleId="603">
    <w:name w:val="Char Char151"/>
    <w:qFormat/>
    <w:uiPriority w:val="0"/>
    <w:rPr>
      <w:rFonts w:ascii="宋体" w:hAnsi="Courier New" w:eastAsia="宋体"/>
      <w:kern w:val="2"/>
      <w:sz w:val="21"/>
      <w:lang w:val="en-US" w:eastAsia="zh-CN" w:bidi="ar-SA"/>
    </w:rPr>
  </w:style>
  <w:style w:type="character" w:customStyle="1" w:styleId="604">
    <w:name w:val="占位符文本2"/>
    <w:semiHidden/>
    <w:qFormat/>
    <w:uiPriority w:val="99"/>
    <w:rPr>
      <w:rFonts w:cs="Times New Roman"/>
      <w:color w:val="808080"/>
    </w:rPr>
  </w:style>
  <w:style w:type="paragraph" w:customStyle="1" w:styleId="605">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6">
    <w:name w:val="description"/>
    <w:qFormat/>
    <w:uiPriority w:val="0"/>
  </w:style>
  <w:style w:type="character" w:customStyle="1" w:styleId="607">
    <w:name w:val="Char Char1 Char"/>
    <w:qFormat/>
    <w:uiPriority w:val="0"/>
    <w:rPr>
      <w:rFonts w:ascii="宋体" w:hAnsi="宋体" w:cs="宋体"/>
      <w:kern w:val="2"/>
      <w:sz w:val="24"/>
      <w:szCs w:val="24"/>
    </w:rPr>
  </w:style>
  <w:style w:type="character" w:customStyle="1" w:styleId="608">
    <w:name w:val="5文章(治) Char Char"/>
    <w:link w:val="609"/>
    <w:qFormat/>
    <w:uiPriority w:val="0"/>
    <w:rPr>
      <w:kern w:val="2"/>
      <w:sz w:val="24"/>
    </w:rPr>
  </w:style>
  <w:style w:type="paragraph" w:customStyle="1" w:styleId="609">
    <w:name w:val="5文章(治)"/>
    <w:basedOn w:val="1"/>
    <w:link w:val="608"/>
    <w:qFormat/>
    <w:uiPriority w:val="0"/>
    <w:pPr>
      <w:spacing w:line="360" w:lineRule="auto"/>
      <w:ind w:firstLine="560" w:firstLineChars="200"/>
    </w:pPr>
    <w:rPr>
      <w:sz w:val="24"/>
      <w:szCs w:val="20"/>
    </w:rPr>
  </w:style>
  <w:style w:type="character" w:customStyle="1" w:styleId="610">
    <w:name w:val="bjh-p"/>
    <w:qFormat/>
    <w:uiPriority w:val="0"/>
  </w:style>
  <w:style w:type="paragraph" w:customStyle="1" w:styleId="611">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12">
    <w:name w:val="002"/>
    <w:qFormat/>
    <w:uiPriority w:val="0"/>
    <w:rPr>
      <w:rFonts w:ascii="黑体" w:hAnsi="黑体" w:eastAsia="黑体"/>
      <w:sz w:val="28"/>
    </w:rPr>
  </w:style>
  <w:style w:type="character" w:customStyle="1" w:styleId="613">
    <w:name w:val="表格标题新 Char"/>
    <w:link w:val="614"/>
    <w:qFormat/>
    <w:uiPriority w:val="0"/>
    <w:rPr>
      <w:rFonts w:ascii="仿宋_GB2312" w:eastAsia="黑体"/>
      <w:b/>
      <w:snapToGrid w:val="0"/>
      <w:spacing w:val="4"/>
      <w:sz w:val="24"/>
      <w:szCs w:val="24"/>
    </w:rPr>
  </w:style>
  <w:style w:type="paragraph" w:customStyle="1" w:styleId="614">
    <w:name w:val="表格标题新"/>
    <w:basedOn w:val="167"/>
    <w:link w:val="613"/>
    <w:qFormat/>
    <w:uiPriority w:val="0"/>
    <w:pPr>
      <w:spacing w:before="120" w:beforeLines="50"/>
      <w:ind w:firstLine="562"/>
    </w:pPr>
    <w:rPr>
      <w:rFonts w:eastAsia="黑体"/>
      <w:b/>
      <w:snapToGrid w:val="0"/>
      <w:spacing w:val="4"/>
      <w:szCs w:val="24"/>
    </w:rPr>
  </w:style>
  <w:style w:type="character" w:customStyle="1" w:styleId="615">
    <w:name w:val="环表头 Char Char"/>
    <w:link w:val="496"/>
    <w:qFormat/>
    <w:uiPriority w:val="0"/>
    <w:rPr>
      <w:rFonts w:ascii="黑体" w:hAnsi="宋体" w:eastAsia="黑体"/>
      <w:iCs/>
      <w:color w:val="000000"/>
      <w:sz w:val="24"/>
      <w:lang w:val="zh-CN" w:eastAsia="zh-CN"/>
    </w:rPr>
  </w:style>
  <w:style w:type="character" w:customStyle="1" w:styleId="616">
    <w:name w:val="书籍标题1"/>
    <w:qFormat/>
    <w:uiPriority w:val="33"/>
    <w:rPr>
      <w:b/>
      <w:bCs/>
      <w:smallCaps/>
      <w:spacing w:val="5"/>
    </w:rPr>
  </w:style>
  <w:style w:type="character" w:customStyle="1" w:styleId="617">
    <w:name w:val="large1"/>
    <w:qFormat/>
    <w:uiPriority w:val="0"/>
    <w:rPr>
      <w:rFonts w:hint="eastAsia" w:ascii="宋体" w:hAnsi="宋体" w:eastAsia="宋体"/>
      <w:sz w:val="22"/>
      <w:szCs w:val="22"/>
    </w:rPr>
  </w:style>
  <w:style w:type="character" w:customStyle="1" w:styleId="618">
    <w:name w:val="fontstyle11"/>
    <w:qFormat/>
    <w:uiPriority w:val="0"/>
    <w:rPr>
      <w:rFonts w:hint="eastAsia" w:ascii="宋体" w:hAnsi="宋体" w:eastAsia="宋体"/>
      <w:color w:val="000000"/>
      <w:sz w:val="22"/>
      <w:szCs w:val="22"/>
    </w:rPr>
  </w:style>
  <w:style w:type="character" w:customStyle="1" w:styleId="619">
    <w:name w:val="3级 Char"/>
    <w:link w:val="620"/>
    <w:qFormat/>
    <w:uiPriority w:val="0"/>
    <w:rPr>
      <w:rFonts w:eastAsia="仿宋_GB2312"/>
      <w:bCs/>
      <w:kern w:val="2"/>
      <w:sz w:val="28"/>
      <w:szCs w:val="32"/>
    </w:rPr>
  </w:style>
  <w:style w:type="paragraph" w:customStyle="1" w:styleId="620">
    <w:name w:val="3级"/>
    <w:basedOn w:val="1"/>
    <w:link w:val="619"/>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21">
    <w:name w:val="表题前1后0.5行 Char"/>
    <w:link w:val="622"/>
    <w:qFormat/>
    <w:uiPriority w:val="0"/>
    <w:rPr>
      <w:rFonts w:ascii="宋体"/>
      <w:kern w:val="2"/>
      <w:sz w:val="26"/>
      <w:szCs w:val="24"/>
    </w:rPr>
  </w:style>
  <w:style w:type="paragraph" w:customStyle="1" w:styleId="622">
    <w:name w:val="表题前1后0.5行"/>
    <w:basedOn w:val="1"/>
    <w:link w:val="621"/>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23">
    <w:name w:val="height21"/>
    <w:qFormat/>
    <w:uiPriority w:val="0"/>
    <w:rPr>
      <w:sz w:val="18"/>
      <w:szCs w:val="18"/>
    </w:rPr>
  </w:style>
  <w:style w:type="character" w:customStyle="1" w:styleId="624">
    <w:name w:val="fontstyle21"/>
    <w:qFormat/>
    <w:uiPriority w:val="0"/>
    <w:rPr>
      <w:rFonts w:hint="default" w:ascii="TimesNewRomanPSMT" w:hAnsi="TimesNewRomanPSMT"/>
      <w:color w:val="000000"/>
      <w:sz w:val="28"/>
      <w:szCs w:val="28"/>
    </w:rPr>
  </w:style>
  <w:style w:type="character" w:customStyle="1" w:styleId="625">
    <w:name w:val="正文01 Char Char"/>
    <w:qFormat/>
    <w:uiPriority w:val="0"/>
    <w:rPr>
      <w:kern w:val="2"/>
      <w:sz w:val="24"/>
      <w:szCs w:val="24"/>
    </w:rPr>
  </w:style>
  <w:style w:type="character" w:customStyle="1" w:styleId="626">
    <w:name w:val="fontstyle01"/>
    <w:qFormat/>
    <w:uiPriority w:val="0"/>
    <w:rPr>
      <w:rFonts w:hint="default" w:ascii="Times New Roman" w:hAnsi="Times New Roman" w:cs="Times New Roman"/>
      <w:color w:val="000000"/>
      <w:sz w:val="22"/>
      <w:szCs w:val="22"/>
    </w:rPr>
  </w:style>
  <w:style w:type="paragraph" w:customStyle="1" w:styleId="627">
    <w:name w:val="Char33"/>
    <w:basedOn w:val="1"/>
    <w:qFormat/>
    <w:uiPriority w:val="0"/>
    <w:rPr>
      <w:sz w:val="24"/>
    </w:rPr>
  </w:style>
  <w:style w:type="paragraph" w:customStyle="1" w:styleId="628">
    <w:name w:val="Hu表内"/>
    <w:basedOn w:val="629"/>
    <w:qFormat/>
    <w:uiPriority w:val="0"/>
    <w:rPr>
      <w:sz w:val="24"/>
    </w:rPr>
  </w:style>
  <w:style w:type="paragraph" w:customStyle="1" w:styleId="629">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30">
    <w:name w:val="中等深浅网格 1 - 强调文字颜色 21"/>
    <w:basedOn w:val="1"/>
    <w:qFormat/>
    <w:uiPriority w:val="34"/>
    <w:pPr>
      <w:ind w:firstLine="420" w:firstLineChars="200"/>
    </w:pPr>
    <w:rPr>
      <w:rFonts w:ascii="Calibri" w:hAnsi="Calibri"/>
      <w:szCs w:val="22"/>
    </w:rPr>
  </w:style>
  <w:style w:type="paragraph" w:customStyle="1" w:styleId="631">
    <w:name w:val="纯文本2"/>
    <w:basedOn w:val="1"/>
    <w:qFormat/>
    <w:uiPriority w:val="0"/>
    <w:pPr>
      <w:adjustRightInd w:val="0"/>
      <w:textAlignment w:val="baseline"/>
    </w:pPr>
    <w:rPr>
      <w:rFonts w:ascii="宋体" w:hAnsi="Courier New" w:eastAsia="仿宋_GB2312"/>
      <w:sz w:val="28"/>
      <w:szCs w:val="28"/>
    </w:rPr>
  </w:style>
  <w:style w:type="paragraph" w:customStyle="1" w:styleId="632">
    <w:name w:val="二级大标题"/>
    <w:basedOn w:val="3"/>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33">
    <w:name w:val="Char Char Char5"/>
    <w:basedOn w:val="1"/>
    <w:qFormat/>
    <w:uiPriority w:val="0"/>
    <w:pPr>
      <w:spacing w:line="360" w:lineRule="auto"/>
    </w:pPr>
    <w:rPr>
      <w:rFonts w:ascii="Tahoma" w:hAnsi="Tahoma"/>
      <w:sz w:val="24"/>
      <w:szCs w:val="20"/>
    </w:rPr>
  </w:style>
  <w:style w:type="paragraph" w:customStyle="1" w:styleId="634">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35">
    <w:name w:val="项目编号"/>
    <w:basedOn w:val="1"/>
    <w:next w:val="1"/>
    <w:qFormat/>
    <w:uiPriority w:val="0"/>
    <w:pPr>
      <w:spacing w:before="120" w:after="120" w:line="360" w:lineRule="auto"/>
    </w:pPr>
    <w:rPr>
      <w:rFonts w:ascii="仿宋_GB2312" w:eastAsia="仿宋_GB2312"/>
      <w:sz w:val="24"/>
      <w:szCs w:val="20"/>
    </w:rPr>
  </w:style>
  <w:style w:type="paragraph" w:customStyle="1" w:styleId="636">
    <w:name w:val="默认段落字体 Para Char Char Char Char Char Char Char Char Char Char"/>
    <w:basedOn w:val="4"/>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7">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8">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9">
    <w:name w:val="z-窗体底端1"/>
    <w:basedOn w:val="1"/>
    <w:next w:val="1"/>
    <w:link w:val="640"/>
    <w:qFormat/>
    <w:uiPriority w:val="0"/>
    <w:pPr>
      <w:pBdr>
        <w:top w:val="single" w:color="auto" w:sz="6" w:space="1"/>
      </w:pBdr>
      <w:jc w:val="center"/>
    </w:pPr>
    <w:rPr>
      <w:rFonts w:ascii="Arial"/>
      <w:vanish/>
      <w:sz w:val="16"/>
    </w:rPr>
  </w:style>
  <w:style w:type="character" w:customStyle="1" w:styleId="640">
    <w:name w:val="z-窗体底端 Char"/>
    <w:link w:val="639"/>
    <w:qFormat/>
    <w:uiPriority w:val="0"/>
    <w:rPr>
      <w:rFonts w:ascii="Arial"/>
      <w:vanish/>
      <w:kern w:val="2"/>
      <w:sz w:val="16"/>
      <w:szCs w:val="24"/>
    </w:rPr>
  </w:style>
  <w:style w:type="paragraph" w:customStyle="1" w:styleId="641">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42">
    <w:name w:val="Char Char Char Char Char Char Char5"/>
    <w:basedOn w:val="1"/>
    <w:qFormat/>
    <w:uiPriority w:val="0"/>
    <w:rPr>
      <w:sz w:val="24"/>
    </w:rPr>
  </w:style>
  <w:style w:type="paragraph" w:customStyle="1" w:styleId="643">
    <w:name w:val="z-窗体顶端1"/>
    <w:basedOn w:val="1"/>
    <w:next w:val="1"/>
    <w:link w:val="644"/>
    <w:qFormat/>
    <w:uiPriority w:val="0"/>
    <w:pPr>
      <w:pBdr>
        <w:bottom w:val="single" w:color="auto" w:sz="6" w:space="1"/>
      </w:pBdr>
      <w:jc w:val="center"/>
    </w:pPr>
    <w:rPr>
      <w:rFonts w:ascii="Arial"/>
      <w:vanish/>
      <w:sz w:val="16"/>
    </w:rPr>
  </w:style>
  <w:style w:type="character" w:customStyle="1" w:styleId="644">
    <w:name w:val="z-窗体顶端 Char"/>
    <w:link w:val="643"/>
    <w:qFormat/>
    <w:uiPriority w:val="0"/>
    <w:rPr>
      <w:rFonts w:ascii="Arial"/>
      <w:vanish/>
      <w:kern w:val="2"/>
      <w:sz w:val="16"/>
      <w:szCs w:val="24"/>
    </w:rPr>
  </w:style>
  <w:style w:type="paragraph" w:customStyle="1" w:styleId="645">
    <w:name w:val="Char15"/>
    <w:basedOn w:val="1"/>
    <w:qFormat/>
    <w:uiPriority w:val="0"/>
    <w:pPr>
      <w:widowControl/>
      <w:spacing w:line="360" w:lineRule="auto"/>
      <w:ind w:firstLine="200" w:firstLineChars="200"/>
      <w:jc w:val="left"/>
    </w:pPr>
    <w:rPr>
      <w:kern w:val="0"/>
      <w:sz w:val="24"/>
      <w:szCs w:val="20"/>
    </w:rPr>
  </w:style>
  <w:style w:type="paragraph" w:customStyle="1" w:styleId="646">
    <w:name w:val="_Style 5"/>
    <w:basedOn w:val="1"/>
    <w:qFormat/>
    <w:uiPriority w:val="0"/>
  </w:style>
  <w:style w:type="paragraph" w:customStyle="1" w:styleId="647">
    <w:name w:val="日期1"/>
    <w:basedOn w:val="1"/>
    <w:next w:val="1"/>
    <w:qFormat/>
    <w:uiPriority w:val="0"/>
    <w:pPr>
      <w:adjustRightInd w:val="0"/>
      <w:textAlignment w:val="baseline"/>
    </w:pPr>
    <w:rPr>
      <w:sz w:val="28"/>
      <w:szCs w:val="20"/>
    </w:rPr>
  </w:style>
  <w:style w:type="character" w:customStyle="1" w:styleId="648">
    <w:name w:val="4biaoge neibu Char"/>
    <w:link w:val="649"/>
    <w:qFormat/>
    <w:uiPriority w:val="0"/>
    <w:rPr>
      <w:rFonts w:cs="黑体"/>
      <w:kern w:val="2"/>
      <w:sz w:val="21"/>
      <w:szCs w:val="16"/>
    </w:rPr>
  </w:style>
  <w:style w:type="paragraph" w:customStyle="1" w:styleId="649">
    <w:name w:val="4biaoge neibu"/>
    <w:basedOn w:val="1"/>
    <w:link w:val="648"/>
    <w:qFormat/>
    <w:uiPriority w:val="0"/>
    <w:pPr>
      <w:jc w:val="center"/>
    </w:pPr>
    <w:rPr>
      <w:rFonts w:cs="黑体"/>
      <w:szCs w:val="16"/>
    </w:rPr>
  </w:style>
  <w:style w:type="paragraph" w:customStyle="1" w:styleId="650">
    <w:name w:val="图表标题"/>
    <w:basedOn w:val="1"/>
    <w:next w:val="1"/>
    <w:qFormat/>
    <w:uiPriority w:val="0"/>
    <w:pPr>
      <w:spacing w:line="360" w:lineRule="auto"/>
      <w:ind w:firstLine="640" w:firstLineChars="200"/>
      <w:jc w:val="center"/>
    </w:pPr>
    <w:rPr>
      <w:b/>
      <w:bCs/>
    </w:rPr>
  </w:style>
  <w:style w:type="paragraph" w:customStyle="1" w:styleId="651">
    <w:name w:val="1正文"/>
    <w:basedOn w:val="1"/>
    <w:qFormat/>
    <w:uiPriority w:val="0"/>
    <w:pPr>
      <w:widowControl/>
      <w:spacing w:line="360" w:lineRule="auto"/>
      <w:ind w:firstLine="200" w:firstLineChars="200"/>
    </w:pPr>
    <w:rPr>
      <w:kern w:val="0"/>
      <w:sz w:val="24"/>
      <w:szCs w:val="20"/>
      <w:lang w:val="en-GB"/>
    </w:rPr>
  </w:style>
  <w:style w:type="character" w:customStyle="1" w:styleId="652">
    <w:name w:val="doc_title"/>
    <w:qFormat/>
    <w:uiPriority w:val="0"/>
  </w:style>
  <w:style w:type="paragraph" w:customStyle="1" w:styleId="653">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54">
    <w:name w:val="表格内容 Char1"/>
    <w:qFormat/>
    <w:uiPriority w:val="0"/>
    <w:rPr>
      <w:kern w:val="20481"/>
      <w:sz w:val="21"/>
    </w:rPr>
  </w:style>
  <w:style w:type="table" w:customStyle="1" w:styleId="655">
    <w:name w:val="网格型6"/>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6">
    <w:name w:val="标题2"/>
    <w:qFormat/>
    <w:uiPriority w:val="0"/>
  </w:style>
  <w:style w:type="table" w:customStyle="1" w:styleId="657">
    <w:name w:val="表格主题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网格型-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9">
    <w:name w:val="网格型 5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0">
    <w:name w:val="典雅型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61">
    <w:name w:val="网格型 1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2">
    <w:name w:val="网格型4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3">
    <w:name w:val="左右无边框1"/>
    <w:basedOn w:val="63"/>
    <w:qFormat/>
    <w:uiPriority w:val="0"/>
    <w:pPr>
      <w:widowControl w:val="0"/>
      <w:jc w:val="both"/>
    </w:pPr>
    <w:tblPr>
      <w:tblBorders>
        <w:top w:val="single" w:color="auto" w:sz="12" w:space="0"/>
        <w:bottom w:val="single" w:color="auto" w:sz="12" w:space="0"/>
      </w:tblBorders>
    </w:tblPr>
  </w:style>
  <w:style w:type="table" w:customStyle="1" w:styleId="664">
    <w:name w:val="网格型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5">
    <w:name w:val="无左右边框型1"/>
    <w:basedOn w:val="62"/>
    <w:qFormat/>
    <w:uiPriority w:val="0"/>
    <w:pPr>
      <w:widowControl w:val="0"/>
      <w:jc w:val="both"/>
    </w:pPr>
  </w:style>
  <w:style w:type="table" w:customStyle="1" w:styleId="666">
    <w:name w:val="典雅型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7">
    <w:name w:val="左右无边表格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8">
    <w:name w:val="典雅型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9">
    <w:name w:val="网格型2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0">
    <w:name w:val="网格型1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1">
    <w:name w:val="网格型1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2">
    <w:name w:val="网格型1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3">
    <w:name w:val="网格型5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4">
    <w:name w:val="Char32"/>
    <w:basedOn w:val="1"/>
    <w:qFormat/>
    <w:uiPriority w:val="0"/>
    <w:rPr>
      <w:sz w:val="24"/>
    </w:rPr>
  </w:style>
  <w:style w:type="paragraph" w:customStyle="1" w:styleId="675">
    <w:name w:val="纯文本3"/>
    <w:basedOn w:val="1"/>
    <w:qFormat/>
    <w:uiPriority w:val="0"/>
    <w:pPr>
      <w:adjustRightInd w:val="0"/>
      <w:textAlignment w:val="baseline"/>
    </w:pPr>
    <w:rPr>
      <w:rFonts w:ascii="宋体" w:hAnsi="Courier New" w:eastAsia="仿宋_GB2312"/>
      <w:sz w:val="28"/>
      <w:szCs w:val="28"/>
    </w:rPr>
  </w:style>
  <w:style w:type="paragraph" w:customStyle="1" w:styleId="676">
    <w:name w:val="Char Char Char4"/>
    <w:basedOn w:val="1"/>
    <w:qFormat/>
    <w:uiPriority w:val="0"/>
    <w:pPr>
      <w:spacing w:line="360" w:lineRule="auto"/>
    </w:pPr>
    <w:rPr>
      <w:rFonts w:ascii="Tahoma" w:hAnsi="Tahoma"/>
      <w:sz w:val="24"/>
      <w:szCs w:val="20"/>
    </w:rPr>
  </w:style>
  <w:style w:type="paragraph" w:customStyle="1" w:styleId="677">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8">
    <w:name w:val="Char Char Char Char Char Char Char4"/>
    <w:basedOn w:val="1"/>
    <w:qFormat/>
    <w:uiPriority w:val="0"/>
    <w:rPr>
      <w:sz w:val="24"/>
    </w:rPr>
  </w:style>
  <w:style w:type="paragraph" w:customStyle="1" w:styleId="679">
    <w:name w:val="Char14"/>
    <w:basedOn w:val="1"/>
    <w:qFormat/>
    <w:uiPriority w:val="0"/>
    <w:pPr>
      <w:widowControl/>
      <w:spacing w:line="360" w:lineRule="auto"/>
      <w:ind w:firstLine="200" w:firstLineChars="200"/>
      <w:jc w:val="left"/>
    </w:pPr>
    <w:rPr>
      <w:kern w:val="0"/>
      <w:sz w:val="24"/>
      <w:szCs w:val="20"/>
    </w:rPr>
  </w:style>
  <w:style w:type="paragraph" w:customStyle="1" w:styleId="680">
    <w:name w:val="日期2"/>
    <w:basedOn w:val="1"/>
    <w:next w:val="1"/>
    <w:qFormat/>
    <w:uiPriority w:val="0"/>
    <w:pPr>
      <w:adjustRightInd w:val="0"/>
      <w:textAlignment w:val="baseline"/>
    </w:pPr>
    <w:rPr>
      <w:sz w:val="28"/>
      <w:szCs w:val="20"/>
    </w:rPr>
  </w:style>
  <w:style w:type="table" w:customStyle="1" w:styleId="681">
    <w:name w:val="网格型6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2">
    <w:name w:val="网格型7"/>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3">
    <w:name w:val="网格型8"/>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84">
    <w:name w:val="font01"/>
    <w:qFormat/>
    <w:uiPriority w:val="0"/>
    <w:rPr>
      <w:rFonts w:ascii="font-weight : 400" w:hAnsi="font-weight : 400" w:eastAsia="font-weight : 400" w:cs="font-weight : 400"/>
      <w:color w:val="000000"/>
      <w:sz w:val="22"/>
      <w:szCs w:val="22"/>
      <w:u w:val="none"/>
    </w:rPr>
  </w:style>
  <w:style w:type="table" w:customStyle="1" w:styleId="685">
    <w:name w:val="网格型9"/>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86">
    <w:name w:val="Pa17"/>
    <w:basedOn w:val="77"/>
    <w:next w:val="77"/>
    <w:qFormat/>
    <w:uiPriority w:val="99"/>
    <w:pPr>
      <w:spacing w:line="161" w:lineRule="atLeast"/>
    </w:pPr>
    <w:rPr>
      <w:rFonts w:ascii="黑体" w:eastAsia="黑体" w:cs="Times New Roman"/>
      <w:color w:val="auto"/>
    </w:rPr>
  </w:style>
  <w:style w:type="paragraph" w:customStyle="1" w:styleId="687">
    <w:name w:val="Pa29"/>
    <w:basedOn w:val="77"/>
    <w:next w:val="77"/>
    <w:qFormat/>
    <w:uiPriority w:val="99"/>
    <w:pPr>
      <w:spacing w:line="161" w:lineRule="atLeast"/>
    </w:pPr>
    <w:rPr>
      <w:rFonts w:ascii="黑体" w:eastAsia="黑体" w:cs="Times New Roman"/>
      <w:color w:val="auto"/>
    </w:rPr>
  </w:style>
  <w:style w:type="character" w:customStyle="1" w:styleId="688">
    <w:name w:val="A24"/>
    <w:qFormat/>
    <w:uiPriority w:val="99"/>
    <w:rPr>
      <w:rFonts w:ascii="Times New Roman"/>
      <w:i/>
      <w:iCs/>
      <w:color w:val="211D1E"/>
      <w:sz w:val="9"/>
      <w:szCs w:val="9"/>
    </w:rPr>
  </w:style>
  <w:style w:type="character" w:customStyle="1" w:styleId="689">
    <w:name w:val="A25"/>
    <w:qFormat/>
    <w:uiPriority w:val="99"/>
    <w:rPr>
      <w:rFonts w:ascii="FZShuSong-Z01" w:eastAsia="FZShuSong-Z01" w:cs="FZShuSong-Z01"/>
      <w:color w:val="211D1E"/>
      <w:sz w:val="20"/>
      <w:szCs w:val="20"/>
    </w:rPr>
  </w:style>
  <w:style w:type="character" w:customStyle="1" w:styleId="690">
    <w:name w:val="HTML 预设格式 字符"/>
    <w:qFormat/>
    <w:locked/>
    <w:uiPriority w:val="99"/>
    <w:rPr>
      <w:rFonts w:ascii="Arial" w:hAnsi="Arial" w:cs="Arial"/>
      <w:sz w:val="23"/>
      <w:szCs w:val="23"/>
    </w:rPr>
  </w:style>
  <w:style w:type="character" w:customStyle="1" w:styleId="691">
    <w:name w:val="标题 1 字符"/>
    <w:qFormat/>
    <w:uiPriority w:val="0"/>
    <w:rPr>
      <w:rFonts w:eastAsia="宋体"/>
      <w:b/>
      <w:bCs/>
      <w:kern w:val="2"/>
      <w:sz w:val="24"/>
      <w:szCs w:val="24"/>
      <w:lang w:val="en-US" w:eastAsia="zh-CN" w:bidi="ar-SA"/>
    </w:rPr>
  </w:style>
  <w:style w:type="character" w:customStyle="1" w:styleId="692">
    <w:name w:val="标题 3 字符"/>
    <w:qFormat/>
    <w:uiPriority w:val="0"/>
    <w:rPr>
      <w:rFonts w:eastAsia="宋体"/>
      <w:b/>
      <w:bCs/>
      <w:kern w:val="2"/>
      <w:sz w:val="32"/>
      <w:szCs w:val="32"/>
      <w:lang w:val="en-US" w:eastAsia="zh-CN" w:bidi="ar-SA"/>
    </w:rPr>
  </w:style>
  <w:style w:type="character" w:customStyle="1" w:styleId="693">
    <w:name w:val="标题 7 字符"/>
    <w:qFormat/>
    <w:locked/>
    <w:uiPriority w:val="0"/>
    <w:rPr>
      <w:rFonts w:eastAsia="仿宋_GB2312"/>
      <w:b/>
      <w:sz w:val="24"/>
      <w:szCs w:val="24"/>
    </w:rPr>
  </w:style>
  <w:style w:type="character" w:customStyle="1" w:styleId="694">
    <w:name w:val="尾注文本 字符"/>
    <w:qFormat/>
    <w:uiPriority w:val="99"/>
    <w:rPr>
      <w:sz w:val="21"/>
    </w:rPr>
  </w:style>
  <w:style w:type="character" w:customStyle="1" w:styleId="695">
    <w:name w:val="标题 8 字符"/>
    <w:qFormat/>
    <w:locked/>
    <w:uiPriority w:val="0"/>
    <w:rPr>
      <w:rFonts w:ascii="Arial" w:hAnsi="Arial" w:eastAsia="黑体"/>
      <w:bCs/>
      <w:sz w:val="24"/>
      <w:szCs w:val="24"/>
    </w:rPr>
  </w:style>
  <w:style w:type="character" w:customStyle="1" w:styleId="696">
    <w:name w:val="正文缩进 字符"/>
    <w:qFormat/>
    <w:uiPriority w:val="0"/>
    <w:rPr>
      <w:rFonts w:eastAsia="宋体"/>
      <w:kern w:val="2"/>
      <w:sz w:val="28"/>
      <w:szCs w:val="21"/>
      <w:lang w:val="en-US" w:eastAsia="zh-CN" w:bidi="ar-SA"/>
    </w:rPr>
  </w:style>
  <w:style w:type="character" w:customStyle="1" w:styleId="697">
    <w:name w:val="副标题 字符"/>
    <w:qFormat/>
    <w:uiPriority w:val="0"/>
    <w:rPr>
      <w:rFonts w:ascii="Cambria" w:hAnsi="Cambria" w:eastAsia="宋体"/>
      <w:sz w:val="21"/>
      <w:szCs w:val="24"/>
      <w:lang w:val="en-US" w:eastAsia="en-US" w:bidi="en-US"/>
    </w:rPr>
  </w:style>
  <w:style w:type="character" w:customStyle="1" w:styleId="698">
    <w:name w:val="正文文本 2 字符"/>
    <w:qFormat/>
    <w:locked/>
    <w:uiPriority w:val="99"/>
    <w:rPr>
      <w:rFonts w:eastAsia="宋体"/>
      <w:kern w:val="2"/>
      <w:sz w:val="24"/>
      <w:szCs w:val="24"/>
      <w:lang w:val="en-US" w:eastAsia="zh-CN" w:bidi="ar-SA"/>
    </w:rPr>
  </w:style>
  <w:style w:type="character" w:customStyle="1" w:styleId="699">
    <w:name w:val="正文文本缩进 2 字符"/>
    <w:qFormat/>
    <w:uiPriority w:val="0"/>
    <w:rPr>
      <w:rFonts w:eastAsia="宋体"/>
      <w:kern w:val="2"/>
      <w:sz w:val="21"/>
      <w:szCs w:val="24"/>
      <w:lang w:val="en-US" w:eastAsia="zh-CN" w:bidi="ar-SA"/>
    </w:rPr>
  </w:style>
  <w:style w:type="character" w:customStyle="1" w:styleId="700">
    <w:name w:val="z-窗体底端 字符"/>
    <w:qFormat/>
    <w:uiPriority w:val="0"/>
    <w:rPr>
      <w:rFonts w:ascii="Arial"/>
      <w:vanish/>
      <w:kern w:val="2"/>
      <w:sz w:val="16"/>
      <w:szCs w:val="24"/>
    </w:rPr>
  </w:style>
  <w:style w:type="character" w:customStyle="1" w:styleId="701">
    <w:name w:val="注释标题 字符"/>
    <w:qFormat/>
    <w:uiPriority w:val="0"/>
    <w:rPr>
      <w:rFonts w:ascii="宋体" w:eastAsia="宋体"/>
      <w:kern w:val="2"/>
      <w:sz w:val="21"/>
      <w:lang w:val="en-US" w:eastAsia="zh-CN" w:bidi="ar-SA"/>
    </w:rPr>
  </w:style>
  <w:style w:type="character" w:customStyle="1" w:styleId="702">
    <w:name w:val="标题 2 字符"/>
    <w:qFormat/>
    <w:uiPriority w:val="0"/>
    <w:rPr>
      <w:rFonts w:eastAsia="宋体"/>
      <w:b/>
      <w:bCs/>
      <w:kern w:val="2"/>
      <w:sz w:val="21"/>
      <w:szCs w:val="24"/>
      <w:lang w:val="en-US" w:eastAsia="zh-CN" w:bidi="ar-SA"/>
    </w:rPr>
  </w:style>
  <w:style w:type="character" w:customStyle="1" w:styleId="703">
    <w:name w:val="标题 字符"/>
    <w:qFormat/>
    <w:uiPriority w:val="0"/>
    <w:rPr>
      <w:rFonts w:ascii="Cambria" w:hAnsi="Cambria"/>
      <w:b/>
      <w:bCs/>
      <w:kern w:val="2"/>
      <w:sz w:val="32"/>
      <w:szCs w:val="32"/>
    </w:rPr>
  </w:style>
  <w:style w:type="character" w:customStyle="1" w:styleId="704">
    <w:name w:val="正文文本首行缩进 2 字符"/>
    <w:qFormat/>
    <w:locked/>
    <w:uiPriority w:val="0"/>
    <w:rPr>
      <w:rFonts w:eastAsia="宋体"/>
      <w:kern w:val="2"/>
      <w:sz w:val="21"/>
      <w:szCs w:val="24"/>
      <w:lang w:val="en-US" w:eastAsia="zh-CN" w:bidi="ar-SA"/>
    </w:rPr>
  </w:style>
  <w:style w:type="character" w:customStyle="1" w:styleId="705">
    <w:name w:val="标题 4 字符"/>
    <w:qFormat/>
    <w:locked/>
    <w:uiPriority w:val="0"/>
    <w:rPr>
      <w:rFonts w:ascii="Arial" w:hAnsi="Arial" w:eastAsia="黑体"/>
      <w:b/>
      <w:bCs/>
      <w:kern w:val="2"/>
      <w:sz w:val="28"/>
      <w:szCs w:val="28"/>
      <w:lang w:val="en-US" w:eastAsia="zh-CN" w:bidi="ar-SA"/>
    </w:rPr>
  </w:style>
  <w:style w:type="character" w:customStyle="1" w:styleId="706">
    <w:name w:val="标题 9 字符"/>
    <w:qFormat/>
    <w:locked/>
    <w:uiPriority w:val="0"/>
    <w:rPr>
      <w:rFonts w:ascii="Arial" w:hAnsi="Arial" w:eastAsia="黑体"/>
      <w:bCs/>
      <w:sz w:val="24"/>
      <w:szCs w:val="24"/>
    </w:rPr>
  </w:style>
  <w:style w:type="character" w:customStyle="1" w:styleId="707">
    <w:name w:val="文档结构图 字符"/>
    <w:qFormat/>
    <w:locked/>
    <w:uiPriority w:val="99"/>
    <w:rPr>
      <w:kern w:val="2"/>
      <w:sz w:val="21"/>
      <w:szCs w:val="24"/>
      <w:shd w:val="clear" w:color="auto" w:fill="000080"/>
    </w:rPr>
  </w:style>
  <w:style w:type="character" w:customStyle="1" w:styleId="708">
    <w:name w:val="正文文本缩进 3 字符"/>
    <w:qFormat/>
    <w:locked/>
    <w:uiPriority w:val="0"/>
    <w:rPr>
      <w:rFonts w:eastAsia="宋体"/>
      <w:kern w:val="2"/>
      <w:sz w:val="16"/>
      <w:szCs w:val="16"/>
      <w:lang w:val="en-US" w:eastAsia="zh-CN" w:bidi="ar-SA"/>
    </w:rPr>
  </w:style>
  <w:style w:type="character" w:customStyle="1" w:styleId="709">
    <w:name w:val="纯文本 字符"/>
    <w:qFormat/>
    <w:uiPriority w:val="0"/>
    <w:rPr>
      <w:rFonts w:ascii="宋体" w:hAnsi="Courier New" w:eastAsia="宋体" w:cs="Courier New"/>
      <w:kern w:val="2"/>
      <w:sz w:val="21"/>
      <w:szCs w:val="21"/>
      <w:lang w:val="en-US" w:eastAsia="zh-CN" w:bidi="ar-SA"/>
    </w:rPr>
  </w:style>
  <w:style w:type="character" w:customStyle="1" w:styleId="710">
    <w:name w:val="正文文本 3 字符"/>
    <w:qFormat/>
    <w:locked/>
    <w:uiPriority w:val="99"/>
    <w:rPr>
      <w:rFonts w:ascii="宋体" w:hAnsi="宋体" w:eastAsia="宋体"/>
      <w:kern w:val="2"/>
      <w:sz w:val="16"/>
      <w:szCs w:val="16"/>
      <w:lang w:val="en-US" w:eastAsia="zh-CN" w:bidi="ar-SA"/>
    </w:rPr>
  </w:style>
  <w:style w:type="character" w:customStyle="1" w:styleId="711">
    <w:name w:val="标题 6 字符"/>
    <w:qFormat/>
    <w:locked/>
    <w:uiPriority w:val="0"/>
    <w:rPr>
      <w:rFonts w:ascii="Arial" w:hAnsi="Arial" w:eastAsia="黑体"/>
      <w:b/>
      <w:sz w:val="24"/>
      <w:szCs w:val="24"/>
    </w:rPr>
  </w:style>
  <w:style w:type="character" w:customStyle="1" w:styleId="712">
    <w:name w:val="标题 5 字符"/>
    <w:qFormat/>
    <w:locked/>
    <w:uiPriority w:val="0"/>
    <w:rPr>
      <w:rFonts w:eastAsia="宋体"/>
      <w:b/>
      <w:bCs/>
      <w:kern w:val="2"/>
      <w:sz w:val="28"/>
      <w:szCs w:val="28"/>
      <w:lang w:val="en-US" w:eastAsia="zh-CN" w:bidi="ar-SA"/>
    </w:rPr>
  </w:style>
  <w:style w:type="character" w:customStyle="1" w:styleId="713">
    <w:name w:val="正文文本首行缩进 字符"/>
    <w:qFormat/>
    <w:locked/>
    <w:uiPriority w:val="99"/>
    <w:rPr>
      <w:kern w:val="2"/>
      <w:sz w:val="21"/>
      <w:szCs w:val="24"/>
    </w:rPr>
  </w:style>
  <w:style w:type="character" w:customStyle="1" w:styleId="714">
    <w:name w:val="z-窗体顶端 字符"/>
    <w:qFormat/>
    <w:uiPriority w:val="0"/>
    <w:rPr>
      <w:rFonts w:ascii="Arial"/>
      <w:vanish/>
      <w:kern w:val="2"/>
      <w:sz w:val="16"/>
      <w:szCs w:val="24"/>
    </w:rPr>
  </w:style>
  <w:style w:type="table" w:customStyle="1" w:styleId="715">
    <w:name w:val="网格型 11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6">
    <w:name w:val="典雅型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7">
    <w:name w:val="网格型 51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8">
    <w:name w:val="典雅型2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9">
    <w:name w:val="典雅型1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20">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21">
    <w:name w:val="标题 5 字符1"/>
    <w:qFormat/>
    <w:locked/>
    <w:uiPriority w:val="0"/>
    <w:rPr>
      <w:rFonts w:eastAsia="宋体"/>
      <w:b/>
      <w:bCs/>
      <w:kern w:val="2"/>
      <w:sz w:val="28"/>
      <w:szCs w:val="28"/>
      <w:lang w:val="en-US" w:eastAsia="zh-CN" w:bidi="ar-SA"/>
    </w:rPr>
  </w:style>
  <w:style w:type="character" w:customStyle="1" w:styleId="722">
    <w:name w:val="纯文本 字符1"/>
    <w:qFormat/>
    <w:uiPriority w:val="0"/>
    <w:rPr>
      <w:rFonts w:ascii="宋体" w:hAnsi="Courier New" w:eastAsia="宋体" w:cs="Courier New"/>
      <w:kern w:val="2"/>
      <w:sz w:val="21"/>
      <w:szCs w:val="21"/>
      <w:lang w:val="en-US" w:eastAsia="zh-CN" w:bidi="ar-SA"/>
    </w:rPr>
  </w:style>
  <w:style w:type="table" w:customStyle="1" w:styleId="723">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24">
    <w:name w:val="font141"/>
    <w:qFormat/>
    <w:uiPriority w:val="0"/>
    <w:rPr>
      <w:rFonts w:hint="default" w:ascii="Times New Roman" w:hAnsi="Times New Roman" w:cs="Times New Roman"/>
      <w:b/>
      <w:color w:val="000000"/>
      <w:sz w:val="21"/>
      <w:szCs w:val="21"/>
      <w:u w:val="none"/>
    </w:rPr>
  </w:style>
  <w:style w:type="character" w:customStyle="1" w:styleId="725">
    <w:name w:val="font91"/>
    <w:qFormat/>
    <w:uiPriority w:val="0"/>
    <w:rPr>
      <w:rFonts w:hint="eastAsia" w:ascii="宋体" w:hAnsi="宋体" w:eastAsia="宋体" w:cs="宋体"/>
      <w:color w:val="000000"/>
      <w:sz w:val="18"/>
      <w:szCs w:val="18"/>
      <w:u w:val="none"/>
    </w:rPr>
  </w:style>
  <w:style w:type="character" w:customStyle="1" w:styleId="726">
    <w:name w:val="font31"/>
    <w:qFormat/>
    <w:uiPriority w:val="0"/>
    <w:rPr>
      <w:rFonts w:hint="eastAsia" w:ascii="宋体" w:hAnsi="宋体" w:eastAsia="宋体" w:cs="宋体"/>
      <w:color w:val="000000"/>
      <w:sz w:val="21"/>
      <w:szCs w:val="21"/>
      <w:u w:val="none"/>
    </w:rPr>
  </w:style>
  <w:style w:type="character" w:customStyle="1" w:styleId="727">
    <w:name w:val="标题 1 Char Char"/>
    <w:qFormat/>
    <w:uiPriority w:val="0"/>
    <w:rPr>
      <w:rFonts w:eastAsia="宋体"/>
      <w:b/>
      <w:bCs/>
      <w:kern w:val="44"/>
      <w:sz w:val="44"/>
      <w:szCs w:val="44"/>
      <w:lang w:val="en-US" w:eastAsia="zh-CN" w:bidi="ar-SA"/>
    </w:rPr>
  </w:style>
  <w:style w:type="character" w:customStyle="1" w:styleId="728">
    <w:name w:val="font21"/>
    <w:qFormat/>
    <w:uiPriority w:val="0"/>
    <w:rPr>
      <w:rFonts w:hint="default" w:ascii="Times New Roman" w:hAnsi="Times New Roman" w:cs="Times New Roman"/>
      <w:color w:val="000000"/>
      <w:sz w:val="21"/>
      <w:szCs w:val="21"/>
      <w:u w:val="none"/>
      <w:vertAlign w:val="superscript"/>
    </w:rPr>
  </w:style>
  <w:style w:type="character" w:customStyle="1" w:styleId="729">
    <w:name w:val="font71"/>
    <w:qFormat/>
    <w:uiPriority w:val="0"/>
    <w:rPr>
      <w:rFonts w:hint="default" w:ascii="Times New Roman" w:hAnsi="Times New Roman" w:cs="Times New Roman"/>
      <w:color w:val="000000"/>
      <w:sz w:val="21"/>
      <w:szCs w:val="21"/>
      <w:u w:val="none"/>
      <w:vertAlign w:val="subscript"/>
    </w:rPr>
  </w:style>
  <w:style w:type="character" w:customStyle="1" w:styleId="730">
    <w:name w:val="font41"/>
    <w:qFormat/>
    <w:uiPriority w:val="0"/>
    <w:rPr>
      <w:rFonts w:hint="eastAsia" w:ascii="宋体" w:hAnsi="宋体" w:eastAsia="宋体" w:cs="宋体"/>
      <w:color w:val="000000"/>
      <w:sz w:val="18"/>
      <w:szCs w:val="18"/>
      <w:u w:val="none"/>
    </w:rPr>
  </w:style>
  <w:style w:type="character" w:customStyle="1" w:styleId="731">
    <w:name w:val="font51"/>
    <w:qFormat/>
    <w:uiPriority w:val="0"/>
    <w:rPr>
      <w:rFonts w:hint="default" w:ascii="Times New Roman" w:hAnsi="Times New Roman" w:cs="Times New Roman"/>
      <w:color w:val="000000"/>
      <w:sz w:val="21"/>
      <w:szCs w:val="21"/>
      <w:u w:val="none"/>
    </w:rPr>
  </w:style>
  <w:style w:type="character" w:customStyle="1" w:styleId="732">
    <w:name w:val="font101"/>
    <w:qFormat/>
    <w:uiPriority w:val="0"/>
    <w:rPr>
      <w:rFonts w:hint="default" w:ascii="Times New Roman" w:hAnsi="Times New Roman" w:cs="Times New Roman"/>
      <w:color w:val="000000"/>
      <w:sz w:val="18"/>
      <w:szCs w:val="18"/>
      <w:u w:val="none"/>
    </w:rPr>
  </w:style>
  <w:style w:type="character" w:customStyle="1" w:styleId="733">
    <w:name w:val="font131"/>
    <w:qFormat/>
    <w:uiPriority w:val="0"/>
    <w:rPr>
      <w:rFonts w:hint="eastAsia" w:ascii="宋体" w:hAnsi="宋体" w:eastAsia="宋体" w:cs="宋体"/>
      <w:b/>
      <w:color w:val="000000"/>
      <w:sz w:val="21"/>
      <w:szCs w:val="21"/>
      <w:u w:val="none"/>
    </w:rPr>
  </w:style>
  <w:style w:type="character" w:customStyle="1" w:styleId="734">
    <w:name w:val="2号标题 Char Char"/>
    <w:qFormat/>
    <w:uiPriority w:val="0"/>
    <w:rPr>
      <w:rFonts w:ascii="Arial" w:hAnsi="Arial" w:eastAsia="宋体"/>
      <w:b/>
      <w:bCs/>
      <w:kern w:val="2"/>
      <w:sz w:val="28"/>
      <w:szCs w:val="32"/>
      <w:lang w:val="en-US" w:eastAsia="zh-CN" w:bidi="ar-SA"/>
    </w:rPr>
  </w:style>
  <w:style w:type="character" w:customStyle="1" w:styleId="735">
    <w:name w:val="标题 3 Char Char Char Char Char Char"/>
    <w:qFormat/>
    <w:uiPriority w:val="0"/>
    <w:rPr>
      <w:rFonts w:eastAsia="宋体"/>
      <w:b/>
      <w:bCs/>
      <w:kern w:val="2"/>
      <w:sz w:val="32"/>
      <w:szCs w:val="32"/>
      <w:lang w:val="en-US" w:eastAsia="zh-CN" w:bidi="ar-SA"/>
    </w:rPr>
  </w:style>
  <w:style w:type="character" w:customStyle="1" w:styleId="736">
    <w:name w:val="font121"/>
    <w:qFormat/>
    <w:uiPriority w:val="0"/>
    <w:rPr>
      <w:rFonts w:hint="eastAsia" w:ascii="宋体" w:hAnsi="宋体" w:eastAsia="宋体" w:cs="宋体"/>
      <w:color w:val="000000"/>
      <w:sz w:val="21"/>
      <w:szCs w:val="21"/>
      <w:u w:val="none"/>
    </w:rPr>
  </w:style>
  <w:style w:type="character" w:customStyle="1" w:styleId="737">
    <w:name w:val="font11"/>
    <w:qFormat/>
    <w:uiPriority w:val="0"/>
    <w:rPr>
      <w:rFonts w:hint="default" w:ascii="Times New Roman" w:hAnsi="Times New Roman" w:cs="Times New Roman"/>
      <w:color w:val="000000"/>
      <w:sz w:val="21"/>
      <w:szCs w:val="21"/>
      <w:u w:val="none"/>
      <w:vertAlign w:val="subscript"/>
    </w:rPr>
  </w:style>
  <w:style w:type="paragraph" w:customStyle="1" w:styleId="738">
    <w:name w:val="WPSOffice手动目录 1"/>
    <w:qFormat/>
    <w:uiPriority w:val="0"/>
    <w:rPr>
      <w:rFonts w:ascii="Times New Roman" w:hAnsi="Times New Roman" w:eastAsia="宋体" w:cs="Times New Roman"/>
      <w:lang w:val="en-US" w:eastAsia="zh-CN" w:bidi="ar-SA"/>
    </w:rPr>
  </w:style>
  <w:style w:type="paragraph" w:customStyle="1" w:styleId="739">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40">
    <w:name w:val="正文 首行缩进:  2 字符"/>
    <w:basedOn w:val="1"/>
    <w:qFormat/>
    <w:uiPriority w:val="0"/>
    <w:pPr>
      <w:ind w:firstLine="579" w:firstLineChars="200"/>
    </w:pPr>
    <w:rPr>
      <w:rFonts w:cs="宋体"/>
      <w:szCs w:val="20"/>
    </w:rPr>
  </w:style>
  <w:style w:type="paragraph" w:customStyle="1" w:styleId="741">
    <w:name w:val="默认 A"/>
    <w:qFormat/>
    <w:uiPriority w:val="0"/>
    <w:rPr>
      <w:rFonts w:ascii="Helvetica" w:hAnsi="Helvetica" w:eastAsia="Arial Unicode MS" w:cs="Arial Unicode MS"/>
      <w:color w:val="000000"/>
      <w:sz w:val="22"/>
      <w:szCs w:val="22"/>
      <w:lang w:val="en-US" w:eastAsia="zh-CN" w:bidi="ar-SA"/>
    </w:rPr>
  </w:style>
  <w:style w:type="paragraph" w:customStyle="1" w:styleId="742">
    <w:name w:val="正文王"/>
    <w:basedOn w:val="34"/>
    <w:qFormat/>
    <w:uiPriority w:val="0"/>
    <w:pPr>
      <w:spacing w:line="440" w:lineRule="exact"/>
    </w:pPr>
    <w:rPr>
      <w:rFonts w:ascii="Arial" w:hAnsi="Arial"/>
      <w:sz w:val="24"/>
    </w:rPr>
  </w:style>
  <w:style w:type="paragraph" w:customStyle="1" w:styleId="743">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44">
    <w:name w:val="一级目录 1"/>
    <w:basedOn w:val="1"/>
    <w:qFormat/>
    <w:uiPriority w:val="0"/>
    <w:pPr>
      <w:jc w:val="center"/>
    </w:pPr>
    <w:rPr>
      <w:rFonts w:eastAsia="黑体"/>
      <w:b/>
      <w:sz w:val="36"/>
      <w:szCs w:val="36"/>
    </w:rPr>
  </w:style>
  <w:style w:type="paragraph" w:customStyle="1" w:styleId="745">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6">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7">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8">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9">
    <w:name w:val="33333333"/>
    <w:basedOn w:val="1"/>
    <w:qFormat/>
    <w:uiPriority w:val="0"/>
    <w:pPr>
      <w:spacing w:line="500" w:lineRule="exact"/>
    </w:pPr>
    <w:rPr>
      <w:sz w:val="28"/>
      <w:szCs w:val="28"/>
    </w:rPr>
  </w:style>
  <w:style w:type="paragraph" w:customStyle="1" w:styleId="750">
    <w:name w:val="表内格式"/>
    <w:basedOn w:val="1"/>
    <w:qFormat/>
    <w:uiPriority w:val="0"/>
    <w:pPr>
      <w:jc w:val="center"/>
    </w:pPr>
    <w:rPr>
      <w:sz w:val="18"/>
    </w:rPr>
  </w:style>
  <w:style w:type="paragraph" w:customStyle="1" w:styleId="751">
    <w:name w:val="_Style 158"/>
    <w:basedOn w:val="1"/>
    <w:next w:val="1"/>
    <w:qFormat/>
    <w:uiPriority w:val="0"/>
    <w:rPr>
      <w:sz w:val="24"/>
    </w:rPr>
  </w:style>
  <w:style w:type="paragraph" w:customStyle="1" w:styleId="752">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5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54">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5">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6">
    <w:name w:val="1级标题"/>
    <w:basedOn w:val="2"/>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7">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8">
    <w:name w:val="表内小410"/>
    <w:basedOn w:val="1"/>
    <w:qFormat/>
    <w:uiPriority w:val="0"/>
    <w:pPr>
      <w:adjustRightInd w:val="0"/>
      <w:snapToGrid w:val="0"/>
      <w:ind w:left="240" w:hanging="240"/>
    </w:pPr>
    <w:rPr>
      <w:rFonts w:ascii="宋体" w:hAnsi="Times"/>
      <w:sz w:val="24"/>
      <w:szCs w:val="20"/>
    </w:rPr>
  </w:style>
  <w:style w:type="paragraph" w:customStyle="1" w:styleId="759">
    <w:name w:val="表头样式1"/>
    <w:basedOn w:val="1"/>
    <w:qFormat/>
    <w:uiPriority w:val="0"/>
    <w:pPr>
      <w:spacing w:before="156" w:beforeLines="50"/>
      <w:jc w:val="center"/>
    </w:pPr>
    <w:rPr>
      <w:rFonts w:eastAsia="黑体"/>
      <w:b/>
      <w:kern w:val="0"/>
      <w:sz w:val="24"/>
      <w:szCs w:val="20"/>
    </w:rPr>
  </w:style>
  <w:style w:type="paragraph" w:customStyle="1" w:styleId="760">
    <w:name w:val="3级标题"/>
    <w:basedOn w:val="4"/>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61">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62">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63">
    <w:name w:val="标题3"/>
    <w:qFormat/>
    <w:uiPriority w:val="0"/>
  </w:style>
  <w:style w:type="table" w:customStyle="1" w:styleId="764">
    <w:name w:val="表格主题3"/>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网格型-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6">
    <w:name w:val="网格型 5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7">
    <w:name w:val="典雅型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8">
    <w:name w:val="网格型 13"/>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9">
    <w:name w:val="网格型4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0">
    <w:name w:val="左右无边框2"/>
    <w:basedOn w:val="63"/>
    <w:qFormat/>
    <w:uiPriority w:val="0"/>
    <w:pPr>
      <w:widowControl w:val="0"/>
      <w:jc w:val="both"/>
    </w:pPr>
    <w:tblPr>
      <w:tblBorders>
        <w:top w:val="single" w:color="auto" w:sz="12" w:space="0"/>
        <w:bottom w:val="single" w:color="auto" w:sz="12" w:space="0"/>
      </w:tblBorders>
    </w:tblPr>
  </w:style>
  <w:style w:type="table" w:customStyle="1" w:styleId="771">
    <w:name w:val="网格型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2">
    <w:name w:val="无左右边框型2"/>
    <w:basedOn w:val="62"/>
    <w:qFormat/>
    <w:uiPriority w:val="0"/>
    <w:pPr>
      <w:widowControl w:val="0"/>
      <w:jc w:val="both"/>
    </w:pPr>
  </w:style>
  <w:style w:type="table" w:customStyle="1" w:styleId="773">
    <w:name w:val="典雅型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4">
    <w:name w:val="左右无边表格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75">
    <w:name w:val="典雅型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6">
    <w:name w:val="网格型2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7">
    <w:name w:val="网格型1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8">
    <w:name w:val="网格型1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9">
    <w:name w:val="网格型1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0">
    <w:name w:val="网格型5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81">
    <w:name w:val="Char31"/>
    <w:basedOn w:val="1"/>
    <w:qFormat/>
    <w:uiPriority w:val="0"/>
    <w:rPr>
      <w:sz w:val="24"/>
    </w:rPr>
  </w:style>
  <w:style w:type="paragraph" w:customStyle="1" w:styleId="782">
    <w:name w:val="纯文本4"/>
    <w:basedOn w:val="1"/>
    <w:qFormat/>
    <w:uiPriority w:val="0"/>
    <w:pPr>
      <w:adjustRightInd w:val="0"/>
      <w:textAlignment w:val="baseline"/>
    </w:pPr>
    <w:rPr>
      <w:rFonts w:ascii="宋体" w:hAnsi="Courier New" w:eastAsia="仿宋_GB2312"/>
      <w:sz w:val="28"/>
      <w:szCs w:val="28"/>
    </w:rPr>
  </w:style>
  <w:style w:type="paragraph" w:customStyle="1" w:styleId="783">
    <w:name w:val="Char Char Char3"/>
    <w:basedOn w:val="1"/>
    <w:qFormat/>
    <w:uiPriority w:val="0"/>
    <w:pPr>
      <w:spacing w:line="360" w:lineRule="auto"/>
    </w:pPr>
    <w:rPr>
      <w:rFonts w:ascii="Tahoma" w:hAnsi="Tahoma"/>
      <w:sz w:val="24"/>
      <w:szCs w:val="20"/>
    </w:rPr>
  </w:style>
  <w:style w:type="paragraph" w:customStyle="1" w:styleId="784">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85">
    <w:name w:val="Char Char Char Char Char Char Char3"/>
    <w:basedOn w:val="1"/>
    <w:qFormat/>
    <w:uiPriority w:val="0"/>
    <w:rPr>
      <w:sz w:val="24"/>
    </w:rPr>
  </w:style>
  <w:style w:type="paragraph" w:customStyle="1" w:styleId="786">
    <w:name w:val="Char13"/>
    <w:basedOn w:val="1"/>
    <w:qFormat/>
    <w:uiPriority w:val="0"/>
    <w:pPr>
      <w:widowControl/>
      <w:spacing w:line="360" w:lineRule="auto"/>
      <w:ind w:firstLine="200" w:firstLineChars="200"/>
      <w:jc w:val="left"/>
    </w:pPr>
    <w:rPr>
      <w:kern w:val="0"/>
      <w:sz w:val="24"/>
      <w:szCs w:val="20"/>
    </w:rPr>
  </w:style>
  <w:style w:type="paragraph" w:customStyle="1" w:styleId="787">
    <w:name w:val="日期3"/>
    <w:basedOn w:val="1"/>
    <w:next w:val="1"/>
    <w:qFormat/>
    <w:uiPriority w:val="0"/>
    <w:pPr>
      <w:adjustRightInd w:val="0"/>
      <w:textAlignment w:val="baseline"/>
    </w:pPr>
    <w:rPr>
      <w:sz w:val="28"/>
      <w:szCs w:val="20"/>
    </w:rPr>
  </w:style>
  <w:style w:type="table" w:customStyle="1" w:styleId="788">
    <w:name w:val="网格型6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9">
    <w:name w:val="网格型7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0">
    <w:name w:val="网格型81"/>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1">
    <w:name w:val="网格型91"/>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2">
    <w:name w:val="网格型 11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3">
    <w:name w:val="典雅型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4">
    <w:name w:val="网格型 51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5">
    <w:name w:val="典雅型2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典雅型1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7">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8">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9">
    <w:name w:val="表格主题4"/>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网格型-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1">
    <w:name w:val="网格型 53"/>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2">
    <w:name w:val="典雅型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03">
    <w:name w:val="网格型 14"/>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4">
    <w:name w:val="网格型4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左右无边框3"/>
    <w:basedOn w:val="63"/>
    <w:qFormat/>
    <w:uiPriority w:val="0"/>
    <w:pPr>
      <w:widowControl w:val="0"/>
      <w:jc w:val="both"/>
    </w:pPr>
    <w:tblPr>
      <w:tblBorders>
        <w:top w:val="single" w:color="auto" w:sz="12" w:space="0"/>
        <w:bottom w:val="single" w:color="auto" w:sz="12" w:space="0"/>
      </w:tblBorders>
    </w:tblPr>
  </w:style>
  <w:style w:type="table" w:customStyle="1" w:styleId="806">
    <w:name w:val="网格型3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7">
    <w:name w:val="无左右边框型3"/>
    <w:basedOn w:val="62"/>
    <w:qFormat/>
    <w:uiPriority w:val="0"/>
    <w:pPr>
      <w:widowControl w:val="0"/>
      <w:jc w:val="both"/>
    </w:pPr>
  </w:style>
  <w:style w:type="table" w:customStyle="1" w:styleId="808">
    <w:name w:val="典雅型2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9">
    <w:name w:val="左右无边表格3"/>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10">
    <w:name w:val="典雅型1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1">
    <w:name w:val="网格型23"/>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2">
    <w:name w:val="网格型11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12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4">
    <w:name w:val="网格型13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5">
    <w:name w:val="网格型53"/>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6">
    <w:name w:val="网格型63"/>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7">
    <w:name w:val="网格型7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8">
    <w:name w:val="网格型82"/>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9">
    <w:name w:val="网格型92"/>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20">
    <w:name w:val="网格型 113"/>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1">
    <w:name w:val="典雅型3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2">
    <w:name w:val="网格型 513"/>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3">
    <w:name w:val="典雅型21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4">
    <w:name w:val="典雅型11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5">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6">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7">
    <w:name w:val="TOC 标题3"/>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8">
    <w:name w:val="网格型 15"/>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9">
    <w:name w:val="网格型-5"/>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0">
    <w:name w:val="表格主题5"/>
    <w:basedOn w:val="6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ylf1"/>
    <w:basedOn w:val="63"/>
    <w:qFormat/>
    <w:uiPriority w:val="99"/>
    <w:pPr>
      <w:widowControl w:val="0"/>
      <w:jc w:val="center"/>
    </w:pPr>
    <w:rPr>
      <w:sz w:val="21"/>
      <w:szCs w:val="21"/>
    </w:rPr>
    <w:tblPr>
      <w:tblBorders>
        <w:top w:val="single" w:color="auto" w:sz="12" w:space="0"/>
        <w:bottom w:val="single" w:color="auto" w:sz="12" w:space="0"/>
      </w:tblBorders>
    </w:tblPr>
  </w:style>
  <w:style w:type="table" w:customStyle="1" w:styleId="832">
    <w:name w:val="表格主题1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网格型-1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4">
    <w:name w:val="网格型 54"/>
    <w:basedOn w:val="61"/>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5">
    <w:name w:val="典雅型6"/>
    <w:basedOn w:val="61"/>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6">
    <w:name w:val="网格型 114"/>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7">
    <w:name w:val="网格型4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8">
    <w:name w:val="左右无边框4"/>
    <w:basedOn w:val="63"/>
    <w:qFormat/>
    <w:uiPriority w:val="0"/>
    <w:pPr>
      <w:widowControl w:val="0"/>
      <w:jc w:val="both"/>
    </w:pPr>
    <w:tblPr>
      <w:tblBorders>
        <w:top w:val="single" w:color="auto" w:sz="12" w:space="0"/>
        <w:bottom w:val="single" w:color="auto" w:sz="12" w:space="0"/>
      </w:tblBorders>
    </w:tblPr>
  </w:style>
  <w:style w:type="table" w:customStyle="1" w:styleId="839">
    <w:name w:val="网格型3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0">
    <w:name w:val="无左右边框型4"/>
    <w:basedOn w:val="62"/>
    <w:qFormat/>
    <w:uiPriority w:val="0"/>
    <w:pPr>
      <w:widowControl w:val="0"/>
      <w:jc w:val="both"/>
    </w:pPr>
  </w:style>
  <w:style w:type="table" w:customStyle="1" w:styleId="841">
    <w:name w:val="典雅型2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2">
    <w:name w:val="左右无边表格4"/>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43">
    <w:name w:val="典雅型1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4">
    <w:name w:val="网格型24"/>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5">
    <w:name w:val="网格型114"/>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6">
    <w:name w:val="网格型124"/>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7">
    <w:name w:val="网格型134"/>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8">
    <w:name w:val="网格型54"/>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网格型64"/>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0">
    <w:name w:val="表格主题2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网格型-2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2">
    <w:name w:val="网格型 514"/>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3">
    <w:name w:val="典雅型3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54">
    <w:name w:val="网格型 12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5">
    <w:name w:val="网格型41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6">
    <w:name w:val="左右无边框11"/>
    <w:basedOn w:val="63"/>
    <w:qFormat/>
    <w:uiPriority w:val="0"/>
    <w:pPr>
      <w:widowControl w:val="0"/>
      <w:jc w:val="both"/>
    </w:pPr>
    <w:tblPr>
      <w:tblBorders>
        <w:top w:val="single" w:color="auto" w:sz="12" w:space="0"/>
        <w:bottom w:val="single" w:color="auto" w:sz="12" w:space="0"/>
      </w:tblBorders>
    </w:tblPr>
  </w:style>
  <w:style w:type="table" w:customStyle="1" w:styleId="857">
    <w:name w:val="网格型31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8">
    <w:name w:val="无左右边框型11"/>
    <w:basedOn w:val="62"/>
    <w:qFormat/>
    <w:uiPriority w:val="0"/>
    <w:pPr>
      <w:widowControl w:val="0"/>
      <w:jc w:val="both"/>
    </w:pPr>
  </w:style>
  <w:style w:type="table" w:customStyle="1" w:styleId="859">
    <w:name w:val="典雅型21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0">
    <w:name w:val="左右无边表格1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61">
    <w:name w:val="典雅型11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2">
    <w:name w:val="网格型21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3">
    <w:name w:val="网格型11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12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5">
    <w:name w:val="网格型13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6">
    <w:name w:val="网格型51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7">
    <w:name w:val="网格型61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8">
    <w:name w:val="网格型73"/>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9">
    <w:name w:val="网格型83"/>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0">
    <w:name w:val="网格型93"/>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1">
    <w:name w:val="网格型 111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2">
    <w:name w:val="典雅型3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3">
    <w:name w:val="网格型 511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4">
    <w:name w:val="典雅型21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典雅型11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6">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7">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8">
    <w:name w:val="表格主题3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网格型-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0">
    <w:name w:val="网格型 52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1">
    <w:name w:val="典雅型4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82">
    <w:name w:val="网格型 13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3">
    <w:name w:val="网格型42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4">
    <w:name w:val="左右无边框21"/>
    <w:basedOn w:val="63"/>
    <w:qFormat/>
    <w:uiPriority w:val="0"/>
    <w:pPr>
      <w:widowControl w:val="0"/>
      <w:jc w:val="both"/>
    </w:pPr>
    <w:tblPr>
      <w:tblBorders>
        <w:top w:val="single" w:color="auto" w:sz="12" w:space="0"/>
        <w:bottom w:val="single" w:color="auto" w:sz="12" w:space="0"/>
      </w:tblBorders>
    </w:tblPr>
  </w:style>
  <w:style w:type="table" w:customStyle="1" w:styleId="885">
    <w:name w:val="网格型32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6">
    <w:name w:val="无左右边框型21"/>
    <w:basedOn w:val="62"/>
    <w:qFormat/>
    <w:uiPriority w:val="0"/>
    <w:pPr>
      <w:widowControl w:val="0"/>
      <w:jc w:val="both"/>
    </w:pPr>
  </w:style>
  <w:style w:type="table" w:customStyle="1" w:styleId="887">
    <w:name w:val="典雅型2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8">
    <w:name w:val="左右无边表格2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9">
    <w:name w:val="典雅型1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0">
    <w:name w:val="网格型22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1">
    <w:name w:val="网格型11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12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3">
    <w:name w:val="网格型13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4">
    <w:name w:val="网格型52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5">
    <w:name w:val="网格型62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6">
    <w:name w:val="网格型71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7">
    <w:name w:val="网格型811"/>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8">
    <w:name w:val="网格型911"/>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9">
    <w:name w:val="网格型 112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0">
    <w:name w:val="典雅型3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1">
    <w:name w:val="网格型 512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2">
    <w:name w:val="典雅型21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典雅型11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4">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5">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6">
    <w:name w:val="表格主题4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网格型-4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8">
    <w:name w:val="网格型 53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9">
    <w:name w:val="典雅型5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10">
    <w:name w:val="网格型 14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11">
    <w:name w:val="网格型4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2">
    <w:name w:val="左右无边框31"/>
    <w:basedOn w:val="63"/>
    <w:qFormat/>
    <w:uiPriority w:val="0"/>
    <w:pPr>
      <w:widowControl w:val="0"/>
      <w:jc w:val="both"/>
    </w:pPr>
    <w:tblPr>
      <w:tblBorders>
        <w:top w:val="single" w:color="auto" w:sz="12" w:space="0"/>
        <w:bottom w:val="single" w:color="auto" w:sz="12" w:space="0"/>
      </w:tblBorders>
    </w:tblPr>
  </w:style>
  <w:style w:type="table" w:customStyle="1" w:styleId="913">
    <w:name w:val="网格型3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4">
    <w:name w:val="无左右边框型31"/>
    <w:basedOn w:val="62"/>
    <w:qFormat/>
    <w:uiPriority w:val="0"/>
    <w:pPr>
      <w:widowControl w:val="0"/>
      <w:jc w:val="both"/>
    </w:pPr>
  </w:style>
  <w:style w:type="table" w:customStyle="1" w:styleId="915">
    <w:name w:val="典雅型2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6">
    <w:name w:val="左右无边表格3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7">
    <w:name w:val="典雅型1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8">
    <w:name w:val="网格型23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9">
    <w:name w:val="网格型11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12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1">
    <w:name w:val="网格型13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2">
    <w:name w:val="网格型53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3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72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821"/>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6">
    <w:name w:val="网格型921"/>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7">
    <w:name w:val="网格型 113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8">
    <w:name w:val="典雅型3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9">
    <w:name w:val="网格型 513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0">
    <w:name w:val="典雅型21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1">
    <w:name w:val="典雅型11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2">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33">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34">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35">
    <w:name w:val="网格型 16"/>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6">
    <w:name w:val="网格型-6"/>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7">
    <w:name w:val="表格主题6"/>
    <w:basedOn w:val="6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ylf2"/>
    <w:basedOn w:val="63"/>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9">
    <w:name w:val="表格主题1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网格型-1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1">
    <w:name w:val="网格型 55"/>
    <w:basedOn w:val="61"/>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2">
    <w:name w:val="典雅型7"/>
    <w:basedOn w:val="61"/>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43">
    <w:name w:val="网格型 115"/>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4">
    <w:name w:val="网格型45"/>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5">
    <w:name w:val="左右无边框5"/>
    <w:basedOn w:val="63"/>
    <w:qFormat/>
    <w:uiPriority w:val="0"/>
    <w:pPr>
      <w:widowControl w:val="0"/>
      <w:jc w:val="both"/>
    </w:pPr>
    <w:tblPr>
      <w:tblBorders>
        <w:top w:val="single" w:color="auto" w:sz="12" w:space="0"/>
        <w:bottom w:val="single" w:color="auto" w:sz="12" w:space="0"/>
      </w:tblBorders>
    </w:tblPr>
  </w:style>
  <w:style w:type="table" w:customStyle="1" w:styleId="946">
    <w:name w:val="网格型35"/>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7">
    <w:name w:val="无左右边框型5"/>
    <w:basedOn w:val="62"/>
    <w:qFormat/>
    <w:uiPriority w:val="0"/>
    <w:pPr>
      <w:widowControl w:val="0"/>
      <w:jc w:val="both"/>
    </w:pPr>
  </w:style>
  <w:style w:type="table" w:customStyle="1" w:styleId="948">
    <w:name w:val="典雅型2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9">
    <w:name w:val="左右无边表格5"/>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50">
    <w:name w:val="典雅型1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51">
    <w:name w:val="网格型25"/>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2">
    <w:name w:val="网格型115"/>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3">
    <w:name w:val="网格型125"/>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4">
    <w:name w:val="网格型135"/>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5">
    <w:name w:val="网格型55"/>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网格型65"/>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7">
    <w:name w:val="表格主题2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网格型-2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9">
    <w:name w:val="网格型 515"/>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0">
    <w:name w:val="典雅型3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61">
    <w:name w:val="网格型 12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2">
    <w:name w:val="网格型41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3">
    <w:name w:val="左右无边框12"/>
    <w:basedOn w:val="63"/>
    <w:qFormat/>
    <w:uiPriority w:val="0"/>
    <w:pPr>
      <w:widowControl w:val="0"/>
      <w:jc w:val="both"/>
    </w:pPr>
    <w:tblPr>
      <w:tblBorders>
        <w:top w:val="single" w:color="auto" w:sz="12" w:space="0"/>
        <w:bottom w:val="single" w:color="auto" w:sz="12" w:space="0"/>
      </w:tblBorders>
    </w:tblPr>
  </w:style>
  <w:style w:type="table" w:customStyle="1" w:styleId="964">
    <w:name w:val="网格型31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5">
    <w:name w:val="无左右边框型12"/>
    <w:basedOn w:val="62"/>
    <w:qFormat/>
    <w:uiPriority w:val="0"/>
    <w:pPr>
      <w:widowControl w:val="0"/>
      <w:jc w:val="both"/>
    </w:pPr>
  </w:style>
  <w:style w:type="table" w:customStyle="1" w:styleId="966">
    <w:name w:val="典雅型21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7">
    <w:name w:val="左右无边表格1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8">
    <w:name w:val="典雅型11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9">
    <w:name w:val="网格型21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0">
    <w:name w:val="网格型11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12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2">
    <w:name w:val="网格型13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3">
    <w:name w:val="网格型51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4">
    <w:name w:val="网格型61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5">
    <w:name w:val="网格型74"/>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6">
    <w:name w:val="网格型84"/>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7">
    <w:name w:val="网格型94"/>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8">
    <w:name w:val="网格型 111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9">
    <w:name w:val="典雅型3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0">
    <w:name w:val="网格型 511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1">
    <w:name w:val="典雅型21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典雅型11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3">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84">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5">
    <w:name w:val="表格主题3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网格型-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7">
    <w:name w:val="网格型 52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8">
    <w:name w:val="典雅型4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9">
    <w:name w:val="网格型 13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90">
    <w:name w:val="网格型42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1">
    <w:name w:val="左右无边框22"/>
    <w:basedOn w:val="63"/>
    <w:qFormat/>
    <w:uiPriority w:val="0"/>
    <w:pPr>
      <w:widowControl w:val="0"/>
      <w:jc w:val="both"/>
    </w:pPr>
    <w:tblPr>
      <w:tblBorders>
        <w:top w:val="single" w:color="auto" w:sz="12" w:space="0"/>
        <w:bottom w:val="single" w:color="auto" w:sz="12" w:space="0"/>
      </w:tblBorders>
    </w:tblPr>
  </w:style>
  <w:style w:type="table" w:customStyle="1" w:styleId="992">
    <w:name w:val="网格型32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3">
    <w:name w:val="无左右边框型22"/>
    <w:basedOn w:val="62"/>
    <w:qFormat/>
    <w:uiPriority w:val="0"/>
    <w:pPr>
      <w:widowControl w:val="0"/>
      <w:jc w:val="both"/>
    </w:pPr>
  </w:style>
  <w:style w:type="table" w:customStyle="1" w:styleId="994">
    <w:name w:val="典雅型2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5">
    <w:name w:val="左右无边表格2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96">
    <w:name w:val="典雅型1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7">
    <w:name w:val="网格型22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8">
    <w:name w:val="网格型11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12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0">
    <w:name w:val="网格型13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1">
    <w:name w:val="网格型52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2">
    <w:name w:val="网格型62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3">
    <w:name w:val="网格型71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4">
    <w:name w:val="网格型812"/>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5">
    <w:name w:val="网格型912"/>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6">
    <w:name w:val="网格型 112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7">
    <w:name w:val="典雅型3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8">
    <w:name w:val="网格型 512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9">
    <w:name w:val="典雅型21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典雅型11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1">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12">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13">
    <w:name w:val="表格主题4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网格型-4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5">
    <w:name w:val="网格型 53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6">
    <w:name w:val="典雅型5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7">
    <w:name w:val="网格型 14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8">
    <w:name w:val="网格型4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9">
    <w:name w:val="左右无边框32"/>
    <w:basedOn w:val="63"/>
    <w:qFormat/>
    <w:uiPriority w:val="0"/>
    <w:pPr>
      <w:widowControl w:val="0"/>
      <w:jc w:val="both"/>
    </w:pPr>
    <w:tblPr>
      <w:tblBorders>
        <w:top w:val="single" w:color="auto" w:sz="12" w:space="0"/>
        <w:bottom w:val="single" w:color="auto" w:sz="12" w:space="0"/>
      </w:tblBorders>
    </w:tblPr>
  </w:style>
  <w:style w:type="table" w:customStyle="1" w:styleId="1020">
    <w:name w:val="网格型3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1">
    <w:name w:val="无左右边框型32"/>
    <w:basedOn w:val="62"/>
    <w:qFormat/>
    <w:uiPriority w:val="0"/>
    <w:pPr>
      <w:widowControl w:val="0"/>
      <w:jc w:val="both"/>
    </w:pPr>
  </w:style>
  <w:style w:type="table" w:customStyle="1" w:styleId="1022">
    <w:name w:val="典雅型2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3">
    <w:name w:val="左右无边表格3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24">
    <w:name w:val="典雅型1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5">
    <w:name w:val="网格型23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6">
    <w:name w:val="网格型11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12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8">
    <w:name w:val="网格型13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9">
    <w:name w:val="网格型53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0">
    <w:name w:val="网格型63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1">
    <w:name w:val="网格型72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2">
    <w:name w:val="网格型822"/>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3">
    <w:name w:val="网格型922"/>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4">
    <w:name w:val="网格型 113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5">
    <w:name w:val="典雅型3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6">
    <w:name w:val="网格型 513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7">
    <w:name w:val="典雅型21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8">
    <w:name w:val="典雅型11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9">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40">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41">
    <w:name w:val="网格型-7"/>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2">
    <w:name w:val="正文+宋体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3">
    <w:name w:val="ylf3"/>
    <w:basedOn w:val="63"/>
    <w:qFormat/>
    <w:uiPriority w:val="0"/>
    <w:pPr>
      <w:widowControl w:val="0"/>
      <w:jc w:val="center"/>
    </w:pPr>
    <w:rPr>
      <w:sz w:val="21"/>
      <w:szCs w:val="21"/>
    </w:rPr>
    <w:tblPr>
      <w:tblBorders>
        <w:top w:val="single" w:color="auto" w:sz="12" w:space="0"/>
        <w:bottom w:val="single" w:color="auto" w:sz="12" w:space="0"/>
      </w:tblBorders>
    </w:tblPr>
    <w:tcPr>
      <w:vAlign w:val="center"/>
    </w:tcPr>
  </w:style>
  <w:style w:type="table" w:customStyle="1" w:styleId="1044">
    <w:name w:val="表格主题7"/>
    <w:basedOn w:val="6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45">
    <w:name w:val="Char Char Char1 Char Char Char2"/>
    <w:basedOn w:val="1"/>
    <w:qFormat/>
    <w:uiPriority w:val="0"/>
    <w:rPr>
      <w:rFonts w:ascii="Courier New" w:hAnsi="Courier New" w:eastAsia="仿宋" w:cs="Courier New"/>
      <w:sz w:val="24"/>
    </w:rPr>
  </w:style>
  <w:style w:type="paragraph" w:customStyle="1" w:styleId="1046">
    <w:name w:val="Char Char Char1 Char Char Char6"/>
    <w:basedOn w:val="1"/>
    <w:qFormat/>
    <w:uiPriority w:val="0"/>
    <w:rPr>
      <w:rFonts w:ascii="Courier New" w:hAnsi="Courier New" w:eastAsia="仿宋" w:cs="Courier New"/>
      <w:sz w:val="24"/>
    </w:rPr>
  </w:style>
  <w:style w:type="character" w:customStyle="1" w:styleId="1047">
    <w:name w:val="正文1 Char1"/>
    <w:qFormat/>
    <w:uiPriority w:val="0"/>
    <w:rPr>
      <w:rFonts w:eastAsia="楷体_GB2312"/>
      <w:sz w:val="32"/>
    </w:rPr>
  </w:style>
  <w:style w:type="paragraph" w:customStyle="1" w:styleId="1048">
    <w:name w:val="Char Char Char1 Char Char Char5"/>
    <w:basedOn w:val="1"/>
    <w:qFormat/>
    <w:uiPriority w:val="0"/>
    <w:rPr>
      <w:rFonts w:ascii="Courier New" w:hAnsi="Courier New" w:eastAsia="仿宋" w:cs="Courier New"/>
      <w:sz w:val="24"/>
    </w:rPr>
  </w:style>
  <w:style w:type="paragraph" w:customStyle="1" w:styleId="1049">
    <w:name w:val="Char Char Char1 Char Char Char4"/>
    <w:basedOn w:val="1"/>
    <w:qFormat/>
    <w:uiPriority w:val="0"/>
    <w:rPr>
      <w:rFonts w:ascii="Courier New" w:hAnsi="Courier New" w:eastAsia="仿宋" w:cs="Courier New"/>
      <w:sz w:val="24"/>
    </w:rPr>
  </w:style>
  <w:style w:type="paragraph" w:customStyle="1" w:styleId="1050">
    <w:name w:val="Char Char Char1 Char Char Char3"/>
    <w:basedOn w:val="1"/>
    <w:qFormat/>
    <w:uiPriority w:val="0"/>
    <w:rPr>
      <w:rFonts w:ascii="Courier New" w:hAnsi="Courier New" w:eastAsia="仿宋" w:cs="Courier New"/>
      <w:sz w:val="24"/>
    </w:rPr>
  </w:style>
  <w:style w:type="paragraph" w:customStyle="1" w:styleId="1051">
    <w:name w:val="样式 标题 3标题 3 Char标题 3 Char Char Char Char Char Char Char Char C..."/>
    <w:basedOn w:val="4"/>
    <w:qFormat/>
    <w:uiPriority w:val="0"/>
    <w:pPr>
      <w:numPr>
        <w:ilvl w:val="0"/>
        <w:numId w:val="2"/>
      </w:numPr>
      <w:tabs>
        <w:tab w:val="left" w:pos="720"/>
        <w:tab w:val="clear" w:pos="425"/>
        <w:tab w:val="clear" w:pos="567"/>
      </w:tabs>
      <w:spacing w:before="0" w:after="0" w:line="360" w:lineRule="auto"/>
      <w:ind w:left="720" w:hanging="720"/>
    </w:pPr>
    <w:rPr>
      <w:rFonts w:ascii="宋体" w:hAnsi="宋体" w:eastAsia="宋体"/>
      <w:sz w:val="24"/>
      <w:lang w:val="zh-CN"/>
    </w:rPr>
  </w:style>
  <w:style w:type="paragraph" w:customStyle="1" w:styleId="1052">
    <w:name w:val="dandan6-13正文 Char Char Char Char Char1 Char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character" w:customStyle="1" w:styleId="1053">
    <w:name w:val="页眉 Char1"/>
    <w:qFormat/>
    <w:locked/>
    <w:uiPriority w:val="99"/>
    <w:rPr>
      <w:sz w:val="18"/>
    </w:rPr>
  </w:style>
  <w:style w:type="character" w:customStyle="1" w:styleId="1054">
    <w:name w:val="普通(网站) Char1"/>
    <w:qFormat/>
    <w:locked/>
    <w:uiPriority w:val="0"/>
    <w:rPr>
      <w:rFonts w:ascii="宋体" w:hAnsi="宋体" w:eastAsia="宋体"/>
      <w:sz w:val="24"/>
    </w:rPr>
  </w:style>
  <w:style w:type="character" w:customStyle="1" w:styleId="1055">
    <w:name w:val="正文文本缩进 Char2"/>
    <w:qFormat/>
    <w:locked/>
    <w:uiPriority w:val="0"/>
    <w:rPr>
      <w:rFonts w:ascii="Times New Roman" w:hAnsi="Times New Roman" w:eastAsia="宋体"/>
      <w:sz w:val="24"/>
    </w:rPr>
  </w:style>
  <w:style w:type="character" w:customStyle="1" w:styleId="1056">
    <w:name w:val="页脚 Char2"/>
    <w:qFormat/>
    <w:locked/>
    <w:uiPriority w:val="99"/>
    <w:rPr>
      <w:sz w:val="18"/>
    </w:rPr>
  </w:style>
  <w:style w:type="character" w:customStyle="1" w:styleId="1057">
    <w:name w:val="批注主题 Char1"/>
    <w:qFormat/>
    <w:locked/>
    <w:uiPriority w:val="99"/>
    <w:rPr>
      <w:rFonts w:ascii="Times New Roman" w:hAnsi="Times New Roman" w:eastAsia="宋体"/>
      <w:b/>
      <w:kern w:val="2"/>
      <w:sz w:val="24"/>
    </w:rPr>
  </w:style>
  <w:style w:type="character" w:customStyle="1" w:styleId="1058">
    <w:name w:val="日期 Char1"/>
    <w:qFormat/>
    <w:locked/>
    <w:uiPriority w:val="0"/>
    <w:rPr>
      <w:rFonts w:ascii="Times New Roman" w:hAnsi="Times New Roman" w:eastAsia="宋体"/>
      <w:sz w:val="24"/>
    </w:rPr>
  </w:style>
  <w:style w:type="character" w:customStyle="1" w:styleId="1059">
    <w:name w:val="批注文字 Char2"/>
    <w:qFormat/>
    <w:locked/>
    <w:uiPriority w:val="99"/>
    <w:rPr>
      <w:rFonts w:ascii="Times New Roman" w:hAnsi="Times New Roman" w:eastAsia="宋体"/>
      <w:sz w:val="24"/>
    </w:rPr>
  </w:style>
  <w:style w:type="character" w:customStyle="1" w:styleId="1060">
    <w:name w:val="正文文本 Char2"/>
    <w:qFormat/>
    <w:locked/>
    <w:uiPriority w:val="0"/>
    <w:rPr>
      <w:sz w:val="18"/>
    </w:rPr>
  </w:style>
  <w:style w:type="character" w:customStyle="1" w:styleId="1061">
    <w:name w:val="批注框文本 Char2"/>
    <w:qFormat/>
    <w:locked/>
    <w:uiPriority w:val="99"/>
    <w:rPr>
      <w:rFonts w:ascii="Times New Roman" w:hAnsi="Times New Roman" w:eastAsia="宋体"/>
      <w:sz w:val="18"/>
    </w:rPr>
  </w:style>
  <w:style w:type="table" w:customStyle="1" w:styleId="1062">
    <w:name w:val="左右无边框6"/>
    <w:basedOn w:val="63"/>
    <w:qFormat/>
    <w:uiPriority w:val="0"/>
    <w:pPr>
      <w:widowControl w:val="0"/>
      <w:jc w:val="both"/>
    </w:pPr>
    <w:tblPr>
      <w:tblBorders>
        <w:top w:val="single" w:color="auto" w:sz="12" w:space="0"/>
        <w:bottom w:val="single" w:color="auto" w:sz="12" w:space="0"/>
      </w:tblBorders>
    </w:tblPr>
  </w:style>
  <w:style w:type="table" w:customStyle="1" w:styleId="1063">
    <w:name w:val="无左右边框型6"/>
    <w:basedOn w:val="62"/>
    <w:qFormat/>
    <w:uiPriority w:val="0"/>
    <w:pPr>
      <w:widowControl w:val="0"/>
      <w:jc w:val="both"/>
    </w:pPr>
  </w:style>
  <w:style w:type="character" w:customStyle="1" w:styleId="1064">
    <w:name w:val="书籍标题11"/>
    <w:qFormat/>
    <w:uiPriority w:val="33"/>
    <w:rPr>
      <w:b/>
      <w:bCs/>
      <w:smallCaps/>
      <w:spacing w:val="5"/>
    </w:rPr>
  </w:style>
  <w:style w:type="paragraph" w:customStyle="1" w:styleId="1065">
    <w:name w:val="z-窗体底端11"/>
    <w:basedOn w:val="1"/>
    <w:next w:val="1"/>
    <w:qFormat/>
    <w:uiPriority w:val="0"/>
    <w:pPr>
      <w:pBdr>
        <w:top w:val="single" w:color="auto" w:sz="6" w:space="1"/>
      </w:pBdr>
      <w:jc w:val="center"/>
    </w:pPr>
    <w:rPr>
      <w:rFonts w:ascii="Arial"/>
      <w:vanish/>
      <w:sz w:val="16"/>
    </w:rPr>
  </w:style>
  <w:style w:type="paragraph" w:customStyle="1" w:styleId="1066">
    <w:name w:val="z-窗体顶端11"/>
    <w:basedOn w:val="1"/>
    <w:next w:val="1"/>
    <w:qFormat/>
    <w:uiPriority w:val="0"/>
    <w:pPr>
      <w:pBdr>
        <w:bottom w:val="single" w:color="auto" w:sz="6" w:space="1"/>
      </w:pBdr>
      <w:jc w:val="center"/>
    </w:pPr>
    <w:rPr>
      <w:rFonts w:ascii="Arial"/>
      <w:vanish/>
      <w:sz w:val="16"/>
    </w:rPr>
  </w:style>
  <w:style w:type="table" w:customStyle="1" w:styleId="1067">
    <w:name w:val="左右无边框13"/>
    <w:basedOn w:val="63"/>
    <w:qFormat/>
    <w:uiPriority w:val="0"/>
    <w:pPr>
      <w:widowControl w:val="0"/>
      <w:jc w:val="both"/>
    </w:pPr>
    <w:tblPr>
      <w:tblBorders>
        <w:top w:val="single" w:color="auto" w:sz="12" w:space="0"/>
        <w:bottom w:val="single" w:color="auto" w:sz="12" w:space="0"/>
      </w:tblBorders>
    </w:tblPr>
  </w:style>
  <w:style w:type="table" w:customStyle="1" w:styleId="1068">
    <w:name w:val="无左右边框型13"/>
    <w:basedOn w:val="62"/>
    <w:qFormat/>
    <w:uiPriority w:val="0"/>
    <w:pPr>
      <w:widowControl w:val="0"/>
      <w:jc w:val="both"/>
    </w:pPr>
  </w:style>
  <w:style w:type="table" w:customStyle="1" w:styleId="1069">
    <w:name w:val="左右无边框23"/>
    <w:basedOn w:val="63"/>
    <w:qFormat/>
    <w:uiPriority w:val="0"/>
    <w:pPr>
      <w:widowControl w:val="0"/>
      <w:jc w:val="both"/>
    </w:pPr>
    <w:tblPr>
      <w:tblBorders>
        <w:top w:val="single" w:color="auto" w:sz="12" w:space="0"/>
        <w:bottom w:val="single" w:color="auto" w:sz="12" w:space="0"/>
      </w:tblBorders>
    </w:tblPr>
  </w:style>
  <w:style w:type="table" w:customStyle="1" w:styleId="1070">
    <w:name w:val="无左右边框型23"/>
    <w:basedOn w:val="62"/>
    <w:qFormat/>
    <w:uiPriority w:val="0"/>
    <w:pPr>
      <w:widowControl w:val="0"/>
      <w:jc w:val="both"/>
    </w:pPr>
  </w:style>
  <w:style w:type="table" w:customStyle="1" w:styleId="1071">
    <w:name w:val="左右无边框33"/>
    <w:basedOn w:val="63"/>
    <w:qFormat/>
    <w:uiPriority w:val="0"/>
    <w:pPr>
      <w:widowControl w:val="0"/>
      <w:jc w:val="both"/>
    </w:pPr>
    <w:tblPr>
      <w:tblBorders>
        <w:top w:val="single" w:color="auto" w:sz="12" w:space="0"/>
        <w:bottom w:val="single" w:color="auto" w:sz="12" w:space="0"/>
      </w:tblBorders>
    </w:tblPr>
  </w:style>
  <w:style w:type="table" w:customStyle="1" w:styleId="1072">
    <w:name w:val="无左右边框型33"/>
    <w:basedOn w:val="62"/>
    <w:qFormat/>
    <w:uiPriority w:val="0"/>
    <w:pPr>
      <w:widowControl w:val="0"/>
      <w:jc w:val="both"/>
    </w:pPr>
  </w:style>
  <w:style w:type="paragraph" w:customStyle="1" w:styleId="1073">
    <w:name w:val="TOC 标题31"/>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1074">
    <w:name w:val="左右无边框41"/>
    <w:basedOn w:val="63"/>
    <w:qFormat/>
    <w:uiPriority w:val="0"/>
    <w:pPr>
      <w:widowControl w:val="0"/>
      <w:jc w:val="both"/>
    </w:pPr>
    <w:tblPr>
      <w:tblBorders>
        <w:top w:val="single" w:color="auto" w:sz="12" w:space="0"/>
        <w:bottom w:val="single" w:color="auto" w:sz="12" w:space="0"/>
      </w:tblBorders>
    </w:tblPr>
  </w:style>
  <w:style w:type="table" w:customStyle="1" w:styleId="1075">
    <w:name w:val="无左右边框型41"/>
    <w:basedOn w:val="62"/>
    <w:qFormat/>
    <w:uiPriority w:val="0"/>
    <w:pPr>
      <w:widowControl w:val="0"/>
      <w:jc w:val="both"/>
    </w:pPr>
  </w:style>
  <w:style w:type="table" w:customStyle="1" w:styleId="1076">
    <w:name w:val="左右无边框111"/>
    <w:basedOn w:val="63"/>
    <w:qFormat/>
    <w:uiPriority w:val="0"/>
    <w:pPr>
      <w:widowControl w:val="0"/>
      <w:jc w:val="both"/>
    </w:pPr>
    <w:tblPr>
      <w:tblBorders>
        <w:top w:val="single" w:color="auto" w:sz="12" w:space="0"/>
        <w:bottom w:val="single" w:color="auto" w:sz="12" w:space="0"/>
      </w:tblBorders>
    </w:tblPr>
  </w:style>
  <w:style w:type="table" w:customStyle="1" w:styleId="1077">
    <w:name w:val="无左右边框型111"/>
    <w:basedOn w:val="62"/>
    <w:qFormat/>
    <w:uiPriority w:val="0"/>
    <w:pPr>
      <w:widowControl w:val="0"/>
      <w:jc w:val="both"/>
    </w:pPr>
  </w:style>
  <w:style w:type="table" w:customStyle="1" w:styleId="1078">
    <w:name w:val="左右无边框211"/>
    <w:basedOn w:val="63"/>
    <w:qFormat/>
    <w:uiPriority w:val="0"/>
    <w:pPr>
      <w:widowControl w:val="0"/>
      <w:jc w:val="both"/>
    </w:pPr>
    <w:tblPr>
      <w:tblBorders>
        <w:top w:val="single" w:color="auto" w:sz="12" w:space="0"/>
        <w:bottom w:val="single" w:color="auto" w:sz="12" w:space="0"/>
      </w:tblBorders>
    </w:tblPr>
  </w:style>
  <w:style w:type="table" w:customStyle="1" w:styleId="1079">
    <w:name w:val="无左右边框型211"/>
    <w:basedOn w:val="62"/>
    <w:qFormat/>
    <w:uiPriority w:val="0"/>
    <w:pPr>
      <w:widowControl w:val="0"/>
      <w:jc w:val="both"/>
    </w:pPr>
  </w:style>
  <w:style w:type="table" w:customStyle="1" w:styleId="1080">
    <w:name w:val="左右无边框311"/>
    <w:basedOn w:val="63"/>
    <w:qFormat/>
    <w:uiPriority w:val="0"/>
    <w:pPr>
      <w:widowControl w:val="0"/>
      <w:jc w:val="both"/>
    </w:pPr>
    <w:tblPr>
      <w:tblBorders>
        <w:top w:val="single" w:color="auto" w:sz="12" w:space="0"/>
        <w:bottom w:val="single" w:color="auto" w:sz="12" w:space="0"/>
      </w:tblBorders>
    </w:tblPr>
  </w:style>
  <w:style w:type="table" w:customStyle="1" w:styleId="1081">
    <w:name w:val="无左右边框型311"/>
    <w:basedOn w:val="62"/>
    <w:qFormat/>
    <w:uiPriority w:val="0"/>
    <w:pPr>
      <w:widowControl w:val="0"/>
      <w:jc w:val="both"/>
    </w:pPr>
  </w:style>
  <w:style w:type="table" w:customStyle="1" w:styleId="1082">
    <w:name w:val="左右无边框51"/>
    <w:basedOn w:val="63"/>
    <w:qFormat/>
    <w:uiPriority w:val="0"/>
    <w:pPr>
      <w:widowControl w:val="0"/>
      <w:jc w:val="both"/>
    </w:pPr>
    <w:tblPr>
      <w:tblBorders>
        <w:top w:val="single" w:color="auto" w:sz="12" w:space="0"/>
        <w:bottom w:val="single" w:color="auto" w:sz="12" w:space="0"/>
      </w:tblBorders>
    </w:tblPr>
  </w:style>
  <w:style w:type="table" w:customStyle="1" w:styleId="1083">
    <w:name w:val="无左右边框型51"/>
    <w:basedOn w:val="62"/>
    <w:qFormat/>
    <w:uiPriority w:val="0"/>
    <w:pPr>
      <w:widowControl w:val="0"/>
      <w:jc w:val="both"/>
    </w:pPr>
  </w:style>
  <w:style w:type="table" w:customStyle="1" w:styleId="1084">
    <w:name w:val="左右无边框121"/>
    <w:basedOn w:val="63"/>
    <w:qFormat/>
    <w:uiPriority w:val="0"/>
    <w:pPr>
      <w:widowControl w:val="0"/>
      <w:jc w:val="both"/>
    </w:pPr>
    <w:tblPr>
      <w:tblBorders>
        <w:top w:val="single" w:color="auto" w:sz="12" w:space="0"/>
        <w:bottom w:val="single" w:color="auto" w:sz="12" w:space="0"/>
      </w:tblBorders>
    </w:tblPr>
  </w:style>
  <w:style w:type="table" w:customStyle="1" w:styleId="1085">
    <w:name w:val="无左右边框型121"/>
    <w:basedOn w:val="62"/>
    <w:qFormat/>
    <w:uiPriority w:val="0"/>
    <w:pPr>
      <w:widowControl w:val="0"/>
      <w:jc w:val="both"/>
    </w:pPr>
  </w:style>
  <w:style w:type="table" w:customStyle="1" w:styleId="1086">
    <w:name w:val="左右无边框221"/>
    <w:basedOn w:val="63"/>
    <w:qFormat/>
    <w:uiPriority w:val="0"/>
    <w:pPr>
      <w:widowControl w:val="0"/>
      <w:jc w:val="both"/>
    </w:pPr>
    <w:tblPr>
      <w:tblBorders>
        <w:top w:val="single" w:color="auto" w:sz="12" w:space="0"/>
        <w:bottom w:val="single" w:color="auto" w:sz="12" w:space="0"/>
      </w:tblBorders>
    </w:tblPr>
  </w:style>
  <w:style w:type="table" w:customStyle="1" w:styleId="1087">
    <w:name w:val="无左右边框型221"/>
    <w:basedOn w:val="62"/>
    <w:qFormat/>
    <w:uiPriority w:val="0"/>
    <w:pPr>
      <w:widowControl w:val="0"/>
      <w:jc w:val="both"/>
    </w:pPr>
  </w:style>
  <w:style w:type="table" w:customStyle="1" w:styleId="1088">
    <w:name w:val="左右无边框321"/>
    <w:basedOn w:val="63"/>
    <w:qFormat/>
    <w:uiPriority w:val="0"/>
    <w:pPr>
      <w:widowControl w:val="0"/>
      <w:jc w:val="both"/>
    </w:pPr>
    <w:tblPr>
      <w:tblBorders>
        <w:top w:val="single" w:color="auto" w:sz="12" w:space="0"/>
        <w:bottom w:val="single" w:color="auto" w:sz="12" w:space="0"/>
      </w:tblBorders>
    </w:tblPr>
  </w:style>
  <w:style w:type="table" w:customStyle="1" w:styleId="1089">
    <w:name w:val="无左右边框型321"/>
    <w:basedOn w:val="62"/>
    <w:qFormat/>
    <w:uiPriority w:val="0"/>
    <w:pPr>
      <w:widowControl w:val="0"/>
      <w:jc w:val="both"/>
    </w:pPr>
  </w:style>
  <w:style w:type="paragraph" w:customStyle="1" w:styleId="1090">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091">
    <w:name w:val="font61"/>
    <w:basedOn w:val="67"/>
    <w:qFormat/>
    <w:uiPriority w:val="0"/>
    <w:rPr>
      <w:rFonts w:hint="default" w:ascii="Times New Roman" w:hAnsi="Times New Roman" w:cs="Times New Roman"/>
      <w:color w:val="000000"/>
      <w:sz w:val="21"/>
      <w:szCs w:val="21"/>
      <w:u w:val="none"/>
      <w:vertAlign w:val="subscript"/>
    </w:rPr>
  </w:style>
  <w:style w:type="paragraph" w:customStyle="1" w:styleId="1092">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1093">
    <w:name w:val="1-正文"/>
    <w:basedOn w:val="1"/>
    <w:qFormat/>
    <w:uiPriority w:val="0"/>
    <w:pPr>
      <w:widowControl/>
      <w:spacing w:after="60" w:line="360" w:lineRule="auto"/>
      <w:ind w:firstLine="200" w:firstLineChars="200"/>
      <w:jc w:val="left"/>
    </w:pPr>
    <w:rPr>
      <w:rFonts w:ascii="Calibri" w:hAnsi="Calibri" w:cs="Arial"/>
      <w:sz w:val="24"/>
      <w:szCs w:val="22"/>
    </w:rPr>
  </w:style>
  <w:style w:type="paragraph" w:customStyle="1" w:styleId="1094">
    <w:name w:val="Table Text"/>
    <w:basedOn w:val="1"/>
    <w:semiHidden/>
    <w:qFormat/>
    <w:uiPriority w:val="0"/>
    <w:rPr>
      <w:rFonts w:ascii="宋体" w:hAnsi="宋体" w:cs="宋体"/>
      <w:sz w:val="24"/>
      <w:lang w:eastAsia="en-US"/>
    </w:rPr>
  </w:style>
  <w:style w:type="table" w:customStyle="1" w:styleId="1095">
    <w:name w:val="Table Normal"/>
    <w:unhideWhenUsed/>
    <w:qFormat/>
    <w:uiPriority w:val="0"/>
    <w:tblPr>
      <w:tblCellMar>
        <w:top w:w="0" w:type="dxa"/>
        <w:left w:w="0" w:type="dxa"/>
        <w:bottom w:w="0" w:type="dxa"/>
        <w:right w:w="0" w:type="dxa"/>
      </w:tblCellMar>
    </w:tblPr>
  </w:style>
  <w:style w:type="paragraph" w:customStyle="1" w:styleId="1096">
    <w:name w:val="Body Text First Indent 21"/>
    <w:basedOn w:val="1"/>
    <w:next w:val="1"/>
    <w:qFormat/>
    <w:uiPriority w:val="99"/>
    <w:pPr>
      <w:spacing w:after="120" w:line="360" w:lineRule="auto"/>
      <w:ind w:left="420" w:leftChars="200" w:firstLine="420" w:firstLineChars="200"/>
      <w:jc w:val="left"/>
    </w:pPr>
    <w:rPr>
      <w:sz w:val="24"/>
    </w:rPr>
  </w:style>
  <w:style w:type="paragraph" w:customStyle="1" w:styleId="1097">
    <w:name w:val="11正文"/>
    <w:qFormat/>
    <w:uiPriority w:val="0"/>
    <w:pPr>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098">
    <w:name w:val="列出段落11"/>
    <w:basedOn w:val="1"/>
    <w:qFormat/>
    <w:uiPriority w:val="0"/>
    <w:pPr>
      <w:ind w:firstLine="420" w:firstLineChars="200"/>
    </w:pPr>
    <w:rPr>
      <w:szCs w:val="21"/>
    </w:rPr>
  </w:style>
  <w:style w:type="paragraph" w:customStyle="1" w:styleId="1099">
    <w:name w:val="正文文本 21"/>
    <w:basedOn w:val="1"/>
    <w:qFormat/>
    <w:uiPriority w:val="0"/>
    <w:pPr>
      <w:adjustRightInd w:val="0"/>
      <w:jc w:val="center"/>
      <w:textAlignment w:val="baseline"/>
    </w:pPr>
    <w:rPr>
      <w:sz w:val="24"/>
      <w:szCs w:val="20"/>
    </w:rPr>
  </w:style>
  <w:style w:type="paragraph" w:customStyle="1" w:styleId="1100">
    <w:name w:val="正宋小四"/>
    <w:basedOn w:val="1"/>
    <w:qFormat/>
    <w:uiPriority w:val="0"/>
    <w:pPr>
      <w:spacing w:line="360" w:lineRule="auto"/>
      <w:ind w:firstLine="1205" w:firstLineChars="200"/>
    </w:pPr>
  </w:style>
  <w:style w:type="paragraph" w:customStyle="1" w:styleId="1101">
    <w:name w:val="yt表头"/>
    <w:basedOn w:val="1"/>
    <w:next w:val="1102"/>
    <w:qFormat/>
    <w:uiPriority w:val="0"/>
    <w:pPr>
      <w:numPr>
        <w:ilvl w:val="3"/>
        <w:numId w:val="3"/>
      </w:numPr>
      <w:ind w:left="0" w:firstLine="0"/>
      <w:jc w:val="center"/>
    </w:pPr>
    <w:rPr>
      <w:b/>
      <w:szCs w:val="21"/>
    </w:rPr>
  </w:style>
  <w:style w:type="paragraph" w:customStyle="1" w:styleId="1102">
    <w:name w:val="yt正文"/>
    <w:basedOn w:val="7"/>
    <w:next w:val="38"/>
    <w:qFormat/>
    <w:uiPriority w:val="0"/>
    <w:pPr>
      <w:spacing w:line="360" w:lineRule="auto"/>
      <w:ind w:firstLine="200"/>
    </w:pPr>
    <w:rPr>
      <w:sz w:val="24"/>
    </w:rPr>
  </w:style>
  <w:style w:type="paragraph" w:customStyle="1" w:styleId="1103">
    <w:name w:val="Normal_0"/>
    <w:basedOn w:val="1"/>
    <w:qFormat/>
    <w:uiPriority w:val="0"/>
    <w:pPr>
      <w:widowControl/>
      <w:jc w:val="left"/>
    </w:pPr>
    <w:rPr>
      <w:kern w:val="0"/>
      <w:sz w:val="24"/>
    </w:rPr>
  </w:style>
  <w:style w:type="paragraph" w:customStyle="1" w:styleId="1104">
    <w:name w:val="标号正文"/>
    <w:basedOn w:val="1"/>
    <w:next w:val="1"/>
    <w:qFormat/>
    <w:uiPriority w:val="99"/>
    <w:pPr>
      <w:tabs>
        <w:tab w:val="left" w:pos="1540"/>
      </w:tabs>
      <w:overflowPunct w:val="0"/>
      <w:snapToGrid w:val="0"/>
      <w:spacing w:line="360" w:lineRule="auto"/>
      <w:ind w:firstLine="1040"/>
      <w:jc w:val="left"/>
    </w:pPr>
    <w:rPr>
      <w:rFonts w:ascii="Arial" w:hAnsi="Arial"/>
      <w:sz w:val="24"/>
      <w:szCs w:val="20"/>
    </w:rPr>
  </w:style>
  <w:style w:type="paragraph" w:customStyle="1" w:styleId="1105">
    <w:name w:val="报告表 正文"/>
    <w:basedOn w:val="1"/>
    <w:qFormat/>
    <w:uiPriority w:val="0"/>
    <w:pPr>
      <w:spacing w:line="500" w:lineRule="exact"/>
      <w:ind w:firstLine="200"/>
    </w:pPr>
  </w:style>
  <w:style w:type="paragraph" w:customStyle="1" w:styleId="1106">
    <w:name w:val="正文_26"/>
    <w:qFormat/>
    <w:uiPriority w:val="0"/>
    <w:pPr>
      <w:widowControl w:val="0"/>
      <w:jc w:val="both"/>
    </w:pPr>
    <w:rPr>
      <w:rFonts w:ascii="Calibri" w:hAnsi="Calibri" w:eastAsia="宋体" w:cs="Times New Roman"/>
      <w:kern w:val="2"/>
      <w:sz w:val="21"/>
      <w:lang w:val="en-US" w:eastAsia="zh-CN" w:bidi="ar-SA"/>
    </w:rPr>
  </w:style>
  <w:style w:type="paragraph" w:customStyle="1" w:styleId="1107">
    <w:name w:val="正文_28"/>
    <w:qFormat/>
    <w:uiPriority w:val="0"/>
    <w:pPr>
      <w:widowControl w:val="0"/>
      <w:jc w:val="both"/>
    </w:pPr>
    <w:rPr>
      <w:rFonts w:ascii="Calibri" w:hAnsi="Calibri" w:eastAsia="宋体" w:cs="Times New Roman"/>
      <w:kern w:val="2"/>
      <w:sz w:val="21"/>
      <w:lang w:val="en-US" w:eastAsia="zh-CN" w:bidi="ar-SA"/>
    </w:rPr>
  </w:style>
  <w:style w:type="paragraph" w:customStyle="1" w:styleId="1108">
    <w:name w:val="正文_27"/>
    <w:qFormat/>
    <w:uiPriority w:val="0"/>
    <w:pPr>
      <w:widowControl w:val="0"/>
      <w:jc w:val="both"/>
    </w:pPr>
    <w:rPr>
      <w:rFonts w:ascii="Calibri" w:hAnsi="Calibri" w:eastAsia="宋体" w:cs="Times New Roman"/>
      <w:kern w:val="2"/>
      <w:sz w:val="21"/>
      <w:lang w:val="en-US" w:eastAsia="zh-CN" w:bidi="ar-SA"/>
    </w:rPr>
  </w:style>
  <w:style w:type="paragraph" w:customStyle="1" w:styleId="1109">
    <w:name w:val="正文_29"/>
    <w:qFormat/>
    <w:uiPriority w:val="0"/>
    <w:pPr>
      <w:widowControl w:val="0"/>
      <w:jc w:val="both"/>
    </w:pPr>
    <w:rPr>
      <w:rFonts w:ascii="Calibri" w:hAnsi="Calibri" w:eastAsia="宋体" w:cs="Times New Roman"/>
      <w:kern w:val="2"/>
      <w:sz w:val="21"/>
      <w:lang w:val="en-US" w:eastAsia="zh-CN" w:bidi="ar-SA"/>
    </w:rPr>
  </w:style>
  <w:style w:type="paragraph" w:customStyle="1" w:styleId="1110">
    <w:name w:val="正文_7"/>
    <w:qFormat/>
    <w:uiPriority w:val="0"/>
    <w:pPr>
      <w:widowControl w:val="0"/>
      <w:jc w:val="both"/>
    </w:pPr>
    <w:rPr>
      <w:rFonts w:ascii="Calibri" w:hAnsi="Calibri" w:eastAsia="宋体" w:cs="Times New Roman"/>
      <w:kern w:val="2"/>
      <w:sz w:val="21"/>
      <w:lang w:val="en-US" w:eastAsia="zh-CN" w:bidi="ar-SA"/>
    </w:rPr>
  </w:style>
  <w:style w:type="paragraph" w:customStyle="1" w:styleId="1111">
    <w:name w:val="正文_37"/>
    <w:qFormat/>
    <w:uiPriority w:val="0"/>
    <w:pPr>
      <w:widowControl w:val="0"/>
      <w:jc w:val="both"/>
    </w:pPr>
    <w:rPr>
      <w:rFonts w:ascii="等线" w:hAnsi="等线" w:eastAsia="等线" w:cs="Times New Roman"/>
      <w:kern w:val="2"/>
      <w:sz w:val="21"/>
      <w:szCs w:val="22"/>
      <w:lang w:val="en-US" w:eastAsia="zh-CN" w:bidi="ar-SA"/>
    </w:rPr>
  </w:style>
  <w:style w:type="paragraph" w:customStyle="1" w:styleId="1112">
    <w:name w:val="表格内容--中祥"/>
    <w:basedOn w:val="1"/>
    <w:qFormat/>
    <w:uiPriority w:val="0"/>
    <w:pPr>
      <w:jc w:val="center"/>
    </w:pPr>
    <w:rPr>
      <w:kern w:val="0"/>
      <w:szCs w:val="21"/>
    </w:rPr>
  </w:style>
  <w:style w:type="character" w:customStyle="1" w:styleId="1113">
    <w:name w:val="NormalCharacter"/>
    <w:semiHidden/>
    <w:qFormat/>
    <w:uiPriority w:val="0"/>
  </w:style>
  <w:style w:type="paragraph" w:customStyle="1" w:styleId="1114">
    <w:name w:val="图表标注"/>
    <w:basedOn w:val="1"/>
    <w:qFormat/>
    <w:uiPriority w:val="0"/>
    <w:pPr>
      <w:jc w:val="center"/>
      <w:outlineLvl w:val="5"/>
    </w:pPr>
    <w:rPr>
      <w:rFonts w:eastAsia="黑体"/>
      <w:bCs/>
      <w:color w:val="000000"/>
    </w:rPr>
  </w:style>
  <w:style w:type="paragraph" w:customStyle="1" w:styleId="1115">
    <w:name w:val="样式 小四 首行缩进:  0.85 厘米 行距: 1.5 倍行距"/>
    <w:basedOn w:val="1"/>
    <w:qFormat/>
    <w:uiPriority w:val="0"/>
    <w:pPr>
      <w:ind w:firstLine="482"/>
    </w:pPr>
  </w:style>
  <w:style w:type="paragraph" w:customStyle="1" w:styleId="1116">
    <w:name w:val="qi-报告书 正文"/>
    <w:qFormat/>
    <w:uiPriority w:val="0"/>
    <w:pPr>
      <w:widowControl w:val="0"/>
      <w:spacing w:line="360" w:lineRule="auto"/>
      <w:ind w:firstLine="200" w:firstLineChars="200"/>
      <w:jc w:val="both"/>
    </w:pPr>
    <w:rPr>
      <w:rFonts w:ascii="Times New Roman" w:hAnsi="Times New Roman" w:eastAsia="宋体" w:cs="Times New Roman"/>
      <w:sz w:val="24"/>
      <w:szCs w:val="24"/>
      <w:lang w:val="en-US" w:eastAsia="zh-CN" w:bidi="ar-SA"/>
    </w:rPr>
  </w:style>
  <w:style w:type="paragraph" w:customStyle="1" w:styleId="1117">
    <w:name w:val="CH正文"/>
    <w:basedOn w:val="1"/>
    <w:autoRedefine/>
    <w:qFormat/>
    <w:uiPriority w:val="0"/>
    <w:pPr>
      <w:spacing w:line="360" w:lineRule="auto"/>
      <w:ind w:firstLine="720" w:firstLineChars="200"/>
    </w:pPr>
    <w:rPr>
      <w:sz w:val="24"/>
    </w:rPr>
  </w:style>
  <w:style w:type="character" w:customStyle="1" w:styleId="1118">
    <w:name w:val="10"/>
    <w:basedOn w:val="67"/>
    <w:qFormat/>
    <w:uiPriority w:val="0"/>
    <w:rPr>
      <w:rFonts w:hint="default" w:ascii="Times New Roman" w:hAnsi="Times New Roman" w:cs="Times New Roman"/>
    </w:rPr>
  </w:style>
  <w:style w:type="character" w:customStyle="1" w:styleId="1119">
    <w:name w:val="15"/>
    <w:basedOn w:val="67"/>
    <w:qFormat/>
    <w:uiPriority w:val="0"/>
    <w:rPr>
      <w:rFonts w:hint="default" w:ascii="Times New Roman" w:hAnsi="Times New Roman" w:cs="Times New Roman"/>
      <w:color w:val="000000"/>
      <w:sz w:val="23"/>
      <w:szCs w:val="23"/>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8" Type="http://schemas.microsoft.com/office/2011/relationships/people" Target="people.xml"/><Relationship Id="rId47" Type="http://schemas.openxmlformats.org/officeDocument/2006/relationships/fontTable" Target="fontTable.xml"/><Relationship Id="rId46" Type="http://schemas.openxmlformats.org/officeDocument/2006/relationships/customXml" Target="../customXml/item2.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24.png"/><Relationship Id="rId42" Type="http://schemas.openxmlformats.org/officeDocument/2006/relationships/image" Target="media/image23.png"/><Relationship Id="rId41" Type="http://schemas.openxmlformats.org/officeDocument/2006/relationships/image" Target="media/image22.emf"/><Relationship Id="rId40" Type="http://schemas.openxmlformats.org/officeDocument/2006/relationships/image" Target="media/image21.emf"/><Relationship Id="rId4" Type="http://schemas.microsoft.com/office/2011/relationships/commentsExtended" Target="commentsExtended.xml"/><Relationship Id="rId39" Type="http://schemas.openxmlformats.org/officeDocument/2006/relationships/image" Target="media/image20.emf"/><Relationship Id="rId38" Type="http://schemas.openxmlformats.org/officeDocument/2006/relationships/image" Target="media/image19.emf"/><Relationship Id="rId37" Type="http://schemas.openxmlformats.org/officeDocument/2006/relationships/image" Target="media/image18.emf"/><Relationship Id="rId36" Type="http://schemas.openxmlformats.org/officeDocument/2006/relationships/image" Target="media/image17.emf"/><Relationship Id="rId35" Type="http://schemas.openxmlformats.org/officeDocument/2006/relationships/image" Target="media/image16.emf"/><Relationship Id="rId34" Type="http://schemas.openxmlformats.org/officeDocument/2006/relationships/image" Target="media/image15.emf"/><Relationship Id="rId33" Type="http://schemas.openxmlformats.org/officeDocument/2006/relationships/image" Target="media/image14.wmf"/><Relationship Id="rId32" Type="http://schemas.openxmlformats.org/officeDocument/2006/relationships/oleObject" Target="embeddings/oleObject10.bin"/><Relationship Id="rId31" Type="http://schemas.openxmlformats.org/officeDocument/2006/relationships/image" Target="media/image13.wmf"/><Relationship Id="rId30" Type="http://schemas.openxmlformats.org/officeDocument/2006/relationships/oleObject" Target="embeddings/oleObject9.bin"/><Relationship Id="rId3" Type="http://schemas.openxmlformats.org/officeDocument/2006/relationships/comments" Target="comments.xml"/><Relationship Id="rId29" Type="http://schemas.openxmlformats.org/officeDocument/2006/relationships/image" Target="media/image12.wmf"/><Relationship Id="rId28" Type="http://schemas.openxmlformats.org/officeDocument/2006/relationships/oleObject" Target="embeddings/oleObject8.bin"/><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emf"/><Relationship Id="rId24" Type="http://schemas.openxmlformats.org/officeDocument/2006/relationships/oleObject" Target="embeddings/oleObject7.bin"/><Relationship Id="rId23" Type="http://schemas.openxmlformats.org/officeDocument/2006/relationships/image" Target="media/image8.png"/><Relationship Id="rId22" Type="http://schemas.openxmlformats.org/officeDocument/2006/relationships/image" Target="media/image7.emf"/><Relationship Id="rId21" Type="http://schemas.openxmlformats.org/officeDocument/2006/relationships/oleObject" Target="embeddings/oleObject6.bin"/><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emf"/><Relationship Id="rId17" Type="http://schemas.openxmlformats.org/officeDocument/2006/relationships/oleObject" Target="embeddings/oleObject4.bin"/><Relationship Id="rId16" Type="http://schemas.openxmlformats.org/officeDocument/2006/relationships/image" Target="media/image4.emf"/><Relationship Id="rId15" Type="http://schemas.openxmlformats.org/officeDocument/2006/relationships/oleObject" Target="embeddings/oleObject3.bin"/><Relationship Id="rId14" Type="http://schemas.openxmlformats.org/officeDocument/2006/relationships/image" Target="media/image3.emf"/><Relationship Id="rId13" Type="http://schemas.openxmlformats.org/officeDocument/2006/relationships/oleObject" Target="embeddings/oleObject2.bin"/><Relationship Id="rId12" Type="http://schemas.openxmlformats.org/officeDocument/2006/relationships/image" Target="media/image2.e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5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1AE59E-0412-41C1-AA33-4E7D55FE3594}">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143</Pages>
  <Words>23631</Words>
  <Characters>25628</Characters>
  <Lines>1</Lines>
  <Paragraphs>1</Paragraphs>
  <TotalTime>15</TotalTime>
  <ScaleCrop>false</ScaleCrop>
  <LinksUpToDate>false</LinksUpToDate>
  <CharactersWithSpaces>25768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2021-05-19T02:53:00Z</dcterms:created>
  <dc:creator>lhj</dc:creator>
  <cp:lastModifiedBy>王俊</cp:lastModifiedBy>
  <cp:lastPrinted>2021-04-06T01:20:00Z</cp:lastPrinted>
  <dcterms:modified xsi:type="dcterms:W3CDTF">2025-12-01T03:33:15Z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E5153C83018045B5A8BB7C2528AFFAC5_13</vt:lpwstr>
  </property>
  <property fmtid="{D5CDD505-2E9C-101B-9397-08002B2CF9AE}" pid="4" name="KSOTemplateDocerSaveRecord">
    <vt:lpwstr>eyJoZGlkIjoiNzk4ODEyNDNjNDI1NmUwMWU1M2RjMGE1MzhkMjQ2ZTciLCJ1c2VySWQiOiIyMTA3NzYzNTMifQ==</vt:lpwstr>
  </property>
</Properties>
</file>